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7A2" w:rsidRPr="00983E20" w:rsidRDefault="000D07A2" w:rsidP="000D07A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caps/>
          <w:sz w:val="24"/>
          <w:szCs w:val="24"/>
          <w:lang w:eastAsia="pt-BR"/>
        </w:rPr>
        <w:t>Fiscalização</w:t>
      </w:r>
    </w:p>
    <w:p w:rsidR="000D07A2" w:rsidRPr="00983E20" w:rsidRDefault="000D07A2" w:rsidP="000D07A2">
      <w:pPr>
        <w:spacing w:before="75" w:after="105" w:line="450" w:lineRule="atLeast"/>
        <w:outlineLvl w:val="3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 xml:space="preserve">Em um ano, apenas metade dos estados regulamentou Lei de </w:t>
      </w:r>
      <w:proofErr w:type="gramStart"/>
      <w:r w:rsidRPr="00983E20">
        <w:rPr>
          <w:rFonts w:ascii="Arial" w:eastAsia="Times New Roman" w:hAnsi="Arial" w:cs="Arial"/>
          <w:sz w:val="24"/>
          <w:szCs w:val="24"/>
          <w:lang w:eastAsia="pt-BR"/>
        </w:rPr>
        <w:t>Acesso</w:t>
      </w:r>
      <w:proofErr w:type="gramEnd"/>
    </w:p>
    <w:p w:rsidR="000D07A2" w:rsidRPr="00983E20" w:rsidRDefault="000D07A2" w:rsidP="000D07A2">
      <w:pPr>
        <w:spacing w:before="180" w:after="180" w:line="300" w:lineRule="atLeast"/>
        <w:ind w:right="150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 xml:space="preserve">Só 8% dos municípios brasileiros validaram a legislação. No Paraná, órgãos estaduais e seis prefeituras garantem mecanismos para pedidos de </w:t>
      </w:r>
      <w:proofErr w:type="gramStart"/>
      <w:r w:rsidRPr="00983E20">
        <w:rPr>
          <w:rFonts w:ascii="Arial" w:eastAsia="Times New Roman" w:hAnsi="Arial" w:cs="Arial"/>
          <w:sz w:val="24"/>
          <w:szCs w:val="24"/>
          <w:lang w:eastAsia="pt-BR"/>
        </w:rPr>
        <w:t>informações</w:t>
      </w:r>
      <w:proofErr w:type="gramEnd"/>
      <w:r w:rsidRPr="00983E2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0D07A2" w:rsidRPr="00983E20" w:rsidRDefault="000D07A2" w:rsidP="000D07A2">
      <w:pPr>
        <w:spacing w:after="150" w:line="240" w:lineRule="auto"/>
        <w:rPr>
          <w:rFonts w:ascii="Arial" w:eastAsia="Times New Roman" w:hAnsi="Arial" w:cs="Arial"/>
          <w:vanish/>
          <w:sz w:val="24"/>
          <w:szCs w:val="24"/>
          <w:lang w:eastAsia="pt-BR"/>
        </w:rPr>
      </w:pPr>
    </w:p>
    <w:p w:rsidR="000D07A2" w:rsidRPr="00983E20" w:rsidRDefault="000D07A2" w:rsidP="000D07A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 xml:space="preserve">Publicado em 13/05/2013 | </w:t>
      </w:r>
      <w:r w:rsidRPr="00983E20">
        <w:rPr>
          <w:rFonts w:ascii="Arial" w:eastAsia="Times New Roman" w:hAnsi="Arial" w:cs="Arial"/>
          <w:caps/>
          <w:sz w:val="24"/>
          <w:szCs w:val="24"/>
          <w:lang w:eastAsia="pt-BR"/>
        </w:rPr>
        <w:t xml:space="preserve">Anderson Gonçalves, com agência O </w:t>
      </w:r>
      <w:proofErr w:type="gramStart"/>
      <w:r w:rsidRPr="00983E20">
        <w:rPr>
          <w:rFonts w:ascii="Arial" w:eastAsia="Times New Roman" w:hAnsi="Arial" w:cs="Arial"/>
          <w:caps/>
          <w:sz w:val="24"/>
          <w:szCs w:val="24"/>
          <w:lang w:eastAsia="pt-BR"/>
        </w:rPr>
        <w:t>Globo</w:t>
      </w:r>
      <w:proofErr w:type="gramEnd"/>
    </w:p>
    <w:p w:rsidR="000D07A2" w:rsidRPr="00983E20" w:rsidRDefault="000D07A2" w:rsidP="000D07A2">
      <w:pPr>
        <w:spacing w:after="180" w:line="300" w:lineRule="atLeast"/>
        <w:ind w:right="150"/>
        <w:rPr>
          <w:rFonts w:ascii="Arial" w:eastAsia="Times New Roman" w:hAnsi="Arial" w:cs="Arial"/>
          <w:sz w:val="24"/>
          <w:szCs w:val="24"/>
          <w:lang w:eastAsia="pt-BR"/>
        </w:rPr>
      </w:pPr>
    </w:p>
    <w:p w:rsidR="000D07A2" w:rsidRPr="00983E20" w:rsidRDefault="000D07A2" w:rsidP="000D07A2">
      <w:pPr>
        <w:spacing w:after="180" w:line="300" w:lineRule="atLeast"/>
        <w:ind w:right="150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 xml:space="preserve">Criada com o propósito de garantir que todo cidadão tenha à sua disposição dados sobre o poder público, a Lei de Acesso à Informação completa um ano em vigor na próxima quinta-feira. No Paraná, órgãos estaduais e parte das prefeituras já asseguram mecanismos para a população requisitar informações, porém, ainda </w:t>
      </w:r>
      <w:proofErr w:type="gramStart"/>
      <w:r w:rsidRPr="00983E20">
        <w:rPr>
          <w:rFonts w:ascii="Arial" w:eastAsia="Times New Roman" w:hAnsi="Arial" w:cs="Arial"/>
          <w:sz w:val="24"/>
          <w:szCs w:val="24"/>
          <w:lang w:eastAsia="pt-BR"/>
        </w:rPr>
        <w:t>pecam</w:t>
      </w:r>
      <w:proofErr w:type="gramEnd"/>
      <w:r w:rsidRPr="00983E20">
        <w:rPr>
          <w:rFonts w:ascii="Arial" w:eastAsia="Times New Roman" w:hAnsi="Arial" w:cs="Arial"/>
          <w:sz w:val="24"/>
          <w:szCs w:val="24"/>
          <w:lang w:eastAsia="pt-BR"/>
        </w:rPr>
        <w:t xml:space="preserve"> na divulgação voluntária de dados, a chamada transparência ativa. </w:t>
      </w:r>
    </w:p>
    <w:p w:rsidR="000D07A2" w:rsidRPr="00983E20" w:rsidRDefault="000D07A2" w:rsidP="000D07A2">
      <w:pPr>
        <w:spacing w:before="180" w:after="180" w:line="300" w:lineRule="atLeast"/>
        <w:ind w:right="150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>Levantamento da Asso</w:t>
      </w:r>
      <w:r w:rsidRPr="00983E2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983E20">
        <w:rPr>
          <w:rFonts w:ascii="Arial" w:eastAsia="Times New Roman" w:hAnsi="Arial" w:cs="Arial"/>
          <w:sz w:val="24"/>
          <w:szCs w:val="24"/>
          <w:lang w:eastAsia="pt-BR"/>
        </w:rPr>
        <w:softHyphen/>
        <w:t>ciação Contas Abertas mostra que apenas 13 dos 27 estados e 8% dos municípios brasileiros regulamentaram a legislação. Mesmo o Supremo Tribunal Federal (STF) ainda não fez a regulamentação, enquanto órgãos como o Senado e a própria União apresentam obstáculos para prestar as informações.</w:t>
      </w:r>
    </w:p>
    <w:p w:rsidR="000D07A2" w:rsidRPr="00983E20" w:rsidRDefault="000D07A2" w:rsidP="000D07A2">
      <w:pPr>
        <w:shd w:val="clear" w:color="auto" w:fill="F1F1F1"/>
        <w:spacing w:after="150" w:line="240" w:lineRule="atLeast"/>
        <w:outlineLvl w:val="5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Onde encontrar</w:t>
      </w:r>
    </w:p>
    <w:p w:rsidR="000D07A2" w:rsidRPr="00983E20" w:rsidRDefault="000D07A2" w:rsidP="000D07A2">
      <w:pPr>
        <w:shd w:val="clear" w:color="auto" w:fill="F1F1F1"/>
        <w:spacing w:before="75" w:after="75" w:line="300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>Cidadão tem poucos mecanismos de acesso nos órgãos paranaenses. Os salários são maior tabu na transparência pública.</w:t>
      </w:r>
    </w:p>
    <w:p w:rsidR="000D07A2" w:rsidRPr="00983E20" w:rsidRDefault="000D07A2" w:rsidP="000D07A2">
      <w:pPr>
        <w:shd w:val="clear" w:color="auto" w:fill="F1F1F1"/>
        <w:spacing w:before="75" w:after="75" w:line="300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Órgãos estaduais</w:t>
      </w:r>
    </w:p>
    <w:p w:rsidR="000D07A2" w:rsidRPr="00983E20" w:rsidRDefault="000D07A2" w:rsidP="000D07A2">
      <w:pPr>
        <w:shd w:val="clear" w:color="auto" w:fill="F1F1F1"/>
        <w:spacing w:before="75" w:after="75" w:line="300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>• Governo do Estado</w:t>
      </w:r>
    </w:p>
    <w:p w:rsidR="000D07A2" w:rsidRPr="00983E20" w:rsidRDefault="000D07A2" w:rsidP="000D07A2">
      <w:pPr>
        <w:shd w:val="clear" w:color="auto" w:fill="F1F1F1"/>
        <w:spacing w:after="0" w:line="300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>Divulga a tabela de composição salarial por cargo e lotação, sem detalhar os vencimentos de cada funcionário. (</w:t>
      </w:r>
      <w:hyperlink r:id="rId6" w:tgtFrame="_blank" w:history="1">
        <w:r w:rsidRPr="00983E20">
          <w:rPr>
            <w:rFonts w:ascii="Arial" w:eastAsia="Times New Roman" w:hAnsi="Arial" w:cs="Arial"/>
            <w:sz w:val="24"/>
            <w:szCs w:val="24"/>
            <w:lang w:eastAsia="pt-BR"/>
          </w:rPr>
          <w:t>www.portaldatransparencia.pr.gov.br</w:t>
        </w:r>
      </w:hyperlink>
      <w:r w:rsidRPr="00983E20">
        <w:rPr>
          <w:rFonts w:ascii="Arial" w:eastAsia="Times New Roman" w:hAnsi="Arial" w:cs="Arial"/>
          <w:sz w:val="24"/>
          <w:szCs w:val="24"/>
          <w:lang w:eastAsia="pt-BR"/>
        </w:rPr>
        <w:t>)</w:t>
      </w:r>
    </w:p>
    <w:p w:rsidR="000D07A2" w:rsidRPr="00983E20" w:rsidRDefault="000D07A2" w:rsidP="000D07A2">
      <w:pPr>
        <w:shd w:val="clear" w:color="auto" w:fill="F1F1F1"/>
        <w:spacing w:before="75" w:after="75" w:line="300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>• Assembleia Legislativa</w:t>
      </w:r>
    </w:p>
    <w:p w:rsidR="000D07A2" w:rsidRPr="00983E20" w:rsidRDefault="000D07A2" w:rsidP="000D07A2">
      <w:pPr>
        <w:shd w:val="clear" w:color="auto" w:fill="F1F1F1"/>
        <w:spacing w:after="0" w:line="300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>Divulga a tabela da composição salarial por cargo e lotação, sem detalhar os vencimentos de cada funcionário. (</w:t>
      </w:r>
      <w:hyperlink r:id="rId7" w:tgtFrame="_blank" w:history="1">
        <w:r w:rsidRPr="00983E20">
          <w:rPr>
            <w:rFonts w:ascii="Arial" w:eastAsia="Times New Roman" w:hAnsi="Arial" w:cs="Arial"/>
            <w:sz w:val="24"/>
            <w:szCs w:val="24"/>
            <w:lang w:eastAsia="pt-BR"/>
          </w:rPr>
          <w:t>www.alep.pr.gov.br/transparencia</w:t>
        </w:r>
      </w:hyperlink>
      <w:r w:rsidRPr="00983E20">
        <w:rPr>
          <w:rFonts w:ascii="Arial" w:eastAsia="Times New Roman" w:hAnsi="Arial" w:cs="Arial"/>
          <w:sz w:val="24"/>
          <w:szCs w:val="24"/>
          <w:lang w:eastAsia="pt-BR"/>
        </w:rPr>
        <w:t>)</w:t>
      </w:r>
    </w:p>
    <w:p w:rsidR="000D07A2" w:rsidRPr="00983E20" w:rsidRDefault="000D07A2" w:rsidP="000D07A2">
      <w:pPr>
        <w:shd w:val="clear" w:color="auto" w:fill="F1F1F1"/>
        <w:spacing w:before="75" w:after="75" w:line="300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>• Tribunal de Justiça</w:t>
      </w:r>
    </w:p>
    <w:p w:rsidR="000D07A2" w:rsidRPr="00983E20" w:rsidRDefault="000D07A2" w:rsidP="000D07A2">
      <w:pPr>
        <w:shd w:val="clear" w:color="auto" w:fill="F1F1F1"/>
        <w:spacing w:after="0" w:line="300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>Divulga a composição das remunerações por cargo, incluindo as verbas de representação e diárias pagas individualmente a membros da magistratura e servidores, sem identificação nominal do beneficiário. (</w:t>
      </w:r>
      <w:hyperlink r:id="rId8" w:tgtFrame="_blank" w:history="1">
        <w:r w:rsidRPr="00983E20">
          <w:rPr>
            <w:rFonts w:ascii="Arial" w:eastAsia="Times New Roman" w:hAnsi="Arial" w:cs="Arial"/>
            <w:sz w:val="24"/>
            <w:szCs w:val="24"/>
            <w:lang w:eastAsia="pt-BR"/>
          </w:rPr>
          <w:t>www.tjpr.jus.br/portal-da-transparencia</w:t>
        </w:r>
      </w:hyperlink>
      <w:r w:rsidRPr="00983E20">
        <w:rPr>
          <w:rFonts w:ascii="Arial" w:eastAsia="Times New Roman" w:hAnsi="Arial" w:cs="Arial"/>
          <w:sz w:val="24"/>
          <w:szCs w:val="24"/>
          <w:lang w:eastAsia="pt-BR"/>
        </w:rPr>
        <w:t>)</w:t>
      </w:r>
    </w:p>
    <w:p w:rsidR="000D07A2" w:rsidRPr="00983E20" w:rsidRDefault="000D07A2" w:rsidP="000D07A2">
      <w:pPr>
        <w:shd w:val="clear" w:color="auto" w:fill="F1F1F1"/>
        <w:spacing w:before="75" w:after="75" w:line="300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>• Ministério Público</w:t>
      </w:r>
    </w:p>
    <w:p w:rsidR="000D07A2" w:rsidRPr="00983E20" w:rsidRDefault="000D07A2" w:rsidP="000D07A2">
      <w:pPr>
        <w:shd w:val="clear" w:color="auto" w:fill="F1F1F1"/>
        <w:spacing w:after="0" w:line="300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>Divulga a composição das remunerações por cargo, incluindo benefícios e descontos, sem identificação nominal do beneficiário. (</w:t>
      </w:r>
      <w:hyperlink r:id="rId9" w:tgtFrame="_blank" w:history="1">
        <w:r w:rsidRPr="00983E20">
          <w:rPr>
            <w:rFonts w:ascii="Arial" w:eastAsia="Times New Roman" w:hAnsi="Arial" w:cs="Arial"/>
            <w:sz w:val="24"/>
            <w:szCs w:val="24"/>
            <w:lang w:eastAsia="pt-BR"/>
          </w:rPr>
          <w:t>www.mp.pr.gov.br/modules/conteudo/conteudo.php?conteudo=42</w:t>
        </w:r>
      </w:hyperlink>
      <w:r w:rsidRPr="00983E20">
        <w:rPr>
          <w:rFonts w:ascii="Arial" w:eastAsia="Times New Roman" w:hAnsi="Arial" w:cs="Arial"/>
          <w:sz w:val="24"/>
          <w:szCs w:val="24"/>
          <w:lang w:eastAsia="pt-BR"/>
        </w:rPr>
        <w:t>)</w:t>
      </w:r>
    </w:p>
    <w:p w:rsidR="000D07A2" w:rsidRPr="00983E20" w:rsidRDefault="000D07A2" w:rsidP="000D07A2">
      <w:pPr>
        <w:shd w:val="clear" w:color="auto" w:fill="F1F1F1"/>
        <w:spacing w:before="75" w:after="75" w:line="300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>• Tribunal de Contas</w:t>
      </w:r>
    </w:p>
    <w:p w:rsidR="000D07A2" w:rsidRPr="00983E20" w:rsidRDefault="000D07A2" w:rsidP="000D07A2">
      <w:pPr>
        <w:shd w:val="clear" w:color="auto" w:fill="F1F1F1"/>
        <w:spacing w:after="0" w:line="300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lastRenderedPageBreak/>
        <w:t>Divulga a lista com os nomes dos servidores e as respectivas remunerações. (</w:t>
      </w:r>
      <w:hyperlink r:id="rId10" w:tgtFrame="_blank" w:history="1">
        <w:proofErr w:type="gramStart"/>
        <w:r w:rsidRPr="00983E20">
          <w:rPr>
            <w:rFonts w:ascii="Arial" w:eastAsia="Times New Roman" w:hAnsi="Arial" w:cs="Arial"/>
            <w:sz w:val="24"/>
            <w:szCs w:val="24"/>
            <w:lang w:eastAsia="pt-BR"/>
          </w:rPr>
          <w:t>www1.</w:t>
        </w:r>
        <w:proofErr w:type="gramEnd"/>
        <w:r w:rsidRPr="00983E20">
          <w:rPr>
            <w:rFonts w:ascii="Arial" w:eastAsia="Times New Roman" w:hAnsi="Arial" w:cs="Arial"/>
            <w:sz w:val="24"/>
            <w:szCs w:val="24"/>
            <w:lang w:eastAsia="pt-BR"/>
          </w:rPr>
          <w:t>tce.pr.gov.br/</w:t>
        </w:r>
        <w:proofErr w:type="spellStart"/>
        <w:r w:rsidRPr="00983E20">
          <w:rPr>
            <w:rFonts w:ascii="Arial" w:eastAsia="Times New Roman" w:hAnsi="Arial" w:cs="Arial"/>
            <w:sz w:val="24"/>
            <w:szCs w:val="24"/>
            <w:lang w:eastAsia="pt-BR"/>
          </w:rPr>
          <w:t>conteudo</w:t>
        </w:r>
        <w:proofErr w:type="spellEnd"/>
        <w:r w:rsidRPr="00983E20">
          <w:rPr>
            <w:rFonts w:ascii="Arial" w:eastAsia="Times New Roman" w:hAnsi="Arial" w:cs="Arial"/>
            <w:sz w:val="24"/>
            <w:szCs w:val="24"/>
            <w:lang w:eastAsia="pt-BR"/>
          </w:rPr>
          <w:t>/</w:t>
        </w:r>
        <w:proofErr w:type="spellStart"/>
        <w:r w:rsidRPr="00983E20">
          <w:rPr>
            <w:rFonts w:ascii="Arial" w:eastAsia="Times New Roman" w:hAnsi="Arial" w:cs="Arial"/>
            <w:sz w:val="24"/>
            <w:szCs w:val="24"/>
            <w:lang w:eastAsia="pt-BR"/>
          </w:rPr>
          <w:t>introducao</w:t>
        </w:r>
        <w:proofErr w:type="spellEnd"/>
        <w:r w:rsidRPr="00983E20">
          <w:rPr>
            <w:rFonts w:ascii="Arial" w:eastAsia="Times New Roman" w:hAnsi="Arial" w:cs="Arial"/>
            <w:sz w:val="24"/>
            <w:szCs w:val="24"/>
            <w:lang w:eastAsia="pt-BR"/>
          </w:rPr>
          <w:t>/24</w:t>
        </w:r>
      </w:hyperlink>
      <w:r w:rsidRPr="00983E20">
        <w:rPr>
          <w:rFonts w:ascii="Arial" w:eastAsia="Times New Roman" w:hAnsi="Arial" w:cs="Arial"/>
          <w:sz w:val="24"/>
          <w:szCs w:val="24"/>
          <w:lang w:eastAsia="pt-BR"/>
        </w:rPr>
        <w:t>)</w:t>
      </w:r>
    </w:p>
    <w:p w:rsidR="000D07A2" w:rsidRPr="00983E20" w:rsidRDefault="000D07A2" w:rsidP="000D07A2">
      <w:pPr>
        <w:shd w:val="clear" w:color="auto" w:fill="F1F1F1"/>
        <w:spacing w:before="75" w:after="75" w:line="300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Prefeituras</w:t>
      </w:r>
    </w:p>
    <w:p w:rsidR="000D07A2" w:rsidRPr="00983E20" w:rsidRDefault="000D07A2" w:rsidP="000D07A2">
      <w:pPr>
        <w:shd w:val="clear" w:color="auto" w:fill="F1F1F1"/>
        <w:spacing w:before="75" w:after="75" w:line="300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>• Curitiba</w:t>
      </w:r>
    </w:p>
    <w:p w:rsidR="000D07A2" w:rsidRPr="00983E20" w:rsidRDefault="000D07A2" w:rsidP="000D07A2">
      <w:pPr>
        <w:shd w:val="clear" w:color="auto" w:fill="F1F1F1"/>
        <w:spacing w:after="0" w:line="300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>Divulga a tabela de composição salarial por cargo e lotação, sem detalhar os vencimentos de cada funcionário. (</w:t>
      </w:r>
      <w:hyperlink r:id="rId11" w:tgtFrame="_blank" w:history="1">
        <w:r w:rsidRPr="00983E20">
          <w:rPr>
            <w:rFonts w:ascii="Arial" w:eastAsia="Times New Roman" w:hAnsi="Arial" w:cs="Arial"/>
            <w:sz w:val="24"/>
            <w:szCs w:val="24"/>
            <w:lang w:eastAsia="pt-BR"/>
          </w:rPr>
          <w:t>www.transparencia.curitiba.pr.gov.br</w:t>
        </w:r>
      </w:hyperlink>
      <w:r w:rsidRPr="00983E20">
        <w:rPr>
          <w:rFonts w:ascii="Arial" w:eastAsia="Times New Roman" w:hAnsi="Arial" w:cs="Arial"/>
          <w:sz w:val="24"/>
          <w:szCs w:val="24"/>
          <w:lang w:eastAsia="pt-BR"/>
        </w:rPr>
        <w:t>)</w:t>
      </w:r>
    </w:p>
    <w:p w:rsidR="000D07A2" w:rsidRPr="00983E20" w:rsidRDefault="000D07A2" w:rsidP="000D07A2">
      <w:pPr>
        <w:shd w:val="clear" w:color="auto" w:fill="F1F1F1"/>
        <w:spacing w:before="75" w:after="75" w:line="300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>• Londrina</w:t>
      </w:r>
    </w:p>
    <w:p w:rsidR="000D07A2" w:rsidRPr="00983E20" w:rsidRDefault="000D07A2" w:rsidP="000D07A2">
      <w:pPr>
        <w:shd w:val="clear" w:color="auto" w:fill="F1F1F1"/>
        <w:spacing w:after="0" w:line="300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>Divulga a remuneração pelo número da matrícula do servidor, sem o nome. É possível consultar a relação dos servidores com as respectivas matrículas. (</w:t>
      </w:r>
      <w:hyperlink r:id="rId12" w:tgtFrame="_blank" w:history="1">
        <w:r w:rsidRPr="00983E20">
          <w:rPr>
            <w:rFonts w:ascii="Arial" w:eastAsia="Times New Roman" w:hAnsi="Arial" w:cs="Arial"/>
            <w:sz w:val="24"/>
            <w:szCs w:val="24"/>
            <w:lang w:eastAsia="pt-BR"/>
          </w:rPr>
          <w:t>www.londrina.pr.gov.br/index.php?option=com_content&amp;view=section&amp;id=23&amp;Itemid=1765</w:t>
        </w:r>
      </w:hyperlink>
      <w:proofErr w:type="gramStart"/>
      <w:r w:rsidRPr="00983E20">
        <w:rPr>
          <w:rFonts w:ascii="Arial" w:eastAsia="Times New Roman" w:hAnsi="Arial" w:cs="Arial"/>
          <w:sz w:val="24"/>
          <w:szCs w:val="24"/>
          <w:lang w:eastAsia="pt-BR"/>
        </w:rPr>
        <w:t>)</w:t>
      </w:r>
      <w:proofErr w:type="gramEnd"/>
    </w:p>
    <w:p w:rsidR="000D07A2" w:rsidRPr="00983E20" w:rsidRDefault="000D07A2" w:rsidP="000D07A2">
      <w:pPr>
        <w:shd w:val="clear" w:color="auto" w:fill="F1F1F1"/>
        <w:spacing w:before="75" w:after="75" w:line="300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>• Maringá</w:t>
      </w:r>
    </w:p>
    <w:p w:rsidR="000D07A2" w:rsidRPr="00983E20" w:rsidRDefault="000D07A2" w:rsidP="000D07A2">
      <w:pPr>
        <w:shd w:val="clear" w:color="auto" w:fill="F1F1F1"/>
        <w:spacing w:after="0" w:line="300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>Divulga a relação de servidores, mas não divulga a tabela de composição salarial. (</w:t>
      </w:r>
      <w:hyperlink r:id="rId13" w:tgtFrame="_blank" w:history="1">
        <w:proofErr w:type="gramStart"/>
        <w:r w:rsidRPr="00983E20">
          <w:rPr>
            <w:rFonts w:ascii="Arial" w:eastAsia="Times New Roman" w:hAnsi="Arial" w:cs="Arial"/>
            <w:sz w:val="24"/>
            <w:szCs w:val="24"/>
            <w:lang w:eastAsia="pt-BR"/>
          </w:rPr>
          <w:t>www2.</w:t>
        </w:r>
        <w:proofErr w:type="gramEnd"/>
        <w:r w:rsidRPr="00983E20">
          <w:rPr>
            <w:rFonts w:ascii="Arial" w:eastAsia="Times New Roman" w:hAnsi="Arial" w:cs="Arial"/>
            <w:sz w:val="24"/>
            <w:szCs w:val="24"/>
            <w:lang w:eastAsia="pt-BR"/>
          </w:rPr>
          <w:t>maringa.pr.gov.br/site/</w:t>
        </w:r>
        <w:proofErr w:type="spellStart"/>
        <w:r w:rsidRPr="00983E20">
          <w:rPr>
            <w:rFonts w:ascii="Arial" w:eastAsia="Times New Roman" w:hAnsi="Arial" w:cs="Arial"/>
            <w:sz w:val="24"/>
            <w:szCs w:val="24"/>
            <w:lang w:eastAsia="pt-BR"/>
          </w:rPr>
          <w:t>index.php?sessao</w:t>
        </w:r>
        <w:proofErr w:type="spellEnd"/>
        <w:r w:rsidRPr="00983E20">
          <w:rPr>
            <w:rFonts w:ascii="Arial" w:eastAsia="Times New Roman" w:hAnsi="Arial" w:cs="Arial"/>
            <w:sz w:val="24"/>
            <w:szCs w:val="24"/>
            <w:lang w:eastAsia="pt-BR"/>
          </w:rPr>
          <w:t>=ac5ade96328nac</w:t>
        </w:r>
      </w:hyperlink>
      <w:r w:rsidRPr="00983E20">
        <w:rPr>
          <w:rFonts w:ascii="Arial" w:eastAsia="Times New Roman" w:hAnsi="Arial" w:cs="Arial"/>
          <w:sz w:val="24"/>
          <w:szCs w:val="24"/>
          <w:lang w:eastAsia="pt-BR"/>
        </w:rPr>
        <w:t>)</w:t>
      </w:r>
    </w:p>
    <w:p w:rsidR="000D07A2" w:rsidRPr="00983E20" w:rsidRDefault="000D07A2" w:rsidP="000D07A2">
      <w:pPr>
        <w:shd w:val="clear" w:color="auto" w:fill="F1F1F1"/>
        <w:spacing w:before="75" w:after="75" w:line="300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>• Ponta Grossa</w:t>
      </w:r>
    </w:p>
    <w:p w:rsidR="000D07A2" w:rsidRPr="00983E20" w:rsidRDefault="000D07A2" w:rsidP="000D07A2">
      <w:pPr>
        <w:shd w:val="clear" w:color="auto" w:fill="F1F1F1"/>
        <w:spacing w:after="0" w:line="300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>Divulga a tabela de composição salarial por cargo e lotação, sem detalhar os vencimentos de cada funcionário. (</w:t>
      </w:r>
      <w:hyperlink r:id="rId14" w:tgtFrame="_blank" w:history="1">
        <w:proofErr w:type="gramStart"/>
        <w:r w:rsidRPr="00983E20">
          <w:rPr>
            <w:rFonts w:ascii="Arial" w:eastAsia="Times New Roman" w:hAnsi="Arial" w:cs="Arial"/>
            <w:sz w:val="24"/>
            <w:szCs w:val="24"/>
            <w:lang w:eastAsia="pt-BR"/>
          </w:rPr>
          <w:t>transparencia.</w:t>
        </w:r>
        <w:proofErr w:type="gramEnd"/>
        <w:r w:rsidRPr="00983E20">
          <w:rPr>
            <w:rFonts w:ascii="Arial" w:eastAsia="Times New Roman" w:hAnsi="Arial" w:cs="Arial"/>
            <w:sz w:val="24"/>
            <w:szCs w:val="24"/>
            <w:lang w:eastAsia="pt-BR"/>
          </w:rPr>
          <w:t>pontagrossa.pr.gov.br/</w:t>
        </w:r>
      </w:hyperlink>
      <w:r w:rsidRPr="00983E20">
        <w:rPr>
          <w:rFonts w:ascii="Arial" w:eastAsia="Times New Roman" w:hAnsi="Arial" w:cs="Arial"/>
          <w:sz w:val="24"/>
          <w:szCs w:val="24"/>
          <w:lang w:eastAsia="pt-BR"/>
        </w:rPr>
        <w:t>)</w:t>
      </w:r>
    </w:p>
    <w:p w:rsidR="000D07A2" w:rsidRPr="00983E20" w:rsidRDefault="000D07A2" w:rsidP="000D07A2">
      <w:pPr>
        <w:shd w:val="clear" w:color="auto" w:fill="F1F1F1"/>
        <w:spacing w:before="75" w:after="75" w:line="300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>• Cascavel</w:t>
      </w:r>
    </w:p>
    <w:p w:rsidR="000D07A2" w:rsidRPr="00983E20" w:rsidRDefault="000D07A2" w:rsidP="000D07A2">
      <w:pPr>
        <w:shd w:val="clear" w:color="auto" w:fill="F1F1F1"/>
        <w:spacing w:after="0" w:line="300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>Divulga a relação de servidores, mas não divulga a tabela de composição salarial. (</w:t>
      </w:r>
      <w:hyperlink r:id="rId15" w:tgtFrame="_blank" w:history="1">
        <w:r w:rsidRPr="00983E20">
          <w:rPr>
            <w:rFonts w:ascii="Arial" w:eastAsia="Times New Roman" w:hAnsi="Arial" w:cs="Arial"/>
            <w:sz w:val="24"/>
            <w:szCs w:val="24"/>
            <w:lang w:eastAsia="pt-BR"/>
          </w:rPr>
          <w:t>www.cascavel.pr.gov.br/contas-publicas.php</w:t>
        </w:r>
      </w:hyperlink>
      <w:r w:rsidRPr="00983E20">
        <w:rPr>
          <w:rFonts w:ascii="Arial" w:eastAsia="Times New Roman" w:hAnsi="Arial" w:cs="Arial"/>
          <w:sz w:val="24"/>
          <w:szCs w:val="24"/>
          <w:lang w:eastAsia="pt-BR"/>
        </w:rPr>
        <w:t>)</w:t>
      </w:r>
    </w:p>
    <w:p w:rsidR="000D07A2" w:rsidRPr="00983E20" w:rsidRDefault="000D07A2" w:rsidP="000D07A2">
      <w:pPr>
        <w:shd w:val="clear" w:color="auto" w:fill="F1F1F1"/>
        <w:spacing w:before="75" w:after="75" w:line="300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>• Foz do Iguaçu</w:t>
      </w:r>
    </w:p>
    <w:p w:rsidR="000D07A2" w:rsidRPr="00983E20" w:rsidRDefault="00896636" w:rsidP="000D07A2">
      <w:pPr>
        <w:shd w:val="clear" w:color="auto" w:fill="F1F1F1"/>
        <w:spacing w:line="300" w:lineRule="atLeast"/>
        <w:rPr>
          <w:rFonts w:ascii="Arial" w:eastAsia="Times New Roman" w:hAnsi="Arial" w:cs="Arial"/>
          <w:sz w:val="24"/>
          <w:szCs w:val="24"/>
          <w:lang w:eastAsia="pt-BR"/>
        </w:rPr>
      </w:pPr>
      <w:hyperlink r:id="rId16" w:tgtFrame="_blank" w:history="1">
        <w:r w:rsidR="000D07A2" w:rsidRPr="00983E20">
          <w:rPr>
            <w:rFonts w:ascii="Arial" w:eastAsia="Times New Roman" w:hAnsi="Arial" w:cs="Arial"/>
            <w:sz w:val="24"/>
            <w:szCs w:val="24"/>
            <w:lang w:eastAsia="pt-BR"/>
          </w:rPr>
          <w:t xml:space="preserve">Divulga a relação de servidores, mas não divulga a tabela de composição </w:t>
        </w:r>
        <w:proofErr w:type="gramStart"/>
        <w:r w:rsidR="000D07A2" w:rsidRPr="00983E20">
          <w:rPr>
            <w:rFonts w:ascii="Arial" w:eastAsia="Times New Roman" w:hAnsi="Arial" w:cs="Arial"/>
            <w:sz w:val="24"/>
            <w:szCs w:val="24"/>
            <w:lang w:eastAsia="pt-BR"/>
          </w:rPr>
          <w:t>salarial.</w:t>
        </w:r>
        <w:proofErr w:type="gramEnd"/>
      </w:hyperlink>
    </w:p>
    <w:p w:rsidR="000D07A2" w:rsidRPr="00983E20" w:rsidRDefault="000D07A2" w:rsidP="000D07A2">
      <w:pPr>
        <w:shd w:val="clear" w:color="auto" w:fill="F1F1F1"/>
        <w:spacing w:after="150" w:line="240" w:lineRule="atLeast"/>
        <w:outlineLvl w:val="5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Dê a sua opinião</w:t>
      </w:r>
    </w:p>
    <w:p w:rsidR="000D07A2" w:rsidRPr="00983E20" w:rsidRDefault="000D07A2" w:rsidP="000D07A2">
      <w:pPr>
        <w:shd w:val="clear" w:color="auto" w:fill="F1F1F1"/>
        <w:spacing w:before="75" w:after="75" w:line="300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 xml:space="preserve">Por que é importante para a sociedade obter informações sobre gastos dos órgãos públicos? </w:t>
      </w:r>
    </w:p>
    <w:p w:rsidR="000D07A2" w:rsidRPr="00983E20" w:rsidRDefault="000D07A2" w:rsidP="000D07A2">
      <w:pPr>
        <w:shd w:val="clear" w:color="auto" w:fill="F1F1F1"/>
        <w:spacing w:after="0" w:line="300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 xml:space="preserve">Escreva para </w:t>
      </w:r>
      <w:hyperlink r:id="rId17" w:tgtFrame="_blank" w:history="1">
        <w:r w:rsidRPr="00983E20">
          <w:rPr>
            <w:rFonts w:ascii="Arial" w:eastAsia="Times New Roman" w:hAnsi="Arial" w:cs="Arial"/>
            <w:sz w:val="24"/>
            <w:szCs w:val="24"/>
            <w:lang w:eastAsia="pt-BR"/>
          </w:rPr>
          <w:t>leitor@gazetadopovo.com.br</w:t>
        </w:r>
      </w:hyperlink>
    </w:p>
    <w:p w:rsidR="000D07A2" w:rsidRPr="00983E20" w:rsidRDefault="000D07A2" w:rsidP="000D07A2">
      <w:pPr>
        <w:shd w:val="clear" w:color="auto" w:fill="F1F1F1"/>
        <w:spacing w:before="75" w:line="300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>As cartas selecionadas serão publicadas na Coluna do Leitor.</w:t>
      </w:r>
    </w:p>
    <w:p w:rsidR="000D07A2" w:rsidRPr="00983E20" w:rsidRDefault="000D07A2" w:rsidP="000D07A2">
      <w:pPr>
        <w:spacing w:before="180" w:after="180" w:line="300" w:lineRule="atLeast"/>
        <w:ind w:right="150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>A transparência dos gastos públicos também não é total em 14 das 26 assembleias legislativas dos estados. As Casas ainda mantêm em sigilo as folhas de pagamento de seus funcionários. Somente as assembleias de Rio de Janeiro e Espírito Santo divulgam em seus sites na internet os nomes completos dos servidores junto aos seus salários numa planilha única.</w:t>
      </w:r>
    </w:p>
    <w:p w:rsidR="000D07A2" w:rsidRPr="00983E20" w:rsidRDefault="000D07A2" w:rsidP="000D07A2">
      <w:pPr>
        <w:spacing w:before="180" w:after="180" w:line="300" w:lineRule="atLeast"/>
        <w:ind w:right="150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>No Paraná, de cinco órgãos estaduais e prefeituras dos seis maiores municípios, apenas o Tribunal de Contas do Estado (TCE) tem em sua página na internet uma lista única com os nomes e salários dos servidores.</w:t>
      </w:r>
    </w:p>
    <w:p w:rsidR="000D07A2" w:rsidRPr="00983E20" w:rsidRDefault="000D07A2" w:rsidP="000D07A2">
      <w:pPr>
        <w:spacing w:before="180" w:after="180" w:line="300" w:lineRule="atLeast"/>
        <w:ind w:right="150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 xml:space="preserve">Para </w:t>
      </w:r>
      <w:proofErr w:type="gramStart"/>
      <w:r w:rsidRPr="00983E20">
        <w:rPr>
          <w:rFonts w:ascii="Arial" w:eastAsia="Times New Roman" w:hAnsi="Arial" w:cs="Arial"/>
          <w:sz w:val="24"/>
          <w:szCs w:val="24"/>
          <w:lang w:eastAsia="pt-BR"/>
        </w:rPr>
        <w:t>o secretário geral da Associação Contas Abertas</w:t>
      </w:r>
      <w:proofErr w:type="gramEnd"/>
      <w:r w:rsidRPr="00983E20">
        <w:rPr>
          <w:rFonts w:ascii="Arial" w:eastAsia="Times New Roman" w:hAnsi="Arial" w:cs="Arial"/>
          <w:sz w:val="24"/>
          <w:szCs w:val="24"/>
          <w:lang w:eastAsia="pt-BR"/>
        </w:rPr>
        <w:t xml:space="preserve">, Gil Castelo Branco, a divulgação de salários ainda é o grande tabu da Lei de Acesso à Informação. “A resistência ainda é muito grande por parte de alguns órgãos e não é por </w:t>
      </w:r>
      <w:r w:rsidRPr="00983E20">
        <w:rPr>
          <w:rFonts w:ascii="Arial" w:eastAsia="Times New Roman" w:hAnsi="Arial" w:cs="Arial"/>
          <w:sz w:val="24"/>
          <w:szCs w:val="24"/>
          <w:lang w:eastAsia="pt-BR"/>
        </w:rPr>
        <w:lastRenderedPageBreak/>
        <w:t>acaso. Se a instituição não é transparente é porque tem algo a esconder”, afirma. Na sua avaliação, esse tipo de informação é importante para detectar distorções como as verificadas recentemente no Senado, onde garçons recebem salários entre R$ 7 mil e R$ 14 mil.</w:t>
      </w:r>
    </w:p>
    <w:p w:rsidR="000D07A2" w:rsidRPr="00983E20" w:rsidRDefault="000D07A2" w:rsidP="000D07A2">
      <w:pPr>
        <w:spacing w:before="180" w:after="180" w:line="300" w:lineRule="atLeast"/>
        <w:ind w:right="150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>Publicada em 16 de maio de 2012, a Lei 12.527 estabelece que órgãos dos três poderes constituídos (Executivo, Legislativo e Judiciário) devem oferecer a todos os cidadãos mecanismos para solicitar informações sobre seu funcionamento, programas e estrutura. O objetivo é garantir maior transparência às ações do poder público.</w:t>
      </w:r>
    </w:p>
    <w:p w:rsidR="000D07A2" w:rsidRPr="00983E20" w:rsidRDefault="000D07A2" w:rsidP="000D07A2">
      <w:pPr>
        <w:spacing w:before="180" w:after="180" w:line="300" w:lineRule="atLeast"/>
        <w:ind w:right="150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Aprimoramentos</w:t>
      </w:r>
    </w:p>
    <w:p w:rsidR="000D07A2" w:rsidRPr="00983E20" w:rsidRDefault="000D07A2" w:rsidP="000D07A2">
      <w:pPr>
        <w:spacing w:before="180" w:after="180" w:line="300" w:lineRule="atLeast"/>
        <w:ind w:right="150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 xml:space="preserve">Castelo Branco acredita que ainda há </w:t>
      </w:r>
      <w:proofErr w:type="gramStart"/>
      <w:r w:rsidRPr="00983E20">
        <w:rPr>
          <w:rFonts w:ascii="Arial" w:eastAsia="Times New Roman" w:hAnsi="Arial" w:cs="Arial"/>
          <w:sz w:val="24"/>
          <w:szCs w:val="24"/>
          <w:lang w:eastAsia="pt-BR"/>
        </w:rPr>
        <w:t>muito o que</w:t>
      </w:r>
      <w:proofErr w:type="gramEnd"/>
      <w:r w:rsidRPr="00983E20">
        <w:rPr>
          <w:rFonts w:ascii="Arial" w:eastAsia="Times New Roman" w:hAnsi="Arial" w:cs="Arial"/>
          <w:sz w:val="24"/>
          <w:szCs w:val="24"/>
          <w:lang w:eastAsia="pt-BR"/>
        </w:rPr>
        <w:t xml:space="preserve"> ser aprimorado no funcionamento da legislação. Além da regulamentação por estados e municípios, ele entende que é necessário facilitar alguns procedimentos para solicitação de informações. “Mas é um processo natural. Não se muda apenas com a assinatura de um papel uma cultura de segredo, de sigilo”, avalia.</w:t>
      </w:r>
    </w:p>
    <w:p w:rsidR="000D07A2" w:rsidRPr="00983E20" w:rsidRDefault="000D07A2" w:rsidP="000D07A2">
      <w:pPr>
        <w:spacing w:before="180" w:after="180" w:line="300" w:lineRule="atLeast"/>
        <w:ind w:right="150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 xml:space="preserve">Christian </w:t>
      </w:r>
      <w:proofErr w:type="spellStart"/>
      <w:r w:rsidRPr="00983E20">
        <w:rPr>
          <w:rFonts w:ascii="Arial" w:eastAsia="Times New Roman" w:hAnsi="Arial" w:cs="Arial"/>
          <w:sz w:val="24"/>
          <w:szCs w:val="24"/>
          <w:lang w:eastAsia="pt-BR"/>
        </w:rPr>
        <w:t>Mendez</w:t>
      </w:r>
      <w:proofErr w:type="spellEnd"/>
      <w:r w:rsidRPr="00983E20">
        <w:rPr>
          <w:rFonts w:ascii="Arial" w:eastAsia="Times New Roman" w:hAnsi="Arial" w:cs="Arial"/>
          <w:sz w:val="24"/>
          <w:szCs w:val="24"/>
          <w:lang w:eastAsia="pt-BR"/>
        </w:rPr>
        <w:t xml:space="preserve"> Alcântara, pós-doutor em Gestão Pública e professor da Universidade Federal do Paraná (UFPR), acredita que o avanço maior passa pela conscientização da população. “A lei por si só não garante os avanços necessários. É preciso que o cidadão entenda que, tendo mais informações, pode cobrar mais e ver suas demandas atendidas com maior eficácia”, observa.</w:t>
      </w:r>
    </w:p>
    <w:p w:rsidR="000D07A2" w:rsidRPr="00983E20" w:rsidRDefault="000D07A2" w:rsidP="000D07A2">
      <w:pPr>
        <w:spacing w:before="180" w:after="180" w:line="300" w:lineRule="atLeast"/>
        <w:ind w:right="150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Perguntas e respostas</w:t>
      </w:r>
    </w:p>
    <w:p w:rsidR="000D07A2" w:rsidRPr="00983E20" w:rsidRDefault="000D07A2" w:rsidP="000D07A2">
      <w:pPr>
        <w:spacing w:before="180" w:after="180" w:line="300" w:lineRule="atLeast"/>
        <w:ind w:right="150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>A Lei de Acesso à Informação deve garantir à sociedade ferramentas para compreensão do funcionamento e gastos dos órgãos públicos.</w:t>
      </w:r>
    </w:p>
    <w:p w:rsidR="000D07A2" w:rsidRPr="00983E20" w:rsidRDefault="000D07A2" w:rsidP="000D07A2">
      <w:pPr>
        <w:spacing w:before="180" w:after="180" w:line="300" w:lineRule="atLeast"/>
        <w:ind w:right="150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 que é a Lei de Acesso à Informação?</w:t>
      </w:r>
    </w:p>
    <w:p w:rsidR="000D07A2" w:rsidRPr="00983E20" w:rsidRDefault="000D07A2" w:rsidP="000D07A2">
      <w:pPr>
        <w:spacing w:before="180" w:after="180" w:line="300" w:lineRule="atLeast"/>
        <w:ind w:right="150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>A Lei 12.527 tem o propósito de regulamentar o direito constitucional de acesso dos cidadãos às informações públicas e seus dispositivos são aplicáveis aos três poderes da União, estados, Distrito Federal e municípios.</w:t>
      </w:r>
    </w:p>
    <w:p w:rsidR="000D07A2" w:rsidRPr="00983E20" w:rsidRDefault="000D07A2" w:rsidP="000D07A2">
      <w:pPr>
        <w:spacing w:before="180" w:after="180" w:line="300" w:lineRule="atLeast"/>
        <w:ind w:right="150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Como pode ser feito o pedido de informação?</w:t>
      </w:r>
    </w:p>
    <w:p w:rsidR="000D07A2" w:rsidRPr="00983E20" w:rsidRDefault="000D07A2" w:rsidP="000D07A2">
      <w:pPr>
        <w:spacing w:before="180" w:after="180" w:line="300" w:lineRule="atLeast"/>
        <w:ind w:right="150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>Através de ofício protocolado junto ao órgão ou pelo preenchimento de formulário na internet. É necessária apenas a identificação básica do requerente e não é preciso apresentar o motivo para o pedido.</w:t>
      </w:r>
    </w:p>
    <w:p w:rsidR="000D07A2" w:rsidRPr="00983E20" w:rsidRDefault="000D07A2" w:rsidP="000D07A2">
      <w:pPr>
        <w:spacing w:before="180" w:after="180" w:line="300" w:lineRule="atLeast"/>
        <w:ind w:right="150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Que tipo de informação pode ser </w:t>
      </w:r>
      <w:proofErr w:type="gramStart"/>
      <w:r w:rsidRPr="00983E2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solicitada</w:t>
      </w:r>
      <w:proofErr w:type="gramEnd"/>
      <w:r w:rsidRPr="00983E2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?</w:t>
      </w:r>
    </w:p>
    <w:p w:rsidR="000D07A2" w:rsidRPr="00983E20" w:rsidRDefault="000D07A2" w:rsidP="000D07A2">
      <w:pPr>
        <w:spacing w:before="180" w:after="180" w:line="300" w:lineRule="atLeast"/>
        <w:ind w:right="150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 xml:space="preserve">Podem ser requisitadas quaisquer informações a respeito de órgãos públicos, com exceção daquelas consideradas sigilosas, tais como assuntos secretos do Estado, temas que possam colocar em risco a segurança nacional ou que comprometam atividades de investigação policial, dados de casos que corram em segredo de justiça e informações pessoais dos agentes públicos ou </w:t>
      </w:r>
      <w:r w:rsidRPr="00983E20">
        <w:rPr>
          <w:rFonts w:ascii="Arial" w:eastAsia="Times New Roman" w:hAnsi="Arial" w:cs="Arial"/>
          <w:sz w:val="24"/>
          <w:szCs w:val="24"/>
          <w:lang w:eastAsia="pt-BR"/>
        </w:rPr>
        <w:lastRenderedPageBreak/>
        <w:t>privados. Nesses casos, o órgão é obrigado a justificar o motivo para não fornecer o dado.</w:t>
      </w:r>
    </w:p>
    <w:p w:rsidR="000D07A2" w:rsidRPr="00983E20" w:rsidRDefault="000D07A2" w:rsidP="000D07A2">
      <w:pPr>
        <w:spacing w:before="180" w:after="180" w:line="300" w:lineRule="atLeast"/>
        <w:ind w:right="150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Qual o prazo para resposta?</w:t>
      </w:r>
    </w:p>
    <w:p w:rsidR="000D07A2" w:rsidRPr="00983E20" w:rsidRDefault="000D07A2" w:rsidP="000D07A2">
      <w:pPr>
        <w:spacing w:before="180" w:after="180" w:line="300" w:lineRule="atLeast"/>
        <w:ind w:right="150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>O prazo para responder os requerimentos é de 20 dias, podendo ser prorrogado por mais 10 mediante justificativa. No caso de indeferimento do pedido, o interessado pode entrar com recurso num prazo de 10 dias, devendo obter resposta em até cinco dias.</w:t>
      </w:r>
    </w:p>
    <w:p w:rsidR="000D07A2" w:rsidRPr="00983E20" w:rsidRDefault="000D07A2" w:rsidP="000D07A2">
      <w:pPr>
        <w:spacing w:before="180" w:after="180" w:line="300" w:lineRule="atLeast"/>
        <w:ind w:right="150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No Paraná, ações judiciais questionam divulgação de </w:t>
      </w:r>
      <w:proofErr w:type="gramStart"/>
      <w:r w:rsidRPr="00983E2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dados</w:t>
      </w:r>
      <w:proofErr w:type="gramEnd"/>
    </w:p>
    <w:p w:rsidR="000D07A2" w:rsidRPr="00983E20" w:rsidRDefault="000D07A2" w:rsidP="000D07A2">
      <w:pPr>
        <w:spacing w:before="180" w:after="180" w:line="300" w:lineRule="atLeast"/>
        <w:ind w:right="150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 xml:space="preserve">A reportagem da Gazeta do Povo consultou os portais da transparência do governo do Estado, Assembleia Legislativa, Tribunal de Justiça, Ministério Público, Tribunal de Contas e das prefeituras de Curitiba, Londrina, Maringá, Ponta Grossa, Cascavel e Foz do Iguaçu. Apesar de a divulgação nominal dos salários não estar prevista em lei, a norma é aplicada pelo governo federal e alguns </w:t>
      </w:r>
      <w:bookmarkStart w:id="0" w:name="_GoBack"/>
      <w:bookmarkEnd w:id="0"/>
      <w:r w:rsidRPr="00983E20">
        <w:rPr>
          <w:rFonts w:ascii="Arial" w:eastAsia="Times New Roman" w:hAnsi="Arial" w:cs="Arial"/>
          <w:sz w:val="24"/>
          <w:szCs w:val="24"/>
          <w:lang w:eastAsia="pt-BR"/>
        </w:rPr>
        <w:t>governos estaduais, como os de São Paulo e Santa Catarina.</w:t>
      </w:r>
    </w:p>
    <w:p w:rsidR="000D07A2" w:rsidRPr="00983E20" w:rsidRDefault="000D07A2" w:rsidP="000D07A2">
      <w:pPr>
        <w:spacing w:before="180" w:after="180" w:line="300" w:lineRule="atLeast"/>
        <w:ind w:right="150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 xml:space="preserve">No Paraná, uma decisão judicial impede a divulgação dos salários de servidores públicos </w:t>
      </w:r>
      <w:proofErr w:type="gramStart"/>
      <w:r w:rsidRPr="00983E20">
        <w:rPr>
          <w:rFonts w:ascii="Arial" w:eastAsia="Times New Roman" w:hAnsi="Arial" w:cs="Arial"/>
          <w:sz w:val="24"/>
          <w:szCs w:val="24"/>
          <w:lang w:eastAsia="pt-BR"/>
        </w:rPr>
        <w:t>estaduais</w:t>
      </w:r>
      <w:proofErr w:type="gramEnd"/>
      <w:r w:rsidRPr="00983E20">
        <w:rPr>
          <w:rFonts w:ascii="Arial" w:eastAsia="Times New Roman" w:hAnsi="Arial" w:cs="Arial"/>
          <w:sz w:val="24"/>
          <w:szCs w:val="24"/>
          <w:lang w:eastAsia="pt-BR"/>
        </w:rPr>
        <w:t xml:space="preserve">. Em junho do ano passado, ao julgar uma ação do ex-deputado estadual </w:t>
      </w:r>
      <w:proofErr w:type="spellStart"/>
      <w:r w:rsidRPr="00983E20">
        <w:rPr>
          <w:rFonts w:ascii="Arial" w:eastAsia="Times New Roman" w:hAnsi="Arial" w:cs="Arial"/>
          <w:sz w:val="24"/>
          <w:szCs w:val="24"/>
          <w:lang w:eastAsia="pt-BR"/>
        </w:rPr>
        <w:t>Jocelito</w:t>
      </w:r>
      <w:proofErr w:type="spellEnd"/>
      <w:r w:rsidRPr="00983E20">
        <w:rPr>
          <w:rFonts w:ascii="Arial" w:eastAsia="Times New Roman" w:hAnsi="Arial" w:cs="Arial"/>
          <w:sz w:val="24"/>
          <w:szCs w:val="24"/>
          <w:lang w:eastAsia="pt-BR"/>
        </w:rPr>
        <w:t xml:space="preserve"> Canto, o Tribunal de Justiça do Paraná decretou que a medida é inconstitucional. A determinação </w:t>
      </w:r>
      <w:proofErr w:type="gramStart"/>
      <w:r w:rsidRPr="00983E20">
        <w:rPr>
          <w:rFonts w:ascii="Arial" w:eastAsia="Times New Roman" w:hAnsi="Arial" w:cs="Arial"/>
          <w:sz w:val="24"/>
          <w:szCs w:val="24"/>
          <w:lang w:eastAsia="pt-BR"/>
        </w:rPr>
        <w:t>vai na</w:t>
      </w:r>
      <w:proofErr w:type="gramEnd"/>
      <w:r w:rsidRPr="00983E20">
        <w:rPr>
          <w:rFonts w:ascii="Arial" w:eastAsia="Times New Roman" w:hAnsi="Arial" w:cs="Arial"/>
          <w:sz w:val="24"/>
          <w:szCs w:val="24"/>
          <w:lang w:eastAsia="pt-BR"/>
        </w:rPr>
        <w:t xml:space="preserve"> contramão do que estabeleceu o Conselho Nacional de Justiça (CNJ), ao exigir que os tribunais de todo o país publiquem os contracheques dos servidores e magistrados. Por enquanto o TJ paranaense se limita a divulgar as remunerações por cargo, sem identificação nominal. A Ordem dos Advogados do Brasil (OAB) contesta a decisão do TJ no Supremo Tribunal Federal (STF).</w:t>
      </w:r>
    </w:p>
    <w:p w:rsidR="000D07A2" w:rsidRPr="00983E20" w:rsidRDefault="000D07A2" w:rsidP="000D07A2">
      <w:pPr>
        <w:spacing w:before="180" w:line="300" w:lineRule="atLeast"/>
        <w:ind w:right="150"/>
        <w:rPr>
          <w:rFonts w:ascii="Arial" w:eastAsia="Times New Roman" w:hAnsi="Arial" w:cs="Arial"/>
          <w:sz w:val="24"/>
          <w:szCs w:val="24"/>
          <w:lang w:eastAsia="pt-BR"/>
        </w:rPr>
      </w:pPr>
      <w:r w:rsidRPr="00983E20">
        <w:rPr>
          <w:rFonts w:ascii="Arial" w:eastAsia="Times New Roman" w:hAnsi="Arial" w:cs="Arial"/>
          <w:sz w:val="24"/>
          <w:szCs w:val="24"/>
          <w:lang w:eastAsia="pt-BR"/>
        </w:rPr>
        <w:t>Dentre os órgãos estaduais, somente o TCE publica os vencimentos nominais de todos seus servidores em seu portal da transparência. Em relação às prefeituras, a de Londrina não traz uma relação única com nomes e salários, mas é possível consultar os valores através do número de matrícula dos funcionários, efetivos e comissionados. Os demais órgãos e prefeituras disponibilizam apenas as tabelas de remuneração, com os salários e gratificações equivalentes a cada cargo.</w:t>
      </w:r>
    </w:p>
    <w:p w:rsidR="000E150C" w:rsidRPr="00983E20" w:rsidRDefault="000E150C">
      <w:pPr>
        <w:rPr>
          <w:rFonts w:ascii="Arial" w:hAnsi="Arial" w:cs="Arial"/>
          <w:sz w:val="24"/>
          <w:szCs w:val="24"/>
        </w:rPr>
      </w:pPr>
    </w:p>
    <w:sectPr w:rsidR="000E150C" w:rsidRPr="00983E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B46BB"/>
    <w:multiLevelType w:val="multilevel"/>
    <w:tmpl w:val="6F825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7A2"/>
    <w:rsid w:val="000D07A2"/>
    <w:rsid w:val="000E150C"/>
    <w:rsid w:val="0098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D07A2"/>
    <w:rPr>
      <w:b/>
      <w:bCs/>
    </w:rPr>
  </w:style>
  <w:style w:type="character" w:styleId="MquinadeescreverHTML">
    <w:name w:val="HTML Typewriter"/>
    <w:basedOn w:val="Fontepargpadro"/>
    <w:uiPriority w:val="99"/>
    <w:semiHidden/>
    <w:unhideWhenUsed/>
    <w:rsid w:val="000D07A2"/>
    <w:rPr>
      <w:rFonts w:ascii="Courier New" w:eastAsia="Times New Roman" w:hAnsi="Courier New" w:cs="Courier New"/>
      <w:sz w:val="20"/>
      <w:szCs w:val="20"/>
    </w:rPr>
  </w:style>
  <w:style w:type="paragraph" w:customStyle="1" w:styleId="gravata1">
    <w:name w:val="gravata1"/>
    <w:basedOn w:val="Normal"/>
    <w:rsid w:val="000D07A2"/>
    <w:pPr>
      <w:spacing w:before="180" w:after="180" w:line="300" w:lineRule="atLeast"/>
      <w:ind w:right="150"/>
    </w:pPr>
    <w:rPr>
      <w:rFonts w:ascii="Arial" w:eastAsia="Times New Roman" w:hAnsi="Arial" w:cs="Arial"/>
      <w:color w:val="000000"/>
      <w:sz w:val="21"/>
      <w:szCs w:val="21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D07A2"/>
    <w:rPr>
      <w:b/>
      <w:bCs/>
    </w:rPr>
  </w:style>
  <w:style w:type="character" w:styleId="MquinadeescreverHTML">
    <w:name w:val="HTML Typewriter"/>
    <w:basedOn w:val="Fontepargpadro"/>
    <w:uiPriority w:val="99"/>
    <w:semiHidden/>
    <w:unhideWhenUsed/>
    <w:rsid w:val="000D07A2"/>
    <w:rPr>
      <w:rFonts w:ascii="Courier New" w:eastAsia="Times New Roman" w:hAnsi="Courier New" w:cs="Courier New"/>
      <w:sz w:val="20"/>
      <w:szCs w:val="20"/>
    </w:rPr>
  </w:style>
  <w:style w:type="paragraph" w:customStyle="1" w:styleId="gravata1">
    <w:name w:val="gravata1"/>
    <w:basedOn w:val="Normal"/>
    <w:rsid w:val="000D07A2"/>
    <w:pPr>
      <w:spacing w:before="180" w:after="180" w:line="300" w:lineRule="atLeast"/>
      <w:ind w:right="150"/>
    </w:pPr>
    <w:rPr>
      <w:rFonts w:ascii="Arial" w:eastAsia="Times New Roman" w:hAnsi="Arial" w:cs="Arial"/>
      <w:color w:val="000000"/>
      <w:sz w:val="21"/>
      <w:szCs w:val="21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0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8" w:space="0" w:color="FFFFFF"/>
          </w:divBdr>
          <w:divsChild>
            <w:div w:id="131328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9190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8" w:color="DFDEDE"/>
                  </w:divBdr>
                  <w:divsChild>
                    <w:div w:id="2200168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60648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55759">
                          <w:marLeft w:val="0"/>
                          <w:marRight w:val="3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542978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single" w:sz="6" w:space="6" w:color="DFDEDE"/>
                                <w:left w:val="single" w:sz="6" w:space="8" w:color="DFDEDE"/>
                                <w:bottom w:val="single" w:sz="6" w:space="8" w:color="DFDEDE"/>
                                <w:right w:val="single" w:sz="6" w:space="8" w:color="DFDEDE"/>
                              </w:divBdr>
                            </w:div>
                            <w:div w:id="1096484746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single" w:sz="6" w:space="6" w:color="DFDEDE"/>
                                <w:left w:val="single" w:sz="6" w:space="8" w:color="DFDEDE"/>
                                <w:bottom w:val="single" w:sz="6" w:space="8" w:color="DFDEDE"/>
                                <w:right w:val="single" w:sz="6" w:space="8" w:color="DFDEDE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jpr.jus.br/portal-da-transparencia" TargetMode="External"/><Relationship Id="rId13" Type="http://schemas.openxmlformats.org/officeDocument/2006/relationships/hyperlink" Target="http://www2.maringa.pr.gov.br/site/index.php?sessao=ac5ade96328nac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lep.pr.gov.br/transparencia" TargetMode="External"/><Relationship Id="rId12" Type="http://schemas.openxmlformats.org/officeDocument/2006/relationships/hyperlink" Target="http://www.londrina.pr.gov.br/index.php?option=com_content&amp;view=section&amp;id=23&amp;Itemid=1765" TargetMode="External"/><Relationship Id="rId17" Type="http://schemas.openxmlformats.org/officeDocument/2006/relationships/hyperlink" Target="mailto:leitor@gazetadopovo.com.br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2.pmfi.pr.gov.br/giig/portais/portaldatransparencia/defaultPortal.asp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ortaldatransparencia.pr.gov.br" TargetMode="External"/><Relationship Id="rId11" Type="http://schemas.openxmlformats.org/officeDocument/2006/relationships/hyperlink" Target="http://www.transparencia.curitiba.pr.gov.b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ascavel.pr.gov.br/contas-publicas.php" TargetMode="External"/><Relationship Id="rId10" Type="http://schemas.openxmlformats.org/officeDocument/2006/relationships/hyperlink" Target="http://www1.tce.pr.gov.br/conteudo/introducao/2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p.pr.gov.br/modules/conteudo/conteudo.php?conteudo=42" TargetMode="External"/><Relationship Id="rId14" Type="http://schemas.openxmlformats.org/officeDocument/2006/relationships/hyperlink" Target="http://transparencia.pontagrossa.pr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1476</Words>
  <Characters>7973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Djalma Riesemberg Junior</dc:creator>
  <cp:lastModifiedBy>Arnaldo Laporte Junior</cp:lastModifiedBy>
  <cp:revision>2</cp:revision>
  <dcterms:created xsi:type="dcterms:W3CDTF">2013-11-26T16:06:00Z</dcterms:created>
  <dcterms:modified xsi:type="dcterms:W3CDTF">2013-11-26T16:06:00Z</dcterms:modified>
</cp:coreProperties>
</file>