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A2" w:rsidRPr="00983E20" w:rsidRDefault="000D07A2" w:rsidP="000D07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caps/>
          <w:sz w:val="24"/>
          <w:szCs w:val="24"/>
          <w:lang w:eastAsia="pt-BR"/>
        </w:rPr>
        <w:t>Fiscalização</w:t>
      </w:r>
    </w:p>
    <w:p w:rsidR="000D07A2" w:rsidRPr="00983E20" w:rsidRDefault="000D07A2" w:rsidP="000D07A2">
      <w:pPr>
        <w:spacing w:before="75" w:after="105" w:line="450" w:lineRule="atLeast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Em um ano, apenas metade dos estados regulamentou Lei de </w:t>
      </w:r>
      <w:proofErr w:type="gramStart"/>
      <w:r w:rsidRPr="00983E20">
        <w:rPr>
          <w:rFonts w:ascii="Arial" w:eastAsia="Times New Roman" w:hAnsi="Arial" w:cs="Arial"/>
          <w:sz w:val="24"/>
          <w:szCs w:val="24"/>
          <w:lang w:eastAsia="pt-BR"/>
        </w:rPr>
        <w:t>Acesso</w:t>
      </w:r>
      <w:proofErr w:type="gramEnd"/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Só 8% dos municípios brasileiros validaram a legislação. No Paraná, órgãos estaduais e seis prefeituras garantem mecanismos para pedidos de </w:t>
      </w:r>
      <w:proofErr w:type="gramStart"/>
      <w:r w:rsidRPr="00983E20">
        <w:rPr>
          <w:rFonts w:ascii="Arial" w:eastAsia="Times New Roman" w:hAnsi="Arial" w:cs="Arial"/>
          <w:sz w:val="24"/>
          <w:szCs w:val="24"/>
          <w:lang w:eastAsia="pt-BR"/>
        </w:rPr>
        <w:t>informações</w:t>
      </w:r>
      <w:proofErr w:type="gramEnd"/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0D07A2" w:rsidRPr="00983E20" w:rsidRDefault="000D07A2" w:rsidP="000D07A2">
      <w:pPr>
        <w:spacing w:after="15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p w:rsidR="000D07A2" w:rsidRPr="00983E20" w:rsidRDefault="000D07A2" w:rsidP="000D07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Publicado em 13/05/2013 | </w:t>
      </w:r>
      <w:r w:rsidRPr="00983E20">
        <w:rPr>
          <w:rFonts w:ascii="Arial" w:eastAsia="Times New Roman" w:hAnsi="Arial" w:cs="Arial"/>
          <w:caps/>
          <w:sz w:val="24"/>
          <w:szCs w:val="24"/>
          <w:lang w:eastAsia="pt-BR"/>
        </w:rPr>
        <w:t xml:space="preserve">Anderson Gonçalves, com agência O </w:t>
      </w:r>
      <w:proofErr w:type="gramStart"/>
      <w:r w:rsidRPr="00983E20">
        <w:rPr>
          <w:rFonts w:ascii="Arial" w:eastAsia="Times New Roman" w:hAnsi="Arial" w:cs="Arial"/>
          <w:caps/>
          <w:sz w:val="24"/>
          <w:szCs w:val="24"/>
          <w:lang w:eastAsia="pt-BR"/>
        </w:rPr>
        <w:t>Globo</w:t>
      </w:r>
      <w:proofErr w:type="gramEnd"/>
    </w:p>
    <w:p w:rsidR="000D07A2" w:rsidRPr="00983E20" w:rsidRDefault="000D07A2" w:rsidP="000D07A2">
      <w:pPr>
        <w:spacing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07A2" w:rsidRPr="00983E20" w:rsidRDefault="000D07A2" w:rsidP="000D07A2">
      <w:pPr>
        <w:spacing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Criada com o propósito de garantir que todo cidadão tenha à sua disposição dados sobre o poder público, a Lei de Acesso à Informação completa um ano em vigor na próxima quinta-feira. No Paraná, órgãos estaduais e parte das prefeituras já asseguram mecanismos para a população requisitar informações, porém, ainda </w:t>
      </w:r>
      <w:proofErr w:type="gramStart"/>
      <w:r w:rsidRPr="00983E20">
        <w:rPr>
          <w:rFonts w:ascii="Arial" w:eastAsia="Times New Roman" w:hAnsi="Arial" w:cs="Arial"/>
          <w:sz w:val="24"/>
          <w:szCs w:val="24"/>
          <w:lang w:eastAsia="pt-BR"/>
        </w:rPr>
        <w:t>pecam</w:t>
      </w:r>
      <w:proofErr w:type="gramEnd"/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 na divulgação voluntária de dados, a chamada transparência ativa. 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Levantamento da Asso</w:t>
      </w:r>
      <w:r w:rsidRPr="00983E20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983E20">
        <w:rPr>
          <w:rFonts w:ascii="Arial" w:eastAsia="Times New Roman" w:hAnsi="Arial" w:cs="Arial"/>
          <w:sz w:val="24"/>
          <w:szCs w:val="24"/>
          <w:lang w:eastAsia="pt-BR"/>
        </w:rPr>
        <w:softHyphen/>
        <w:t>ciação Contas Abertas mostra que apenas 13 dos 27 estados e 8% dos municípios brasileiros regulamentaram a legislação. Mesmo o Supremo Tribunal Federal (STF) ainda não fez a regulamentação, enquanto órgãos como o Senado e a própria União apresentam obstáculos para prestar as informações.</w:t>
      </w:r>
    </w:p>
    <w:p w:rsidR="000D07A2" w:rsidRPr="00983E20" w:rsidRDefault="000D07A2" w:rsidP="000D07A2">
      <w:pPr>
        <w:shd w:val="clear" w:color="auto" w:fill="F1F1F1"/>
        <w:spacing w:after="150" w:line="240" w:lineRule="atLeast"/>
        <w:outlineLvl w:val="5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Onde encontrar</w:t>
      </w:r>
    </w:p>
    <w:p w:rsidR="000D07A2" w:rsidRPr="00983E20" w:rsidRDefault="000D07A2" w:rsidP="000D07A2">
      <w:pPr>
        <w:shd w:val="clear" w:color="auto" w:fill="F1F1F1"/>
        <w:spacing w:before="75" w:after="75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Cidadão tem poucos mecanismos de acesso nos órgãos paranaenses. Os salários são maior tabu na transparência pública.</w:t>
      </w:r>
    </w:p>
    <w:p w:rsidR="000D07A2" w:rsidRPr="00983E20" w:rsidRDefault="000D07A2" w:rsidP="000D07A2">
      <w:pPr>
        <w:shd w:val="clear" w:color="auto" w:fill="F1F1F1"/>
        <w:spacing w:before="75" w:after="75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Órgãos estaduais</w:t>
      </w:r>
    </w:p>
    <w:p w:rsidR="000D07A2" w:rsidRPr="00983E20" w:rsidRDefault="000D07A2" w:rsidP="000D07A2">
      <w:pPr>
        <w:shd w:val="clear" w:color="auto" w:fill="F1F1F1"/>
        <w:spacing w:before="75" w:after="75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• Governo do Estado</w:t>
      </w:r>
    </w:p>
    <w:p w:rsidR="000D07A2" w:rsidRPr="00983E20" w:rsidRDefault="000D07A2" w:rsidP="000D07A2">
      <w:pPr>
        <w:shd w:val="clear" w:color="auto" w:fill="F1F1F1"/>
        <w:spacing w:after="0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Divulga a tabela de composição salarial por cargo e lotação, sem detalhar os vencimentos de cada funcionário. (</w:t>
      </w:r>
      <w:hyperlink r:id="rId6" w:tgtFrame="_blank" w:history="1"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www.portaldatransparencia.pr.gov.br</w:t>
        </w:r>
      </w:hyperlink>
      <w:r w:rsidRPr="00983E20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0D07A2" w:rsidRPr="00983E20" w:rsidRDefault="000D07A2" w:rsidP="000D07A2">
      <w:pPr>
        <w:shd w:val="clear" w:color="auto" w:fill="F1F1F1"/>
        <w:spacing w:before="75" w:after="75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• Assembleia Legislativa</w:t>
      </w:r>
    </w:p>
    <w:p w:rsidR="000D07A2" w:rsidRPr="00983E20" w:rsidRDefault="000D07A2" w:rsidP="000D07A2">
      <w:pPr>
        <w:shd w:val="clear" w:color="auto" w:fill="F1F1F1"/>
        <w:spacing w:after="0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Divulga a tabela da composição salarial por cargo e lotação, sem detalhar os vencimentos de cada funcionário. (</w:t>
      </w:r>
      <w:hyperlink r:id="rId7" w:tgtFrame="_blank" w:history="1"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www.alep.pr.gov.br/transparencia</w:t>
        </w:r>
      </w:hyperlink>
      <w:r w:rsidRPr="00983E20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0D07A2" w:rsidRPr="00983E20" w:rsidRDefault="000D07A2" w:rsidP="000D07A2">
      <w:pPr>
        <w:shd w:val="clear" w:color="auto" w:fill="F1F1F1"/>
        <w:spacing w:before="75" w:after="75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• Tribunal de Justiça</w:t>
      </w:r>
    </w:p>
    <w:p w:rsidR="000D07A2" w:rsidRPr="00983E20" w:rsidRDefault="000D07A2" w:rsidP="000D07A2">
      <w:pPr>
        <w:shd w:val="clear" w:color="auto" w:fill="F1F1F1"/>
        <w:spacing w:after="0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Divulga a composição das remunerações por cargo, incluindo as verbas de representação e diárias pagas individualmente a membros da magistratura e servidores, sem identificação nominal do beneficiário. (</w:t>
      </w:r>
      <w:hyperlink r:id="rId8" w:tgtFrame="_blank" w:history="1"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www.tjpr.jus.br/portal-da-transparencia</w:t>
        </w:r>
      </w:hyperlink>
      <w:r w:rsidRPr="00983E20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0D07A2" w:rsidRPr="00983E20" w:rsidRDefault="000D07A2" w:rsidP="000D07A2">
      <w:pPr>
        <w:shd w:val="clear" w:color="auto" w:fill="F1F1F1"/>
        <w:spacing w:before="75" w:after="75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• Ministério Público</w:t>
      </w:r>
    </w:p>
    <w:p w:rsidR="000D07A2" w:rsidRPr="00983E20" w:rsidRDefault="000D07A2" w:rsidP="000D07A2">
      <w:pPr>
        <w:shd w:val="clear" w:color="auto" w:fill="F1F1F1"/>
        <w:spacing w:after="0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Divulga a composição das remunerações por cargo, incluindo benefícios e descontos, sem identificação nominal do beneficiário. (</w:t>
      </w:r>
      <w:hyperlink r:id="rId9" w:tgtFrame="_blank" w:history="1"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www.mp.pr.gov.br/modules/conteudo/conteudo.php?conteudo=42</w:t>
        </w:r>
      </w:hyperlink>
      <w:r w:rsidRPr="00983E20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0D07A2" w:rsidRPr="00983E20" w:rsidRDefault="000D07A2" w:rsidP="000D07A2">
      <w:pPr>
        <w:shd w:val="clear" w:color="auto" w:fill="F1F1F1"/>
        <w:spacing w:before="75" w:after="75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• Tribunal de Contas</w:t>
      </w:r>
    </w:p>
    <w:p w:rsidR="000D07A2" w:rsidRPr="00983E20" w:rsidRDefault="000D07A2" w:rsidP="000D07A2">
      <w:pPr>
        <w:shd w:val="clear" w:color="auto" w:fill="F1F1F1"/>
        <w:spacing w:after="0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Divulga a lista com os nomes dos servidores e as respectivas remunerações. (</w:t>
      </w:r>
      <w:hyperlink r:id="rId10" w:tgtFrame="_blank" w:history="1">
        <w:proofErr w:type="gramStart"/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www1.</w:t>
        </w:r>
        <w:proofErr w:type="gramEnd"/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tce.pr.gov.br/</w:t>
        </w:r>
        <w:proofErr w:type="spellStart"/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conteudo</w:t>
        </w:r>
        <w:proofErr w:type="spellEnd"/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/</w:t>
        </w:r>
        <w:proofErr w:type="spellStart"/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introducao</w:t>
        </w:r>
        <w:proofErr w:type="spellEnd"/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/24</w:t>
        </w:r>
      </w:hyperlink>
      <w:r w:rsidRPr="00983E20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0D07A2" w:rsidRPr="00983E20" w:rsidRDefault="000D07A2" w:rsidP="000D07A2">
      <w:pPr>
        <w:shd w:val="clear" w:color="auto" w:fill="F1F1F1"/>
        <w:spacing w:before="75" w:after="75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Prefeituras</w:t>
      </w:r>
    </w:p>
    <w:p w:rsidR="000D07A2" w:rsidRPr="00983E20" w:rsidRDefault="000D07A2" w:rsidP="000D07A2">
      <w:pPr>
        <w:shd w:val="clear" w:color="auto" w:fill="F1F1F1"/>
        <w:spacing w:before="75" w:after="75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• Curitiba</w:t>
      </w:r>
    </w:p>
    <w:p w:rsidR="000D07A2" w:rsidRPr="00983E20" w:rsidRDefault="000D07A2" w:rsidP="000D07A2">
      <w:pPr>
        <w:shd w:val="clear" w:color="auto" w:fill="F1F1F1"/>
        <w:spacing w:after="0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Divulga a tabela de composição salarial por cargo e lotação, sem detalhar os vencimentos de cada funcionário. (</w:t>
      </w:r>
      <w:hyperlink r:id="rId11" w:tgtFrame="_blank" w:history="1"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www.transparencia.curitiba.pr.gov.br</w:t>
        </w:r>
      </w:hyperlink>
      <w:r w:rsidRPr="00983E20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0D07A2" w:rsidRPr="00983E20" w:rsidRDefault="000D07A2" w:rsidP="000D07A2">
      <w:pPr>
        <w:shd w:val="clear" w:color="auto" w:fill="F1F1F1"/>
        <w:spacing w:before="75" w:after="75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• Londrina</w:t>
      </w:r>
    </w:p>
    <w:p w:rsidR="000D07A2" w:rsidRPr="00983E20" w:rsidRDefault="000D07A2" w:rsidP="000D07A2">
      <w:pPr>
        <w:shd w:val="clear" w:color="auto" w:fill="F1F1F1"/>
        <w:spacing w:after="0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Divulga a remuneração pelo número da matrícula do servidor, sem o nome. É possível consultar a relação dos servidores com as respectivas matrículas. (</w:t>
      </w:r>
      <w:hyperlink r:id="rId12" w:tgtFrame="_blank" w:history="1"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www.londrina.pr.gov.br/index.php?option=com_content&amp;view=section&amp;id=23&amp;Itemid=1765</w:t>
        </w:r>
      </w:hyperlink>
      <w:proofErr w:type="gramStart"/>
      <w:r w:rsidRPr="00983E20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</w:p>
    <w:p w:rsidR="000D07A2" w:rsidRPr="00983E20" w:rsidRDefault="000D07A2" w:rsidP="000D07A2">
      <w:pPr>
        <w:shd w:val="clear" w:color="auto" w:fill="F1F1F1"/>
        <w:spacing w:before="75" w:after="75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• Maringá</w:t>
      </w:r>
    </w:p>
    <w:p w:rsidR="000D07A2" w:rsidRPr="00983E20" w:rsidRDefault="000D07A2" w:rsidP="000D07A2">
      <w:pPr>
        <w:shd w:val="clear" w:color="auto" w:fill="F1F1F1"/>
        <w:spacing w:after="0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Divulga a relação de servidores, mas não divulga a tabela de composição salarial. (</w:t>
      </w:r>
      <w:hyperlink r:id="rId13" w:tgtFrame="_blank" w:history="1">
        <w:proofErr w:type="gramStart"/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www2.</w:t>
        </w:r>
        <w:proofErr w:type="gramEnd"/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maringa.pr.gov.br/site/</w:t>
        </w:r>
        <w:proofErr w:type="spellStart"/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index.php?sessao</w:t>
        </w:r>
        <w:proofErr w:type="spellEnd"/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=ac5ade96328nac</w:t>
        </w:r>
      </w:hyperlink>
      <w:r w:rsidRPr="00983E20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0D07A2" w:rsidRPr="00983E20" w:rsidRDefault="000D07A2" w:rsidP="000D07A2">
      <w:pPr>
        <w:shd w:val="clear" w:color="auto" w:fill="F1F1F1"/>
        <w:spacing w:before="75" w:after="75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• Ponta Grossa</w:t>
      </w:r>
    </w:p>
    <w:p w:rsidR="000D07A2" w:rsidRPr="00983E20" w:rsidRDefault="000D07A2" w:rsidP="000D07A2">
      <w:pPr>
        <w:shd w:val="clear" w:color="auto" w:fill="F1F1F1"/>
        <w:spacing w:after="0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Divulga a tabela de composição salarial por cargo e lotação, sem detalhar os vencimentos de cada funcionário. (</w:t>
      </w:r>
      <w:hyperlink r:id="rId14" w:tgtFrame="_blank" w:history="1">
        <w:proofErr w:type="gramStart"/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transparencia.</w:t>
        </w:r>
        <w:proofErr w:type="gramEnd"/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pontagrossa.pr.gov.br/</w:t>
        </w:r>
      </w:hyperlink>
      <w:r w:rsidRPr="00983E20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0D07A2" w:rsidRPr="00983E20" w:rsidRDefault="000D07A2" w:rsidP="000D07A2">
      <w:pPr>
        <w:shd w:val="clear" w:color="auto" w:fill="F1F1F1"/>
        <w:spacing w:before="75" w:after="75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• Cascavel</w:t>
      </w:r>
    </w:p>
    <w:p w:rsidR="000D07A2" w:rsidRPr="00983E20" w:rsidRDefault="000D07A2" w:rsidP="000D07A2">
      <w:pPr>
        <w:shd w:val="clear" w:color="auto" w:fill="F1F1F1"/>
        <w:spacing w:after="0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Divulga a relação de servidores, mas não divulga a tabela de composição salarial. (</w:t>
      </w:r>
      <w:hyperlink r:id="rId15" w:tgtFrame="_blank" w:history="1"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www.cascavel.pr.gov.br/contas-publicas.php</w:t>
        </w:r>
      </w:hyperlink>
      <w:r w:rsidRPr="00983E20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0D07A2" w:rsidRPr="00983E20" w:rsidRDefault="000D07A2" w:rsidP="000D07A2">
      <w:pPr>
        <w:shd w:val="clear" w:color="auto" w:fill="F1F1F1"/>
        <w:spacing w:before="75" w:after="75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• Foz do Iguaçu</w:t>
      </w:r>
    </w:p>
    <w:p w:rsidR="000D07A2" w:rsidRPr="00983E20" w:rsidRDefault="00896636" w:rsidP="000D07A2">
      <w:pPr>
        <w:shd w:val="clear" w:color="auto" w:fill="F1F1F1"/>
        <w:spacing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hyperlink r:id="rId16" w:tgtFrame="_blank" w:history="1">
        <w:r w:rsidR="000D07A2" w:rsidRPr="00983E20">
          <w:rPr>
            <w:rFonts w:ascii="Arial" w:eastAsia="Times New Roman" w:hAnsi="Arial" w:cs="Arial"/>
            <w:sz w:val="24"/>
            <w:szCs w:val="24"/>
            <w:lang w:eastAsia="pt-BR"/>
          </w:rPr>
          <w:t xml:space="preserve">Divulga a relação de servidores, mas não divulga a tabela de composição </w:t>
        </w:r>
        <w:proofErr w:type="gramStart"/>
        <w:r w:rsidR="000D07A2" w:rsidRPr="00983E20">
          <w:rPr>
            <w:rFonts w:ascii="Arial" w:eastAsia="Times New Roman" w:hAnsi="Arial" w:cs="Arial"/>
            <w:sz w:val="24"/>
            <w:szCs w:val="24"/>
            <w:lang w:eastAsia="pt-BR"/>
          </w:rPr>
          <w:t>salarial.</w:t>
        </w:r>
        <w:proofErr w:type="gramEnd"/>
      </w:hyperlink>
    </w:p>
    <w:p w:rsidR="000D07A2" w:rsidRPr="00983E20" w:rsidRDefault="000D07A2" w:rsidP="000D07A2">
      <w:pPr>
        <w:shd w:val="clear" w:color="auto" w:fill="F1F1F1"/>
        <w:spacing w:after="150" w:line="240" w:lineRule="atLeast"/>
        <w:outlineLvl w:val="5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Dê a sua opinião</w:t>
      </w:r>
    </w:p>
    <w:p w:rsidR="000D07A2" w:rsidRPr="00983E20" w:rsidRDefault="000D07A2" w:rsidP="000D07A2">
      <w:pPr>
        <w:shd w:val="clear" w:color="auto" w:fill="F1F1F1"/>
        <w:spacing w:before="75" w:after="75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Por que é importante para a sociedade obter informações sobre gastos dos órgãos públicos? </w:t>
      </w:r>
    </w:p>
    <w:p w:rsidR="000D07A2" w:rsidRPr="00983E20" w:rsidRDefault="000D07A2" w:rsidP="000D07A2">
      <w:pPr>
        <w:shd w:val="clear" w:color="auto" w:fill="F1F1F1"/>
        <w:spacing w:after="0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Escreva para </w:t>
      </w:r>
      <w:hyperlink r:id="rId17" w:tgtFrame="_blank" w:history="1">
        <w:r w:rsidRPr="00983E20">
          <w:rPr>
            <w:rFonts w:ascii="Arial" w:eastAsia="Times New Roman" w:hAnsi="Arial" w:cs="Arial"/>
            <w:sz w:val="24"/>
            <w:szCs w:val="24"/>
            <w:lang w:eastAsia="pt-BR"/>
          </w:rPr>
          <w:t>leitor@gazetadopovo.com.br</w:t>
        </w:r>
      </w:hyperlink>
    </w:p>
    <w:p w:rsidR="000D07A2" w:rsidRPr="00983E20" w:rsidRDefault="000D07A2" w:rsidP="000D07A2">
      <w:pPr>
        <w:shd w:val="clear" w:color="auto" w:fill="F1F1F1"/>
        <w:spacing w:before="75" w:line="30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As cartas selecionadas serão publicadas na Coluna do Leitor.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A transparência dos gastos públicos também não é total em 14 das 26 assembleias legislativas dos estados. As Casas ainda mantêm em sigilo as folhas de pagamento de seus funcionários. Somente as assembleias de Rio de Janeiro e Espírito Santo divulgam em seus sites na internet os nomes completos dos servidores junto aos seus salários numa planilha única.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No Paraná, de cinco órgãos estaduais e prefeituras dos seis maiores municípios, apenas o Tribunal de Contas do Estado (TCE) tem em sua página na internet uma lista única com os nomes e salários dos servidores.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proofErr w:type="gramStart"/>
      <w:r w:rsidRPr="00983E20">
        <w:rPr>
          <w:rFonts w:ascii="Arial" w:eastAsia="Times New Roman" w:hAnsi="Arial" w:cs="Arial"/>
          <w:sz w:val="24"/>
          <w:szCs w:val="24"/>
          <w:lang w:eastAsia="pt-BR"/>
        </w:rPr>
        <w:t>o secretário geral da Associação Contas Abertas</w:t>
      </w:r>
      <w:proofErr w:type="gramEnd"/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, Gil Castelo Branco, a divulgação de salários ainda é o grande tabu da Lei de Acesso à Informação. “A resistência ainda é muito grande por parte de alguns órgãos e não é por </w:t>
      </w:r>
      <w:r w:rsidRPr="00983E2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acaso. Se a instituição não é transparente é porque tem algo a esconder”, afirma. Na sua avaliação, esse tipo de informação é importante para detectar distorções como as verificadas recentemente no Senado, onde garçons recebem salários entre R$ 7 mil e R$ 14 mil.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Publicada em 16 de maio de 2012, a Lei 12.527 estabelece que órgãos dos três poderes constituídos (Executivo, Legislativo e Judiciário) devem oferecer a todos os cidadãos mecanismos para solicitar informações sobre seu funcionamento, programas e estrutura. O objetivo é garantir maior transparência às ações do poder público.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Aprimoramentos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Castelo Branco acredita que ainda há </w:t>
      </w:r>
      <w:proofErr w:type="gramStart"/>
      <w:r w:rsidRPr="00983E20">
        <w:rPr>
          <w:rFonts w:ascii="Arial" w:eastAsia="Times New Roman" w:hAnsi="Arial" w:cs="Arial"/>
          <w:sz w:val="24"/>
          <w:szCs w:val="24"/>
          <w:lang w:eastAsia="pt-BR"/>
        </w:rPr>
        <w:t>muito o que</w:t>
      </w:r>
      <w:proofErr w:type="gramEnd"/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 ser aprimorado no funcionamento da legislação. Além da regulamentação por estados e municípios, ele entende que é necessário facilitar alguns procedimentos para solicitação de informações. “Mas é um processo natural. Não se muda apenas com a assinatura de um papel uma cultura de segredo, de sigilo”, avalia.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Christian </w:t>
      </w:r>
      <w:proofErr w:type="spellStart"/>
      <w:r w:rsidRPr="00983E20">
        <w:rPr>
          <w:rFonts w:ascii="Arial" w:eastAsia="Times New Roman" w:hAnsi="Arial" w:cs="Arial"/>
          <w:sz w:val="24"/>
          <w:szCs w:val="24"/>
          <w:lang w:eastAsia="pt-BR"/>
        </w:rPr>
        <w:t>Mendez</w:t>
      </w:r>
      <w:proofErr w:type="spellEnd"/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 Alcântara, pós-doutor em Gestão Pública e professor da Universidade Federal do Paraná (UFPR), acredita que o avanço maior passa pela conscientização da população. “A lei por si só não garante os avanços necessários. É preciso que o cidadão entenda que, tendo mais informações, pode cobrar mais e ver suas demandas atendidas com maior eficácia”, observa.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Perguntas e respostas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A Lei de Acesso à Informação deve garantir à sociedade ferramentas para compreensão do funcionamento e gastos dos órgãos públicos.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que é a Lei de Acesso à Informação?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A Lei 12.527 tem o propósito de regulamentar o direito constitucional de acesso dos cidadãos às informações públicas e seus dispositivos são aplicáveis aos três poderes da União, estados, Distrito Federal e municípios.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Como pode ser feito o pedido de informação?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Através de ofício protocolado junto ao órgão ou pelo preenchimento de formulário na internet. É necessária apenas a identificação básica do requerente e não é preciso apresentar o motivo para o pedido.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Que tipo de informação pode ser </w:t>
      </w:r>
      <w:proofErr w:type="gramStart"/>
      <w:r w:rsidRPr="00983E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solicitada</w:t>
      </w:r>
      <w:proofErr w:type="gramEnd"/>
      <w:r w:rsidRPr="00983E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?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Podem ser requisitadas quaisquer informações a respeito de órgãos públicos, com exceção daquelas consideradas sigilosas, tais como assuntos secretos do Estado, temas que possam colocar em risco a segurança nacional ou que comprometam atividades de investigação policial, dados de casos que corram em segredo de justiça e informações pessoais dos agentes públicos ou </w:t>
      </w:r>
      <w:r w:rsidRPr="00983E2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privados. Nesses casos, o órgão é obrigado a justificar o motivo para não fornecer o dado.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Qual o prazo para resposta?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O prazo para responder os requerimentos é de 20 dias, podendo ser prorrogado por mais 10 mediante justificativa. No caso de indeferimento do pedido, o interessado pode entrar com recurso num prazo de 10 dias, devendo obter resposta em até cinco dias.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No Paraná, ações judiciais questionam divulgação de </w:t>
      </w:r>
      <w:proofErr w:type="gramStart"/>
      <w:r w:rsidRPr="00983E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dados</w:t>
      </w:r>
      <w:proofErr w:type="gramEnd"/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A reportagem da Gazeta do Povo consultou os portais da transparência do governo do Estado, Assembleia Legislativa, Tribunal de Justiça, Ministério Público, Tribunal de Contas e das prefeituras de Curitiba, Londrina, Maringá, Ponta Grossa, Cascavel e Foz do Iguaçu. Apesar de a divulgação nominal dos salários não estar prevista em lei, a norma é aplicada pelo governo federal e alguns </w:t>
      </w:r>
      <w:bookmarkStart w:id="0" w:name="_GoBack"/>
      <w:bookmarkEnd w:id="0"/>
      <w:r w:rsidRPr="00983E20">
        <w:rPr>
          <w:rFonts w:ascii="Arial" w:eastAsia="Times New Roman" w:hAnsi="Arial" w:cs="Arial"/>
          <w:sz w:val="24"/>
          <w:szCs w:val="24"/>
          <w:lang w:eastAsia="pt-BR"/>
        </w:rPr>
        <w:t>governos estaduais, como os de São Paulo e Santa Catarina.</w:t>
      </w:r>
    </w:p>
    <w:p w:rsidR="000D07A2" w:rsidRPr="00983E20" w:rsidRDefault="000D07A2" w:rsidP="000D07A2">
      <w:pPr>
        <w:spacing w:before="180" w:after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No Paraná, uma decisão judicial impede a divulgação dos salários de servidores públicos </w:t>
      </w:r>
      <w:proofErr w:type="gramStart"/>
      <w:r w:rsidRPr="00983E20">
        <w:rPr>
          <w:rFonts w:ascii="Arial" w:eastAsia="Times New Roman" w:hAnsi="Arial" w:cs="Arial"/>
          <w:sz w:val="24"/>
          <w:szCs w:val="24"/>
          <w:lang w:eastAsia="pt-BR"/>
        </w:rPr>
        <w:t>estaduais</w:t>
      </w:r>
      <w:proofErr w:type="gramEnd"/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. Em junho do ano passado, ao julgar uma ação do ex-deputado estadual </w:t>
      </w:r>
      <w:proofErr w:type="spellStart"/>
      <w:r w:rsidRPr="00983E20">
        <w:rPr>
          <w:rFonts w:ascii="Arial" w:eastAsia="Times New Roman" w:hAnsi="Arial" w:cs="Arial"/>
          <w:sz w:val="24"/>
          <w:szCs w:val="24"/>
          <w:lang w:eastAsia="pt-BR"/>
        </w:rPr>
        <w:t>Jocelito</w:t>
      </w:r>
      <w:proofErr w:type="spellEnd"/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 Canto, o Tribunal de Justiça do Paraná decretou que a medida é inconstitucional. A determinação </w:t>
      </w:r>
      <w:proofErr w:type="gramStart"/>
      <w:r w:rsidRPr="00983E20">
        <w:rPr>
          <w:rFonts w:ascii="Arial" w:eastAsia="Times New Roman" w:hAnsi="Arial" w:cs="Arial"/>
          <w:sz w:val="24"/>
          <w:szCs w:val="24"/>
          <w:lang w:eastAsia="pt-BR"/>
        </w:rPr>
        <w:t>vai na</w:t>
      </w:r>
      <w:proofErr w:type="gramEnd"/>
      <w:r w:rsidRPr="00983E20">
        <w:rPr>
          <w:rFonts w:ascii="Arial" w:eastAsia="Times New Roman" w:hAnsi="Arial" w:cs="Arial"/>
          <w:sz w:val="24"/>
          <w:szCs w:val="24"/>
          <w:lang w:eastAsia="pt-BR"/>
        </w:rPr>
        <w:t xml:space="preserve"> contramão do que estabeleceu o Conselho Nacional de Justiça (CNJ), ao exigir que os tribunais de todo o país publiquem os contracheques dos servidores e magistrados. Por enquanto o TJ paranaense se limita a divulgar as remunerações por cargo, sem identificação nominal. A Ordem dos Advogados do Brasil (OAB) contesta a decisão do TJ no Supremo Tribunal Federal (STF).</w:t>
      </w:r>
    </w:p>
    <w:p w:rsidR="000D07A2" w:rsidRPr="00983E20" w:rsidRDefault="000D07A2" w:rsidP="000D07A2">
      <w:pPr>
        <w:spacing w:before="180" w:line="300" w:lineRule="atLeast"/>
        <w:ind w:right="150"/>
        <w:rPr>
          <w:rFonts w:ascii="Arial" w:eastAsia="Times New Roman" w:hAnsi="Arial" w:cs="Arial"/>
          <w:sz w:val="24"/>
          <w:szCs w:val="24"/>
          <w:lang w:eastAsia="pt-BR"/>
        </w:rPr>
      </w:pPr>
      <w:r w:rsidRPr="00983E20">
        <w:rPr>
          <w:rFonts w:ascii="Arial" w:eastAsia="Times New Roman" w:hAnsi="Arial" w:cs="Arial"/>
          <w:sz w:val="24"/>
          <w:szCs w:val="24"/>
          <w:lang w:eastAsia="pt-BR"/>
        </w:rPr>
        <w:t>Dentre os órgãos estaduais, somente o TCE publica os vencimentos nominais de todos seus servidores em seu portal da transparência. Em relação às prefeituras, a de Londrina não traz uma relação única com nomes e salários, mas é possível consultar os valores através do número de matrícula dos funcionários, efetivos e comissionados. Os demais órgãos e prefeituras disponibilizam apenas as tabelas de remuneração, com os salários e gratificações equivalentes a cada cargo.</w:t>
      </w:r>
    </w:p>
    <w:p w:rsidR="000E150C" w:rsidRPr="00983E20" w:rsidRDefault="000E150C">
      <w:pPr>
        <w:rPr>
          <w:rFonts w:ascii="Arial" w:hAnsi="Arial" w:cs="Arial"/>
          <w:sz w:val="24"/>
          <w:szCs w:val="24"/>
        </w:rPr>
      </w:pPr>
    </w:p>
    <w:sectPr w:rsidR="000E150C" w:rsidRPr="00983E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46BB"/>
    <w:multiLevelType w:val="multilevel"/>
    <w:tmpl w:val="6F82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A2"/>
    <w:rsid w:val="000D07A2"/>
    <w:rsid w:val="000E150C"/>
    <w:rsid w:val="009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D07A2"/>
    <w:rPr>
      <w:b/>
      <w:bCs/>
    </w:rPr>
  </w:style>
  <w:style w:type="character" w:styleId="MquinadeescreverHTML">
    <w:name w:val="HTML Typewriter"/>
    <w:basedOn w:val="Fontepargpadro"/>
    <w:uiPriority w:val="99"/>
    <w:semiHidden/>
    <w:unhideWhenUsed/>
    <w:rsid w:val="000D07A2"/>
    <w:rPr>
      <w:rFonts w:ascii="Courier New" w:eastAsia="Times New Roman" w:hAnsi="Courier New" w:cs="Courier New"/>
      <w:sz w:val="20"/>
      <w:szCs w:val="20"/>
    </w:rPr>
  </w:style>
  <w:style w:type="paragraph" w:customStyle="1" w:styleId="gravata1">
    <w:name w:val="gravata1"/>
    <w:basedOn w:val="Normal"/>
    <w:rsid w:val="000D07A2"/>
    <w:pPr>
      <w:spacing w:before="180" w:after="180" w:line="300" w:lineRule="atLeast"/>
      <w:ind w:right="150"/>
    </w:pPr>
    <w:rPr>
      <w:rFonts w:ascii="Arial" w:eastAsia="Times New Roman" w:hAnsi="Arial" w:cs="Arial"/>
      <w:color w:val="000000"/>
      <w:sz w:val="21"/>
      <w:szCs w:val="2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D07A2"/>
    <w:rPr>
      <w:b/>
      <w:bCs/>
    </w:rPr>
  </w:style>
  <w:style w:type="character" w:styleId="MquinadeescreverHTML">
    <w:name w:val="HTML Typewriter"/>
    <w:basedOn w:val="Fontepargpadro"/>
    <w:uiPriority w:val="99"/>
    <w:semiHidden/>
    <w:unhideWhenUsed/>
    <w:rsid w:val="000D07A2"/>
    <w:rPr>
      <w:rFonts w:ascii="Courier New" w:eastAsia="Times New Roman" w:hAnsi="Courier New" w:cs="Courier New"/>
      <w:sz w:val="20"/>
      <w:szCs w:val="20"/>
    </w:rPr>
  </w:style>
  <w:style w:type="paragraph" w:customStyle="1" w:styleId="gravata1">
    <w:name w:val="gravata1"/>
    <w:basedOn w:val="Normal"/>
    <w:rsid w:val="000D07A2"/>
    <w:pPr>
      <w:spacing w:before="180" w:after="180" w:line="300" w:lineRule="atLeast"/>
      <w:ind w:right="150"/>
    </w:pPr>
    <w:rPr>
      <w:rFonts w:ascii="Arial" w:eastAsia="Times New Roman" w:hAnsi="Arial" w:cs="Arial"/>
      <w:color w:val="000000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0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FFFFFF"/>
          </w:divBdr>
          <w:divsChild>
            <w:div w:id="13132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90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DFDEDE"/>
                  </w:divBdr>
                  <w:divsChild>
                    <w:div w:id="2200168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4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55759">
                          <w:marLeft w:val="0"/>
                          <w:marRight w:val="3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4297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6" w:color="DFDEDE"/>
                                <w:left w:val="single" w:sz="6" w:space="8" w:color="DFDEDE"/>
                                <w:bottom w:val="single" w:sz="6" w:space="8" w:color="DFDEDE"/>
                                <w:right w:val="single" w:sz="6" w:space="8" w:color="DFDEDE"/>
                              </w:divBdr>
                            </w:div>
                            <w:div w:id="109648474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6" w:color="DFDEDE"/>
                                <w:left w:val="single" w:sz="6" w:space="8" w:color="DFDEDE"/>
                                <w:bottom w:val="single" w:sz="6" w:space="8" w:color="DFDEDE"/>
                                <w:right w:val="single" w:sz="6" w:space="8" w:color="DFDED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pr.jus.br/portal-da-transparencia" TargetMode="External"/><Relationship Id="rId13" Type="http://schemas.openxmlformats.org/officeDocument/2006/relationships/hyperlink" Target="http://www2.maringa.pr.gov.br/site/index.php?sessao=ac5ade96328na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lep.pr.gov.br/transparencia" TargetMode="External"/><Relationship Id="rId12" Type="http://schemas.openxmlformats.org/officeDocument/2006/relationships/hyperlink" Target="http://www.londrina.pr.gov.br/index.php?option=com_content&amp;view=section&amp;id=23&amp;Itemid=1765" TargetMode="External"/><Relationship Id="rId17" Type="http://schemas.openxmlformats.org/officeDocument/2006/relationships/hyperlink" Target="mailto:leitor@gazetadopovo.com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pmfi.pr.gov.br/giig/portais/portaldatransparencia/defaultPortal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ortaldatransparencia.pr.gov.br" TargetMode="External"/><Relationship Id="rId11" Type="http://schemas.openxmlformats.org/officeDocument/2006/relationships/hyperlink" Target="http://www.transparencia.curitiba.pr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ascavel.pr.gov.br/contas-publicas.php" TargetMode="External"/><Relationship Id="rId10" Type="http://schemas.openxmlformats.org/officeDocument/2006/relationships/hyperlink" Target="http://www1.tce.pr.gov.br/conteudo/introducao/2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p.pr.gov.br/modules/conteudo/conteudo.php?conteudo=42" TargetMode="External"/><Relationship Id="rId14" Type="http://schemas.openxmlformats.org/officeDocument/2006/relationships/hyperlink" Target="http://transparencia.pontagrossa.pr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1476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Djalma Riesemberg Junior</dc:creator>
  <cp:lastModifiedBy>Arnaldo Laporte Junior</cp:lastModifiedBy>
  <cp:revision>2</cp:revision>
  <dcterms:created xsi:type="dcterms:W3CDTF">2013-11-26T16:06:00Z</dcterms:created>
  <dcterms:modified xsi:type="dcterms:W3CDTF">2013-11-26T16:06:00Z</dcterms:modified>
</cp:coreProperties>
</file>