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7384"/>
      </w:tblGrid>
      <w:tr w:rsidR="00EB1468" w:rsidTr="00EB1468">
        <w:tc>
          <w:tcPr>
            <w:tcW w:w="2051" w:type="dxa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PROCESSO Nº:</w:t>
            </w:r>
          </w:p>
        </w:tc>
        <w:tc>
          <w:tcPr>
            <w:tcW w:w="7384" w:type="dxa"/>
            <w:vAlign w:val="center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541640/11</w:t>
            </w:r>
          </w:p>
        </w:tc>
      </w:tr>
      <w:tr w:rsidR="00EB1468" w:rsidTr="00EB1468">
        <w:tc>
          <w:tcPr>
            <w:tcW w:w="2051" w:type="dxa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ASSUNTO:</w:t>
            </w:r>
          </w:p>
        </w:tc>
        <w:tc>
          <w:tcPr>
            <w:tcW w:w="7384" w:type="dxa"/>
            <w:vAlign w:val="center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CONSULTA</w:t>
            </w:r>
          </w:p>
        </w:tc>
      </w:tr>
      <w:tr w:rsidR="00EB1468" w:rsidTr="00EB1468">
        <w:tc>
          <w:tcPr>
            <w:tcW w:w="2051" w:type="dxa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ENTIDADE:</w:t>
            </w:r>
          </w:p>
        </w:tc>
        <w:tc>
          <w:tcPr>
            <w:tcW w:w="7384" w:type="dxa"/>
            <w:vAlign w:val="center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INSTITUTO PARANAENSE DE ASSISTÊNCIA TÉCNICA E EXTENSÃO RURAL</w:t>
            </w:r>
          </w:p>
        </w:tc>
      </w:tr>
      <w:tr w:rsidR="00EB1468" w:rsidTr="00EB1468">
        <w:tc>
          <w:tcPr>
            <w:tcW w:w="2051" w:type="dxa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INTERESSADO:</w:t>
            </w:r>
          </w:p>
        </w:tc>
        <w:tc>
          <w:tcPr>
            <w:tcW w:w="7384" w:type="dxa"/>
            <w:vAlign w:val="center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RUBENS ERNESTO NIEDERHEITMANN</w:t>
            </w:r>
          </w:p>
        </w:tc>
      </w:tr>
      <w:tr w:rsidR="00EB1468" w:rsidTr="00EB1468">
        <w:tc>
          <w:tcPr>
            <w:tcW w:w="2051" w:type="dxa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RELATOR:</w:t>
            </w:r>
          </w:p>
        </w:tc>
        <w:tc>
          <w:tcPr>
            <w:tcW w:w="7384" w:type="dxa"/>
            <w:vAlign w:val="center"/>
            <w:hideMark/>
          </w:tcPr>
          <w:p w:rsidR="00EB1468" w:rsidRDefault="00EB1468">
            <w:pPr>
              <w:autoSpaceDE/>
              <w:spacing w:before="0" w:after="120" w:line="240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CONSELHEIRO NESTOR BAPTISTA</w:t>
            </w:r>
          </w:p>
        </w:tc>
      </w:tr>
    </w:tbl>
    <w:p w:rsidR="00EB1468" w:rsidRDefault="00EB1468" w:rsidP="00EB1468">
      <w:pPr>
        <w:ind w:firstLine="0"/>
        <w:jc w:val="center"/>
        <w:rPr>
          <w:rFonts w:ascii="Arial" w:hAnsi="Arial" w:cs="Arial"/>
          <w:szCs w:val="24"/>
        </w:rPr>
      </w:pPr>
    </w:p>
    <w:p w:rsidR="00EB1468" w:rsidRDefault="00EB1468" w:rsidP="00EB1468">
      <w:pPr>
        <w:pStyle w:val="NumA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ACÓRDÃO Nº 4023/12 - Tribunal Pleno</w:t>
      </w:r>
    </w:p>
    <w:p w:rsidR="00EB1468" w:rsidRDefault="00EB1468" w:rsidP="00EB1468">
      <w:pPr>
        <w:pStyle w:val="Subttul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Consulta. EMATER. Servidores ocupantes de cargos em regime vinculado à CLT. Transformação da entidade em autarquia. Novos servidores vinculados ao regime estatutário. Dualidade de regimes. Esclarecimentos deste TCE-PR acerca da possibilidade de concessão de licença saúde aos servidores celetistas nos mesmos moldes do já garantido aos servidores estatutários. Impossibilidade. Regime jurídico vinculado à CLT. Incompetência do Estado para editar lei nesse sentido.</w:t>
      </w:r>
    </w:p>
    <w:p w:rsidR="00EB1468" w:rsidRDefault="00EB1468" w:rsidP="00EB1468"/>
    <w:p w:rsidR="00EB1468" w:rsidRDefault="00EB1468" w:rsidP="00EB1468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1. RELATÓRIO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 autos tratam de consulta prevista no art. 38 da Lei Orgânica deste TCE formulada pelo presidente do Instituto Paranaense de Assistência Técnica e Extensão Rural (EMATER), Sr. Rubens Ernesto </w:t>
      </w:r>
      <w:proofErr w:type="spellStart"/>
      <w:r>
        <w:rPr>
          <w:rFonts w:ascii="Arial" w:hAnsi="Arial" w:cs="Arial"/>
          <w:szCs w:val="24"/>
        </w:rPr>
        <w:t>Niederheitmann</w:t>
      </w:r>
      <w:proofErr w:type="spellEnd"/>
      <w:r>
        <w:rPr>
          <w:rFonts w:ascii="Arial" w:hAnsi="Arial" w:cs="Arial"/>
          <w:szCs w:val="24"/>
        </w:rPr>
        <w:t>. Solicitou esclarecimentos deste TCE-PR acerca da possibilidade de concessão aos servidores vinculados ao regime da Consolidação das Leis do Trabalho (CLT) de complementação do auxílio-doença até o limite da remuneração destes servidores, na licença para tratamento de saúde, conforme já previsto no art. 221 da Lei Estadual nº 6.174/70 para os servidores estatutários.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entidade informou que sofreu a transformação em autarquia por meio da Lei Estadual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  <w:vertAlign w:val="superscript"/>
        </w:rPr>
        <w:t xml:space="preserve"> </w:t>
      </w:r>
      <w:proofErr w:type="gramStart"/>
      <w:r>
        <w:rPr>
          <w:rFonts w:ascii="Arial" w:hAnsi="Arial" w:cs="Arial"/>
          <w:szCs w:val="24"/>
        </w:rPr>
        <w:t>14.832/2005, o</w:t>
      </w:r>
      <w:proofErr w:type="gramEnd"/>
      <w:r>
        <w:rPr>
          <w:rFonts w:ascii="Arial" w:hAnsi="Arial" w:cs="Arial"/>
          <w:szCs w:val="24"/>
        </w:rPr>
        <w:t xml:space="preserve"> que ocasionou a duplicidade de regimes jurídicos para os servidores que trabalham na entidade. De um lado, os servidores vinculados à CLT, admitidos anteriormente ao ano de 2005 e do outro, aqueles admitidos por meio dos concursos públicos subsequentes, vinculados à Lei 6.174/70.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Essa situação revelou a diferenciação de tratamento no afastamento dos servidores para tratamento de saúde. Os servidores vinculados à CLT somente dispõem de 15 (quinze) dias de afastamento com remuneração integral paga </w:t>
      </w:r>
      <w:r>
        <w:rPr>
          <w:rFonts w:ascii="Arial" w:hAnsi="Arial" w:cs="Arial"/>
          <w:szCs w:val="24"/>
        </w:rPr>
        <w:lastRenderedPageBreak/>
        <w:t>pela EMATER, quando passam a receber o auxílio-doença pelo Instituto Nacional da Seguridade Social (INSS) em valor menor do que a remuneração normal. Os servidores estatutários têm regime diverso, pois recebem a remuneração integral pelo período de até 24 (vinte e quatro) meses, conforme previsto no art. 223 da Lei Estadual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6.174/70.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Diante desse contexto, surgiu o questionamento acima. A entidade realizou uma proposta de concessão de afastamento para tratamento de saúde aos servidores vinculados à CLT nos mesmos moldes do já garantido aos servidores estatutários, pois se trataria de garantia da isonomia entre os servidores. Esse expediente recebeu a aprovação do Governador do Estado e necessitaria, assim, da análise deste TCE-PR para a legalidade de todo o procedimento adotado. Por fim, a entidade informou que não haveria </w:t>
      </w:r>
      <w:r>
        <w:rPr>
          <w:rFonts w:ascii="Arial" w:hAnsi="Arial" w:cs="Arial"/>
          <w:i/>
          <w:szCs w:val="24"/>
        </w:rPr>
        <w:t>acréscimos financeiros na execução da proposta de Afastamento para Tratamento de Saúde</w:t>
      </w:r>
      <w:r>
        <w:rPr>
          <w:rFonts w:ascii="Arial" w:hAnsi="Arial" w:cs="Arial"/>
          <w:szCs w:val="24"/>
        </w:rPr>
        <w:t xml:space="preserve">, pois se trataria do </w:t>
      </w:r>
      <w:r>
        <w:rPr>
          <w:rFonts w:ascii="Arial" w:hAnsi="Arial" w:cs="Arial"/>
          <w:i/>
          <w:szCs w:val="24"/>
        </w:rPr>
        <w:t>pagamento da diferença entre a remuneração percebida pelo servidor e a importância recebida a título de auxílio-doença ou auxílio-acidente</w:t>
      </w:r>
      <w:r>
        <w:rPr>
          <w:rFonts w:ascii="Arial" w:hAnsi="Arial" w:cs="Arial"/>
          <w:szCs w:val="24"/>
        </w:rPr>
        <w:t>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Diretoria Jurídica (DIJUR), Parecer n.º 2225/11, peça n.º 09, opinou, preliminarmente, pelo não conhecimento da consulta. Relatou que a apresentação de proposta de portaria, juntada aos autos, relataria a apresentação de caso concreto, o que seria vedado pela Lei Orgânica deste TCE-PR. No mérito, propôs o não cabimento da equiparação relatada acima. Justificou que o desempenho de funções semelhantes não significaria, necessariamente, a aquisição dos mesmos direitos. Os servidores estatutários teriam um regime jurídico próprio, que não seria </w:t>
      </w:r>
      <w:proofErr w:type="gramStart"/>
      <w:r>
        <w:rPr>
          <w:rFonts w:ascii="Arial" w:hAnsi="Arial" w:cs="Arial"/>
          <w:szCs w:val="24"/>
        </w:rPr>
        <w:t>extensível aos servidores vinculados à CLT, originados</w:t>
      </w:r>
      <w:proofErr w:type="gramEnd"/>
      <w:r>
        <w:rPr>
          <w:rFonts w:ascii="Arial" w:hAnsi="Arial" w:cs="Arial"/>
          <w:szCs w:val="24"/>
        </w:rPr>
        <w:t xml:space="preserve"> de um regime jurídico de direito privado. Dessa forma, respondeu que não seria possível a extensão proposta pela autarquia.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Ministério Público junto ao Tribunal de Contas (</w:t>
      </w:r>
      <w:proofErr w:type="spellStart"/>
      <w:proofErr w:type="gramStart"/>
      <w:r>
        <w:rPr>
          <w:rFonts w:ascii="Arial" w:hAnsi="Arial" w:cs="Arial"/>
          <w:szCs w:val="24"/>
        </w:rPr>
        <w:t>MPjTC</w:t>
      </w:r>
      <w:proofErr w:type="spellEnd"/>
      <w:proofErr w:type="gramEnd"/>
      <w:r>
        <w:rPr>
          <w:rFonts w:ascii="Arial" w:hAnsi="Arial" w:cs="Arial"/>
          <w:szCs w:val="24"/>
        </w:rPr>
        <w:t xml:space="preserve">), Parecer n.º 9893/12, peça n.º 12, discordou do posicionamento da unidade técnica e opinou pela possibilidade de extensão do regime de auxílio-doença aos servidores vinculados à CLT. Verificou que é possível a extensão questionada pela entidade, caso haja lei específica do Poder Executivo estadual para concedê-la (art. 66, I, da Constituição do Estado do Paraná). Tal lei, no entanto, </w:t>
      </w:r>
      <w:r>
        <w:rPr>
          <w:rFonts w:ascii="Arial" w:hAnsi="Arial" w:cs="Arial"/>
          <w:szCs w:val="24"/>
        </w:rPr>
        <w:lastRenderedPageBreak/>
        <w:t>poderá complementar o auxílio-saúde do servidor celetista até o limite da remuneração deste, para que haja a isonomia buscada pela entidade.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o relatório.</w:t>
      </w:r>
    </w:p>
    <w:p w:rsidR="00EB1468" w:rsidRDefault="00EB1468" w:rsidP="00EB1468">
      <w:pPr>
        <w:ind w:firstLine="708"/>
        <w:rPr>
          <w:rFonts w:ascii="Arial" w:hAnsi="Arial" w:cs="Arial"/>
          <w:i/>
          <w:szCs w:val="24"/>
        </w:rPr>
      </w:pPr>
    </w:p>
    <w:p w:rsidR="00EB1468" w:rsidRDefault="00EB1468" w:rsidP="00EB1468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2. FUNDAMENTAÇÃO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Preliminarmente, a consulta deve ser conhecida. Trata-se de questionamento realizado para dirimir questão </w:t>
      </w:r>
      <w:proofErr w:type="gramStart"/>
      <w:r>
        <w:rPr>
          <w:rFonts w:ascii="Arial" w:hAnsi="Arial" w:cs="Arial"/>
          <w:szCs w:val="24"/>
        </w:rPr>
        <w:t>afetada aos servidores públicos lotados na EMATER</w:t>
      </w:r>
      <w:proofErr w:type="gramEnd"/>
      <w:r>
        <w:rPr>
          <w:rFonts w:ascii="Arial" w:hAnsi="Arial" w:cs="Arial"/>
          <w:szCs w:val="24"/>
        </w:rPr>
        <w:t xml:space="preserve">. Tal questionamento não dissimula o princípio da impessoalidade administrativa, visto que não possui o objetivo de clarificar a situação jurídica de um servidor ou até de um grupo específico desses. 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situação, a meu ver, enquadra-se na possibilidade prevista no art. 38, § 2º, da Lei Complementar nº 113/2005</w:t>
      </w:r>
      <w:r>
        <w:rPr>
          <w:rStyle w:val="Refdenotaderodap"/>
          <w:rFonts w:eastAsiaTheme="majorEastAsia" w:cs="Arial"/>
          <w:szCs w:val="24"/>
        </w:rPr>
        <w:footnoteReference w:id="1"/>
      </w:r>
      <w:r>
        <w:rPr>
          <w:rFonts w:ascii="Arial" w:hAnsi="Arial" w:cs="Arial"/>
          <w:szCs w:val="24"/>
        </w:rPr>
        <w:t xml:space="preserve"> (LOTCE/PR) porque há, de fato, uma dúvida quanto à interpretação e aplicação da legislação, quais sejam: a CLT e a Lei Estadual nº 6.174/70. Diante desse quadro, não merece acolhida o argumento trazido pela unidade técnica a respeito.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Importante delimitar os pontos de análise em dois momentos dissociáveis. O primeiro é relativo à possibilidade de concessão do auxílio-doença nos mesmos parâmetros da licença para tratamento de saúde prevista no estatuto dos servidores. Verifica-se que a concessão da equiparação proposta pela entidade deve estar vinculada ao regime jurídico dos cargos a serem equiparados. No caso concreto, os servidores vinculados à CLT, em princípio, são regidos por esse diploma legal, que prevê o recebimento do auxílio-doença pago pelo INSS após quinze dias de comprovado afastamento. Daí deve-se concluir que, nesse contexto jurídico, não é possível estabelecer a isonomia buscada pela entidade, pois não é possível estender o regime jurídico da Lei Estadual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6.174/70 a servidores celetistas.</w:t>
      </w:r>
    </w:p>
    <w:p w:rsidR="00EB1468" w:rsidRDefault="00EB1468" w:rsidP="00EB1468">
      <w:pPr>
        <w:ind w:firstLine="708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A partir disso, o segundo ponto de análise merece destaque, vinculado ao regime jurídico vinculado aos servidores. Como não há norma estadual legal específica para regulamentar o afastamento para tratamento de saúde dos </w:t>
      </w:r>
      <w:r>
        <w:rPr>
          <w:rFonts w:ascii="Arial" w:hAnsi="Arial" w:cs="Arial"/>
          <w:szCs w:val="24"/>
        </w:rPr>
        <w:lastRenderedPageBreak/>
        <w:t>servidores vinculados à CLT, poder-se-ia instituir a equiparação por meio de lei estadual? A inteligência e interpretação da Constituição Federal nos respondem que não. Primeiramente, cabe ressaltar que o regime jurídico dos servidores contratados antes da transformação da EMATER em autarquia é vinculado à CLT, ou seja, trata-se de relação de trabalho, cuja competência legislativa é privativa da União, conforme prevê o art. 22, I, da Constituição Federal. A jurisprudência é clara neste sentido:</w:t>
      </w:r>
    </w:p>
    <w:p w:rsidR="00EB1468" w:rsidRDefault="00EB1468" w:rsidP="00EB1468">
      <w:pPr>
        <w:pStyle w:val="Citao"/>
        <w:ind w:left="0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 xml:space="preserve">Matéria concernente a relações de trabalho. Usurpação de competência privativa da União. Ofensa aos </w:t>
      </w:r>
      <w:proofErr w:type="spellStart"/>
      <w:r>
        <w:rPr>
          <w:rFonts w:cs="Arial"/>
          <w:sz w:val="24"/>
          <w:szCs w:val="24"/>
          <w:lang w:eastAsia="en-US"/>
        </w:rPr>
        <w:t>arts</w:t>
      </w:r>
      <w:proofErr w:type="spellEnd"/>
      <w:r>
        <w:rPr>
          <w:rFonts w:cs="Arial"/>
          <w:sz w:val="24"/>
          <w:szCs w:val="24"/>
          <w:lang w:eastAsia="en-US"/>
        </w:rPr>
        <w:t xml:space="preserve">. 21, XXIV, e 22, I, da CF. Vício formal caracterizado. (...) É </w:t>
      </w:r>
      <w:proofErr w:type="spellStart"/>
      <w:r>
        <w:rPr>
          <w:rFonts w:cs="Arial"/>
          <w:sz w:val="24"/>
          <w:szCs w:val="24"/>
          <w:lang w:eastAsia="en-US"/>
        </w:rPr>
        <w:t>inconsti</w:t>
      </w:r>
      <w:proofErr w:type="spellEnd"/>
      <w:r>
        <w:rPr>
          <w:rFonts w:cs="Arial"/>
          <w:sz w:val="24"/>
          <w:szCs w:val="24"/>
          <w:lang w:eastAsia="en-US"/>
        </w:rPr>
        <w:t xml:space="preserve">- </w:t>
      </w:r>
      <w:proofErr w:type="spellStart"/>
      <w:r>
        <w:rPr>
          <w:rFonts w:cs="Arial"/>
          <w:sz w:val="24"/>
          <w:szCs w:val="24"/>
          <w:lang w:eastAsia="en-US"/>
        </w:rPr>
        <w:t>tucional</w:t>
      </w:r>
      <w:proofErr w:type="spellEnd"/>
      <w:r>
        <w:rPr>
          <w:rFonts w:cs="Arial"/>
          <w:sz w:val="24"/>
          <w:szCs w:val="24"/>
          <w:lang w:eastAsia="en-US"/>
        </w:rPr>
        <w:t xml:space="preserve"> norma do Estado ou do Distrito Federal que disponha sobre proibição de revista íntima em empregados de estabelecimentos situados no respectivo território. (ADI 2.947, Rel. Min. Cezar </w:t>
      </w:r>
      <w:proofErr w:type="spellStart"/>
      <w:r>
        <w:rPr>
          <w:rFonts w:cs="Arial"/>
          <w:sz w:val="24"/>
          <w:szCs w:val="24"/>
          <w:lang w:eastAsia="en-US"/>
        </w:rPr>
        <w:t>Peluso</w:t>
      </w:r>
      <w:proofErr w:type="spellEnd"/>
      <w:r>
        <w:rPr>
          <w:rFonts w:cs="Arial"/>
          <w:sz w:val="24"/>
          <w:szCs w:val="24"/>
          <w:lang w:eastAsia="en-US"/>
        </w:rPr>
        <w:t>, julgamento em 5-5-2010, Plenário, DJE de 10-9-2010.</w:t>
      </w:r>
      <w:proofErr w:type="gramStart"/>
      <w:r>
        <w:rPr>
          <w:rFonts w:cs="Arial"/>
          <w:sz w:val="24"/>
          <w:szCs w:val="24"/>
          <w:lang w:eastAsia="en-US"/>
        </w:rPr>
        <w:t>)</w:t>
      </w:r>
      <w:proofErr w:type="gramEnd"/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disso, resta discutir somente a possibilidade prevista no parágrafo único do dispositivo constitucional acima, vinculado à existência de lei complementar federal que delegasse aos Estados a regulamentação da equiparação requerida acima. Como tal dispositivo não foi promulgado até o momento, não é possível a extensão dos benefícios de afastamento para tratamento de saúde aos servidores celetistas de autarquia estadual por meio de Lei estadual específica neste sentido.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 fim, não há que se falar em isonomia entre os servidores regidos pela Consolidação das Leis do Trabalho e os servidores estatutários. A origem da relação funcional entre estes é díspar e </w:t>
      </w:r>
      <w:proofErr w:type="gramStart"/>
      <w:r>
        <w:rPr>
          <w:rFonts w:ascii="Arial" w:hAnsi="Arial" w:cs="Arial"/>
          <w:szCs w:val="24"/>
        </w:rPr>
        <w:t>revela direitos</w:t>
      </w:r>
      <w:proofErr w:type="gramEnd"/>
      <w:r>
        <w:rPr>
          <w:rFonts w:ascii="Arial" w:hAnsi="Arial" w:cs="Arial"/>
          <w:szCs w:val="24"/>
        </w:rPr>
        <w:t xml:space="preserve"> e deveres diferentes entre si. Enquanto os servidores vinculados à CLT possuem um vínculo regido por normas de direito privado, os servidores concursados possuem um vínculo de direito público, o que agrega uma série de direitos e obrigações não abarcados pelo regime da CLT. Desse modo, o art. 37, XIII, da Constituição Federal vedou qualquer possibilidade de equiparação entre servidores com regimes jurídicos distintos, conforme julgado do STF abaixo:</w:t>
      </w:r>
    </w:p>
    <w:p w:rsidR="00EB1468" w:rsidRDefault="00EB1468" w:rsidP="00EB1468">
      <w:pPr>
        <w:pStyle w:val="Citao"/>
        <w:ind w:left="0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 xml:space="preserve">A distinção entre fundações públicas e privadas decorre da forma como foram criadas, da opção legal pelo regime jurídico a que se submetem, da titularidade de poderes e também da natureza dos serviços por elas prestados. A norma questionada aponta para a possibilidade de serem equiparados os servidores de toda e qualquer fundação privada, instituída ou mantida pelo Estado, aos das fundações públicas. Sendo diversos os regimes jurídicos, diferentes são os direitos e os deveres que se combinam e formam os fundamentos da relação empregatícia firmada. A equiparação de regime, inclusive o remuneratório, que </w:t>
      </w:r>
      <w:r>
        <w:rPr>
          <w:rFonts w:cs="Arial"/>
          <w:sz w:val="24"/>
          <w:szCs w:val="24"/>
          <w:lang w:eastAsia="en-US"/>
        </w:rPr>
        <w:lastRenderedPageBreak/>
        <w:t>se aperfeiçoa pela equiparação de vencimentos, é prática vedada pelo art. 37, XIII, da Constituição brasileira e contrária à Súmula 339/STF. Precedentes. (ADI 191, Rel. Min. Carmen Lúcia, julgamento em 29-11-2007, Plenário, DJE de 7-3-2008.</w:t>
      </w:r>
      <w:proofErr w:type="gramStart"/>
      <w:r>
        <w:rPr>
          <w:rFonts w:cs="Arial"/>
          <w:sz w:val="24"/>
          <w:szCs w:val="24"/>
          <w:lang w:eastAsia="en-US"/>
        </w:rPr>
        <w:t>)</w:t>
      </w:r>
      <w:proofErr w:type="gramEnd"/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Assim, a possibilidade da equiparação requerida pela entidade, dada a situação jurídica da EMATER, torna-se inviável. 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arrematar, colaciono o enunciado da Súmula 243 do Superior Tribunal do Trabalho, precedente que destaca que os regimes trabalhista e estatutário não se complementam:</w:t>
      </w:r>
    </w:p>
    <w:p w:rsidR="00EB1468" w:rsidRDefault="00EB1468" w:rsidP="00EB1468">
      <w:pPr>
        <w:pStyle w:val="Citao"/>
        <w:ind w:left="0"/>
        <w:rPr>
          <w:rFonts w:cs="Arial"/>
          <w:sz w:val="24"/>
          <w:szCs w:val="24"/>
        </w:rPr>
      </w:pPr>
      <w:bookmarkStart w:id="0" w:name="SUM-243"/>
      <w:bookmarkEnd w:id="0"/>
      <w:r>
        <w:rPr>
          <w:rFonts w:cs="Arial"/>
          <w:sz w:val="24"/>
          <w:szCs w:val="24"/>
        </w:rPr>
        <w:t>Súmula nº 243 do TST</w:t>
      </w:r>
    </w:p>
    <w:p w:rsidR="00EB1468" w:rsidRDefault="00EB1468" w:rsidP="00EB1468">
      <w:pPr>
        <w:pStyle w:val="Citao"/>
        <w:ind w:lef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OPÇÃO PELO REGIME TRABALHISTA. SUPRESSÃO DAS VANTAGENS ESTATUTÁRIAS (mantida) - Res. 121/2003, DJ 19, 20 e </w:t>
      </w:r>
      <w:proofErr w:type="gramStart"/>
      <w:r>
        <w:rPr>
          <w:rFonts w:cs="Arial"/>
          <w:b/>
          <w:bCs/>
          <w:sz w:val="24"/>
          <w:szCs w:val="24"/>
        </w:rPr>
        <w:t>21.11.2003</w:t>
      </w:r>
      <w:proofErr w:type="gramEnd"/>
    </w:p>
    <w:p w:rsidR="00EB1468" w:rsidRDefault="00EB1468" w:rsidP="00EB1468">
      <w:pPr>
        <w:pStyle w:val="Cita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Exceto na hipótese de previsão contratual ou legal expressa, a opção do funcionário público pelo regime trabalhista implica a renúncia dos direitos inerentes ao regime estatutário.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Proponho, assim, que a resposta seja dada nos seguintes termos: pela impossibilidade da concessão de auxílio-doença complementar aos servidores celetistas da EMATER, uma vez que é vedado pela Constituição Federal equipará-los à carreira estatutária da entidade, assim como determinar normativamente tal equiparação, seja por ato do Governador do Estado ou por Lei Estadual específica.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a fundamentação.</w:t>
      </w:r>
    </w:p>
    <w:p w:rsidR="00EB1468" w:rsidRDefault="00EB1468" w:rsidP="00EB1468">
      <w:pPr>
        <w:overflowPunct w:val="0"/>
        <w:adjustRightInd w:val="0"/>
        <w:ind w:firstLine="567"/>
        <w:textAlignment w:val="baseline"/>
        <w:rPr>
          <w:rFonts w:ascii="Arial" w:hAnsi="Arial" w:cs="Arial"/>
          <w:szCs w:val="24"/>
        </w:rPr>
      </w:pPr>
    </w:p>
    <w:p w:rsidR="00EB1468" w:rsidRDefault="00EB1468" w:rsidP="00EB1468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3. VOTO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Assim, </w:t>
      </w:r>
      <w:r>
        <w:rPr>
          <w:rFonts w:ascii="Arial" w:hAnsi="Arial" w:cs="Arial"/>
          <w:b/>
          <w:szCs w:val="24"/>
        </w:rPr>
        <w:t>VOTO</w:t>
      </w:r>
      <w:r>
        <w:rPr>
          <w:rFonts w:ascii="Arial" w:hAnsi="Arial" w:cs="Arial"/>
          <w:szCs w:val="24"/>
        </w:rPr>
        <w:t xml:space="preserve"> pelo conhecimento da consulta formulada pelo presidente do Instituto Paranaense de Assistência Técnica e Extensão Rural (EMATER), Sr. Rubens Ernesto </w:t>
      </w:r>
      <w:proofErr w:type="spellStart"/>
      <w:r>
        <w:rPr>
          <w:rFonts w:ascii="Arial" w:hAnsi="Arial" w:cs="Arial"/>
          <w:szCs w:val="24"/>
        </w:rPr>
        <w:t>Niederheitmann</w:t>
      </w:r>
      <w:proofErr w:type="spellEnd"/>
      <w:r>
        <w:rPr>
          <w:rFonts w:ascii="Arial" w:hAnsi="Arial" w:cs="Arial"/>
          <w:szCs w:val="24"/>
        </w:rPr>
        <w:t xml:space="preserve">, acerca da possibilidade de concessão aos servidores vinculados ao regime da Consolidação das Leis do Trabalho (CLT) de complementação do auxílio-doença até o limite da remuneração destes servidores, conforme a licença para tratamento de saúde prevista no art. 221 da Lei Estadual nº 6.174/70 para os servidores estatutários da seguinte forma: pela impossibilidade da concessão de auxílio-doença complementar aos servidores celetistas da EMATER, uma vez que é vedado pela Constituição Federal equipará-los à carreira estatutária da entidade, assim como determinar </w:t>
      </w:r>
      <w:r>
        <w:rPr>
          <w:rFonts w:ascii="Arial" w:hAnsi="Arial" w:cs="Arial"/>
          <w:szCs w:val="24"/>
        </w:rPr>
        <w:lastRenderedPageBreak/>
        <w:t>normativamente tal equiparação, seja por ato do Governador do Estado ou por Lei Estadual específica.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fim, após o trânsito em julgado da presente prestação de contas, determino o encaminhamento dos autos à Diretoria de Execuções (DEX) para a adoção das medidas cabíveis e a Diretoria de Protocolo (DP) para encerramento.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o voto.</w:t>
      </w:r>
    </w:p>
    <w:p w:rsidR="00EB1468" w:rsidRDefault="00EB1468" w:rsidP="00EB1468">
      <w:pPr>
        <w:rPr>
          <w:rFonts w:ascii="Arial" w:hAnsi="Arial" w:cs="Arial"/>
          <w:szCs w:val="24"/>
        </w:rPr>
      </w:pPr>
    </w:p>
    <w:p w:rsidR="00EB1468" w:rsidRDefault="00EB1468" w:rsidP="00EB1468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VISTOS, relatados e discutidos, </w:t>
      </w:r>
    </w:p>
    <w:p w:rsidR="00EB1468" w:rsidRDefault="00EB1468" w:rsidP="00EB1468">
      <w:pPr>
        <w:pStyle w:val="Tpico"/>
        <w:spacing w:before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ACORDAM</w:t>
      </w:r>
    </w:p>
    <w:p w:rsidR="00EB1468" w:rsidRDefault="00EB1468" w:rsidP="00EB1468">
      <w:pPr>
        <w:spacing w:line="240" w:lineRule="auto"/>
        <w:rPr>
          <w:rFonts w:ascii="Arial" w:hAnsi="Arial" w:cs="Arial"/>
          <w:szCs w:val="24"/>
        </w:rPr>
      </w:pPr>
    </w:p>
    <w:p w:rsidR="00EB1468" w:rsidRDefault="00EB1468" w:rsidP="00EB1468">
      <w:pPr>
        <w:spacing w:line="24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OS MEMBROS DO TRIBUNAL PLENO do TRIBUNAL DE CONTAS DO ESTADO DO PARANÁ, nos termos do voto do Relator, Conselheiro </w:t>
      </w:r>
      <w:bookmarkStart w:id="1" w:name="TipoVotacao"/>
      <w:r>
        <w:rPr>
          <w:rFonts w:ascii="Arial" w:hAnsi="Arial" w:cs="Arial"/>
          <w:szCs w:val="24"/>
        </w:rPr>
        <w:t xml:space="preserve">NESTOR BAPTISTA, </w:t>
      </w:r>
      <w:bookmarkEnd w:id="1"/>
      <w:r>
        <w:rPr>
          <w:rFonts w:ascii="Arial" w:hAnsi="Arial" w:cs="Arial"/>
          <w:szCs w:val="24"/>
        </w:rPr>
        <w:t>por unanimidade, em:</w:t>
      </w:r>
    </w:p>
    <w:p w:rsidR="00EB1468" w:rsidRDefault="00EB1468" w:rsidP="00EB1468">
      <w:pPr>
        <w:ind w:firstLine="708"/>
        <w:rPr>
          <w:rFonts w:ascii="Arial" w:hAnsi="Arial" w:cs="Arial"/>
          <w:szCs w:val="24"/>
        </w:rPr>
      </w:pPr>
    </w:p>
    <w:p w:rsidR="00EB1468" w:rsidRDefault="00EB1468" w:rsidP="00EB14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 - Conhecer da consulta formulada pelo presidente do Instituto Paranaense de Assistência Técnica e Extensão Rural (EMATER), Sr. Rubens Ernesto </w:t>
      </w:r>
      <w:proofErr w:type="spellStart"/>
      <w:r>
        <w:rPr>
          <w:rFonts w:ascii="Arial" w:hAnsi="Arial" w:cs="Arial"/>
          <w:szCs w:val="24"/>
        </w:rPr>
        <w:t>Niederheitmann</w:t>
      </w:r>
      <w:proofErr w:type="spellEnd"/>
      <w:r>
        <w:rPr>
          <w:rFonts w:ascii="Arial" w:hAnsi="Arial" w:cs="Arial"/>
          <w:szCs w:val="24"/>
        </w:rPr>
        <w:t>, acerca da possibilidade de concessão aos servidores vinculados ao regime da Consolidação das Leis do Trabalho (CLT) de complementação do auxílio-doença até o limite da remuneração destes servidores, conforme a licença para tratamento de saúde prevista no art. 221 da Lei Estadual nº 6.174/70 para os servidores estatutários da seguinte forma: pela impossibilidade da concessão de auxílio-doença complementar aos servidores celetistas da EMATER, uma vez que é vedado pela Constituição Federal equipará-los à carreira estatutária da entidade, assim como determinar normativamente tal equiparação, seja por ato do Governador do Estado ou por Lei Estadual específica;</w:t>
      </w:r>
    </w:p>
    <w:p w:rsidR="00EB1468" w:rsidRDefault="00EB1468" w:rsidP="00EB146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 - Encaminhar os autos à Diretoria de Execuções (DEX) para a adoção das medidas cabíveis e a Diretoria de Protocolo (DP) para encerramento, após o trânsito em julgado da presente prestação de contas.</w:t>
      </w:r>
    </w:p>
    <w:p w:rsidR="00EB1468" w:rsidRDefault="00EB1468" w:rsidP="00EB1468">
      <w:pPr>
        <w:spacing w:before="48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Votaram, nos termos acima, os Conselheiros NESTOR BAPTISTA, ARTAGÃO DE MATTOS LEÃO, </w:t>
      </w:r>
      <w:proofErr w:type="gramStart"/>
      <w:r>
        <w:rPr>
          <w:rFonts w:ascii="Arial" w:hAnsi="Arial" w:cs="Arial"/>
          <w:szCs w:val="24"/>
        </w:rPr>
        <w:t>CAIO</w:t>
      </w:r>
      <w:proofErr w:type="gramEnd"/>
      <w:r>
        <w:rPr>
          <w:rFonts w:ascii="Arial" w:hAnsi="Arial" w:cs="Arial"/>
          <w:szCs w:val="24"/>
        </w:rPr>
        <w:t xml:space="preserve"> MARCIO NOGUEIRA </w:t>
      </w:r>
      <w:r>
        <w:rPr>
          <w:rFonts w:ascii="Arial" w:hAnsi="Arial" w:cs="Arial"/>
          <w:szCs w:val="24"/>
        </w:rPr>
        <w:lastRenderedPageBreak/>
        <w:t>SOARES, HERMAS EURIDES BRANDÃO, IVAN LELIS BONILHA e JOSE DURVAL MATTOS DO AMARAL.</w:t>
      </w:r>
    </w:p>
    <w:p w:rsidR="00EB1468" w:rsidRDefault="00EB1468" w:rsidP="00EB1468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Presente o Procurador Geral do Ministério Público junto ao Tribunal de Contas, ELIZEU DE MORAES CORREA.</w:t>
      </w:r>
    </w:p>
    <w:p w:rsidR="00EB1468" w:rsidRDefault="00EB1468" w:rsidP="00EB1468">
      <w:pPr>
        <w:pStyle w:val="Assina"/>
        <w:spacing w:before="0" w:after="0"/>
        <w:ind w:firstLine="1701"/>
        <w:jc w:val="both"/>
        <w:rPr>
          <w:rFonts w:ascii="Arial" w:hAnsi="Arial" w:cs="Arial"/>
          <w:szCs w:val="24"/>
        </w:rPr>
      </w:pPr>
      <w:bookmarkStart w:id="2" w:name="PresidenteQuorum"/>
      <w:r>
        <w:rPr>
          <w:rFonts w:ascii="Arial" w:hAnsi="Arial" w:cs="Arial"/>
          <w:szCs w:val="24"/>
        </w:rPr>
        <w:t xml:space="preserve">Sala das Sessões, </w:t>
      </w:r>
      <w:proofErr w:type="gramStart"/>
      <w:r>
        <w:rPr>
          <w:rFonts w:ascii="Arial" w:hAnsi="Arial" w:cs="Arial"/>
          <w:szCs w:val="24"/>
        </w:rPr>
        <w:t>6</w:t>
      </w:r>
      <w:proofErr w:type="gramEnd"/>
      <w:r>
        <w:rPr>
          <w:rFonts w:ascii="Arial" w:hAnsi="Arial" w:cs="Arial"/>
          <w:szCs w:val="24"/>
        </w:rPr>
        <w:t xml:space="preserve"> de dezembro de 2012 – Sessão nº 43.</w:t>
      </w:r>
    </w:p>
    <w:p w:rsidR="00EB1468" w:rsidRDefault="00EB1468" w:rsidP="00EB1468">
      <w:pPr>
        <w:pStyle w:val="Assina"/>
        <w:rPr>
          <w:rFonts w:ascii="Arial" w:hAnsi="Arial" w:cs="Arial"/>
          <w:szCs w:val="24"/>
        </w:rPr>
      </w:pPr>
    </w:p>
    <w:p w:rsidR="00EB1468" w:rsidRDefault="00EB1468" w:rsidP="00EB1468">
      <w:pPr>
        <w:pStyle w:val="Assina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NESTOR BAPTISTA</w:t>
      </w:r>
    </w:p>
    <w:p w:rsidR="00EB1468" w:rsidRDefault="00EB1468" w:rsidP="00EB1468">
      <w:pPr>
        <w:pStyle w:val="Assina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Conselheiro Relator</w:t>
      </w:r>
    </w:p>
    <w:p w:rsidR="00EB1468" w:rsidRDefault="00EB1468" w:rsidP="00EB1468">
      <w:pPr>
        <w:rPr>
          <w:rFonts w:ascii="Arial" w:hAnsi="Arial" w:cs="Arial"/>
          <w:szCs w:val="24"/>
        </w:rPr>
      </w:pPr>
    </w:p>
    <w:p w:rsidR="00EB1468" w:rsidRDefault="00EB1468" w:rsidP="00EB1468">
      <w:pPr>
        <w:rPr>
          <w:rFonts w:ascii="Arial" w:hAnsi="Arial" w:cs="Arial"/>
          <w:szCs w:val="24"/>
        </w:rPr>
      </w:pPr>
    </w:p>
    <w:bookmarkEnd w:id="2"/>
    <w:p w:rsidR="00EB1468" w:rsidRDefault="00EB1468" w:rsidP="00EB1468">
      <w:pPr>
        <w:pStyle w:val="Assina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FERNANDO AUGUSTO MELLO GUIMARÃES</w:t>
      </w:r>
    </w:p>
    <w:p w:rsidR="00EB1468" w:rsidRDefault="00EB1468" w:rsidP="00EB1468">
      <w:pPr>
        <w:pStyle w:val="Assina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Presidente </w:t>
      </w:r>
    </w:p>
    <w:p w:rsidR="002A7319" w:rsidRDefault="002A7319">
      <w:bookmarkStart w:id="3" w:name="_GoBack"/>
      <w:bookmarkEnd w:id="3"/>
    </w:p>
    <w:sectPr w:rsidR="002A7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68" w:rsidRDefault="00EB1468" w:rsidP="00EB1468">
      <w:pPr>
        <w:spacing w:before="0" w:after="0" w:line="240" w:lineRule="auto"/>
      </w:pPr>
      <w:r>
        <w:separator/>
      </w:r>
    </w:p>
  </w:endnote>
  <w:endnote w:type="continuationSeparator" w:id="0">
    <w:p w:rsidR="00EB1468" w:rsidRDefault="00EB1468" w:rsidP="00EB14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68" w:rsidRDefault="00EB1468" w:rsidP="00EB1468">
      <w:pPr>
        <w:spacing w:before="0" w:after="0" w:line="240" w:lineRule="auto"/>
      </w:pPr>
      <w:r>
        <w:separator/>
      </w:r>
    </w:p>
  </w:footnote>
  <w:footnote w:type="continuationSeparator" w:id="0">
    <w:p w:rsidR="00EB1468" w:rsidRDefault="00EB1468" w:rsidP="00EB1468">
      <w:pPr>
        <w:spacing w:before="0" w:after="0" w:line="240" w:lineRule="auto"/>
      </w:pPr>
      <w:r>
        <w:continuationSeparator/>
      </w:r>
    </w:p>
  </w:footnote>
  <w:footnote w:id="1">
    <w:p w:rsidR="00EB1468" w:rsidRDefault="00EB1468" w:rsidP="00EB1468">
      <w:pPr>
        <w:pStyle w:val="Default"/>
        <w:rPr>
          <w:rFonts w:ascii="Arial" w:hAnsi="Arial" w:cs="Arial"/>
          <w:sz w:val="20"/>
          <w:szCs w:val="20"/>
        </w:rPr>
      </w:pPr>
      <w:r>
        <w:rPr>
          <w:rStyle w:val="Refdenotaderodap"/>
          <w:rFonts w:eastAsiaTheme="majorEastAsia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 xml:space="preserve">38. A consulta deverá atender aos seguintes requisitos: </w:t>
      </w:r>
    </w:p>
    <w:p w:rsidR="00EB1468" w:rsidRDefault="00EB1468" w:rsidP="00EB1468">
      <w:pPr>
        <w:pStyle w:val="Textodenotaderodap"/>
        <w:spacing w:before="0"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[...].</w:t>
      </w:r>
    </w:p>
    <w:p w:rsidR="00EB1468" w:rsidRDefault="00EB1468" w:rsidP="00EB1468">
      <w:pPr>
        <w:pStyle w:val="Textodenotaderodap"/>
        <w:spacing w:before="0" w:after="0" w:line="240" w:lineRule="auto"/>
        <w:rPr>
          <w:rFonts w:cs="Arial"/>
        </w:rPr>
      </w:pPr>
      <w:r>
        <w:rPr>
          <w:rFonts w:cs="Arial"/>
          <w:sz w:val="20"/>
        </w:rPr>
        <w:t xml:space="preserve"> §1º Havendo relevante interesse público, devidamente motivado, a consulta que versar sobre dúvida quanto à interpretação e aplicação da legislação, em caso concreto, poderá ser conhecida, mas a resposta oferecida pelo Tribunal será sempre em tese.</w:t>
      </w:r>
      <w:r>
        <w:rPr>
          <w:rFonts w:cs="Arial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68"/>
    <w:rsid w:val="002A7319"/>
    <w:rsid w:val="00E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68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EB1468"/>
    <w:pPr>
      <w:autoSpaceDE/>
      <w:autoSpaceDN/>
      <w:spacing w:before="120" w:after="120"/>
      <w:ind w:firstLine="0"/>
    </w:pPr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B146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next w:val="Normal"/>
    <w:link w:val="TtuloChar"/>
    <w:qFormat/>
    <w:rsid w:val="00EB1468"/>
    <w:pPr>
      <w:autoSpaceDE/>
      <w:autoSpaceDN/>
      <w:spacing w:before="120" w:after="120"/>
      <w:ind w:firstLine="0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EB1468"/>
    <w:rPr>
      <w:rFonts w:ascii="Arial" w:eastAsiaTheme="majorEastAsia" w:hAnsi="Arial" w:cstheme="majorBidi"/>
      <w:b/>
      <w:bCs/>
      <w:kern w:val="28"/>
      <w:sz w:val="24"/>
      <w:szCs w:val="32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EB1468"/>
    <w:pPr>
      <w:autoSpaceDE/>
      <w:autoSpaceDN/>
      <w:spacing w:before="120" w:after="120" w:line="240" w:lineRule="auto"/>
      <w:ind w:left="3402" w:firstLine="0"/>
      <w:outlineLvl w:val="1"/>
    </w:pPr>
    <w:rPr>
      <w:rFonts w:ascii="Arial" w:eastAsiaTheme="majorEastAsia" w:hAnsi="Arial" w:cstheme="majorBidi"/>
      <w:i/>
      <w:szCs w:val="24"/>
    </w:rPr>
  </w:style>
  <w:style w:type="character" w:customStyle="1" w:styleId="SubttuloChar">
    <w:name w:val="Subtítulo Char"/>
    <w:basedOn w:val="Fontepargpadro"/>
    <w:link w:val="Subttulo"/>
    <w:rsid w:val="00EB1468"/>
    <w:rPr>
      <w:rFonts w:ascii="Arial" w:eastAsiaTheme="majorEastAsia" w:hAnsi="Arial" w:cstheme="majorBidi"/>
      <w:i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EB1468"/>
    <w:pPr>
      <w:autoSpaceDE/>
      <w:autoSpaceDN/>
      <w:spacing w:before="120" w:after="120" w:line="240" w:lineRule="auto"/>
      <w:ind w:left="2268" w:firstLine="0"/>
    </w:pPr>
    <w:rPr>
      <w:rFonts w:ascii="Arial" w:hAnsi="Arial"/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EB1468"/>
    <w:rPr>
      <w:rFonts w:ascii="Arial" w:eastAsia="Times New Roman" w:hAnsi="Arial" w:cs="Times New Roman"/>
      <w:i/>
      <w:iCs/>
      <w:color w:val="000000" w:themeColor="text1"/>
      <w:sz w:val="20"/>
      <w:szCs w:val="20"/>
      <w:lang w:eastAsia="pt-BR"/>
    </w:rPr>
  </w:style>
  <w:style w:type="paragraph" w:customStyle="1" w:styleId="NumAto">
    <w:name w:val="NumAto"/>
    <w:basedOn w:val="Normal"/>
    <w:rsid w:val="00EB1468"/>
    <w:pPr>
      <w:ind w:firstLine="0"/>
      <w:jc w:val="center"/>
    </w:pPr>
    <w:rPr>
      <w:b/>
    </w:rPr>
  </w:style>
  <w:style w:type="paragraph" w:customStyle="1" w:styleId="Tpico">
    <w:name w:val="Tópico"/>
    <w:basedOn w:val="Normal"/>
    <w:rsid w:val="00EB1468"/>
    <w:pPr>
      <w:ind w:firstLine="0"/>
      <w:jc w:val="left"/>
    </w:pPr>
    <w:rPr>
      <w:b/>
    </w:rPr>
  </w:style>
  <w:style w:type="paragraph" w:customStyle="1" w:styleId="Assina">
    <w:name w:val="Assina"/>
    <w:basedOn w:val="Normal"/>
    <w:rsid w:val="00EB1468"/>
    <w:pPr>
      <w:ind w:firstLine="0"/>
      <w:jc w:val="center"/>
    </w:pPr>
  </w:style>
  <w:style w:type="paragraph" w:customStyle="1" w:styleId="Default">
    <w:name w:val="Default"/>
    <w:rsid w:val="00EB1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unhideWhenUsed/>
    <w:rsid w:val="00EB14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68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EB1468"/>
    <w:pPr>
      <w:autoSpaceDE/>
      <w:autoSpaceDN/>
      <w:spacing w:before="120" w:after="120"/>
      <w:ind w:firstLine="0"/>
    </w:pPr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B146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next w:val="Normal"/>
    <w:link w:val="TtuloChar"/>
    <w:qFormat/>
    <w:rsid w:val="00EB1468"/>
    <w:pPr>
      <w:autoSpaceDE/>
      <w:autoSpaceDN/>
      <w:spacing w:before="120" w:after="120"/>
      <w:ind w:firstLine="0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EB1468"/>
    <w:rPr>
      <w:rFonts w:ascii="Arial" w:eastAsiaTheme="majorEastAsia" w:hAnsi="Arial" w:cstheme="majorBidi"/>
      <w:b/>
      <w:bCs/>
      <w:kern w:val="28"/>
      <w:sz w:val="24"/>
      <w:szCs w:val="32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EB1468"/>
    <w:pPr>
      <w:autoSpaceDE/>
      <w:autoSpaceDN/>
      <w:spacing w:before="120" w:after="120" w:line="240" w:lineRule="auto"/>
      <w:ind w:left="3402" w:firstLine="0"/>
      <w:outlineLvl w:val="1"/>
    </w:pPr>
    <w:rPr>
      <w:rFonts w:ascii="Arial" w:eastAsiaTheme="majorEastAsia" w:hAnsi="Arial" w:cstheme="majorBidi"/>
      <w:i/>
      <w:szCs w:val="24"/>
    </w:rPr>
  </w:style>
  <w:style w:type="character" w:customStyle="1" w:styleId="SubttuloChar">
    <w:name w:val="Subtítulo Char"/>
    <w:basedOn w:val="Fontepargpadro"/>
    <w:link w:val="Subttulo"/>
    <w:rsid w:val="00EB1468"/>
    <w:rPr>
      <w:rFonts w:ascii="Arial" w:eastAsiaTheme="majorEastAsia" w:hAnsi="Arial" w:cstheme="majorBidi"/>
      <w:i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EB1468"/>
    <w:pPr>
      <w:autoSpaceDE/>
      <w:autoSpaceDN/>
      <w:spacing w:before="120" w:after="120" w:line="240" w:lineRule="auto"/>
      <w:ind w:left="2268" w:firstLine="0"/>
    </w:pPr>
    <w:rPr>
      <w:rFonts w:ascii="Arial" w:hAnsi="Arial"/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EB1468"/>
    <w:rPr>
      <w:rFonts w:ascii="Arial" w:eastAsia="Times New Roman" w:hAnsi="Arial" w:cs="Times New Roman"/>
      <w:i/>
      <w:iCs/>
      <w:color w:val="000000" w:themeColor="text1"/>
      <w:sz w:val="20"/>
      <w:szCs w:val="20"/>
      <w:lang w:eastAsia="pt-BR"/>
    </w:rPr>
  </w:style>
  <w:style w:type="paragraph" w:customStyle="1" w:styleId="NumAto">
    <w:name w:val="NumAto"/>
    <w:basedOn w:val="Normal"/>
    <w:rsid w:val="00EB1468"/>
    <w:pPr>
      <w:ind w:firstLine="0"/>
      <w:jc w:val="center"/>
    </w:pPr>
    <w:rPr>
      <w:b/>
    </w:rPr>
  </w:style>
  <w:style w:type="paragraph" w:customStyle="1" w:styleId="Tpico">
    <w:name w:val="Tópico"/>
    <w:basedOn w:val="Normal"/>
    <w:rsid w:val="00EB1468"/>
    <w:pPr>
      <w:ind w:firstLine="0"/>
      <w:jc w:val="left"/>
    </w:pPr>
    <w:rPr>
      <w:b/>
    </w:rPr>
  </w:style>
  <w:style w:type="paragraph" w:customStyle="1" w:styleId="Assina">
    <w:name w:val="Assina"/>
    <w:basedOn w:val="Normal"/>
    <w:rsid w:val="00EB1468"/>
    <w:pPr>
      <w:ind w:firstLine="0"/>
      <w:jc w:val="center"/>
    </w:pPr>
  </w:style>
  <w:style w:type="paragraph" w:customStyle="1" w:styleId="Default">
    <w:name w:val="Default"/>
    <w:rsid w:val="00EB1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unhideWhenUsed/>
    <w:rsid w:val="00EB1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1986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tc502731</dc:creator>
  <cp:lastModifiedBy>tc502731</cp:lastModifiedBy>
  <cp:revision>1</cp:revision>
  <dcterms:created xsi:type="dcterms:W3CDTF">2013-04-03T12:32:00Z</dcterms:created>
  <dcterms:modified xsi:type="dcterms:W3CDTF">2013-04-03T12:37:00Z</dcterms:modified>
</cp:coreProperties>
</file>