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1"/>
        <w:gridCol w:w="7384"/>
      </w:tblGrid>
      <w:tr w:rsidR="00F94E0B" w:rsidTr="00F94E0B">
        <w:tc>
          <w:tcPr>
            <w:tcW w:w="2051" w:type="dxa"/>
            <w:hideMark/>
          </w:tcPr>
          <w:p w:rsidR="00F94E0B" w:rsidRDefault="00F94E0B">
            <w:pPr>
              <w:autoSpaceDE/>
              <w:spacing w:before="0" w:after="120" w:line="240" w:lineRule="auto"/>
              <w:ind w:right="-495"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PROCESSO Nº:</w:t>
            </w:r>
          </w:p>
        </w:tc>
        <w:tc>
          <w:tcPr>
            <w:tcW w:w="7384" w:type="dxa"/>
            <w:vAlign w:val="center"/>
            <w:hideMark/>
          </w:tcPr>
          <w:p w:rsidR="00F94E0B" w:rsidRDefault="00F94E0B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724289/12</w:t>
            </w:r>
          </w:p>
        </w:tc>
      </w:tr>
      <w:tr w:rsidR="00F94E0B" w:rsidTr="00F94E0B">
        <w:tc>
          <w:tcPr>
            <w:tcW w:w="2051" w:type="dxa"/>
            <w:hideMark/>
          </w:tcPr>
          <w:p w:rsidR="00F94E0B" w:rsidRDefault="00F94E0B">
            <w:pPr>
              <w:autoSpaceDE/>
              <w:spacing w:before="0" w:after="120" w:line="240" w:lineRule="auto"/>
              <w:ind w:right="-495"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ASSUNTO:</w:t>
            </w:r>
          </w:p>
        </w:tc>
        <w:tc>
          <w:tcPr>
            <w:tcW w:w="7384" w:type="dxa"/>
            <w:vAlign w:val="center"/>
            <w:hideMark/>
          </w:tcPr>
          <w:p w:rsidR="00F94E0B" w:rsidRDefault="00F94E0B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CONSULTA</w:t>
            </w:r>
          </w:p>
        </w:tc>
      </w:tr>
      <w:tr w:rsidR="00F94E0B" w:rsidTr="00F94E0B">
        <w:tc>
          <w:tcPr>
            <w:tcW w:w="2051" w:type="dxa"/>
            <w:hideMark/>
          </w:tcPr>
          <w:p w:rsidR="00F94E0B" w:rsidRDefault="00F94E0B">
            <w:pPr>
              <w:autoSpaceDE/>
              <w:spacing w:before="0" w:after="120" w:line="240" w:lineRule="auto"/>
              <w:ind w:right="-495"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ENTIDADE:</w:t>
            </w:r>
          </w:p>
        </w:tc>
        <w:tc>
          <w:tcPr>
            <w:tcW w:w="7384" w:type="dxa"/>
            <w:vAlign w:val="center"/>
            <w:hideMark/>
          </w:tcPr>
          <w:p w:rsidR="00F94E0B" w:rsidRDefault="00F94E0B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MUNICÍPIO DE MARINGÁ</w:t>
            </w:r>
          </w:p>
        </w:tc>
      </w:tr>
      <w:tr w:rsidR="00F94E0B" w:rsidTr="00F94E0B">
        <w:tc>
          <w:tcPr>
            <w:tcW w:w="2051" w:type="dxa"/>
            <w:hideMark/>
          </w:tcPr>
          <w:p w:rsidR="00F94E0B" w:rsidRDefault="00F94E0B">
            <w:pPr>
              <w:autoSpaceDE/>
              <w:spacing w:before="0" w:after="120" w:line="240" w:lineRule="auto"/>
              <w:ind w:right="-495"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INTERESSADO:</w:t>
            </w:r>
          </w:p>
        </w:tc>
        <w:tc>
          <w:tcPr>
            <w:tcW w:w="7384" w:type="dxa"/>
            <w:vAlign w:val="center"/>
            <w:hideMark/>
          </w:tcPr>
          <w:p w:rsidR="00F94E0B" w:rsidRDefault="00F94E0B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SILVIO MAGALHÃES BARROS II</w:t>
            </w:r>
          </w:p>
        </w:tc>
      </w:tr>
      <w:tr w:rsidR="00F94E0B" w:rsidTr="00F94E0B">
        <w:tc>
          <w:tcPr>
            <w:tcW w:w="2051" w:type="dxa"/>
            <w:hideMark/>
          </w:tcPr>
          <w:p w:rsidR="00F94E0B" w:rsidRDefault="00F94E0B">
            <w:pPr>
              <w:autoSpaceDE/>
              <w:spacing w:before="0" w:after="120" w:line="240" w:lineRule="auto"/>
              <w:ind w:right="-495"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RELATOR:</w:t>
            </w:r>
          </w:p>
        </w:tc>
        <w:tc>
          <w:tcPr>
            <w:tcW w:w="7384" w:type="dxa"/>
            <w:vAlign w:val="center"/>
            <w:hideMark/>
          </w:tcPr>
          <w:p w:rsidR="00F94E0B" w:rsidRDefault="00F94E0B">
            <w:pPr>
              <w:autoSpaceDE/>
              <w:spacing w:before="0" w:after="120" w:line="240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AUDITOR IVENS ZSCHOERPER LINHARES</w:t>
            </w:r>
          </w:p>
        </w:tc>
      </w:tr>
    </w:tbl>
    <w:p w:rsidR="00F94E0B" w:rsidRDefault="00F94E0B" w:rsidP="00F94E0B">
      <w:pPr>
        <w:ind w:firstLine="0"/>
        <w:jc w:val="center"/>
        <w:rPr>
          <w:rFonts w:ascii="Arial" w:hAnsi="Arial" w:cs="Arial"/>
          <w:szCs w:val="24"/>
        </w:rPr>
      </w:pPr>
      <w:bookmarkStart w:id="0" w:name="RelatorioJulgamento"/>
    </w:p>
    <w:p w:rsidR="00F94E0B" w:rsidRDefault="00F94E0B" w:rsidP="00F94E0B">
      <w:pPr>
        <w:pStyle w:val="NumAto"/>
        <w:ind w:right="-9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ACÓRDÃO Nº 3852/13 - Tribunal Pleno</w:t>
      </w:r>
    </w:p>
    <w:bookmarkEnd w:id="0"/>
    <w:p w:rsidR="00F94E0B" w:rsidRDefault="00F94E0B" w:rsidP="00F94E0B">
      <w:pPr>
        <w:spacing w:line="276" w:lineRule="auto"/>
        <w:ind w:left="3402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Consulta. Possibilidade de o Poder Público realizar transferência voluntária para Organização da Sociedade Civil de Interesse Público – OSCIP. Inexistência de óbice legal. Obrigatoriedade de prévio procedimento administrativo e verificação das condições inerentes ao funcionamento destas entidades, previstas na Lei nº 9.790/1999, no Decreto nº 3.100/1999, na Resolução nº 28/2011, na Instrução Normativa nº 61/2011, e, por se tratar de recursos do FIA, na Lei nº 8.069/1990 – Estatuto da Criança e do Adolescente, e a Instrução Normativa nº 36/2009, conforme assinalado no voto.</w:t>
      </w:r>
    </w:p>
    <w:p w:rsidR="00F94E0B" w:rsidRDefault="00F94E0B" w:rsidP="00F94E0B">
      <w:pPr>
        <w:ind w:firstLine="851"/>
        <w:rPr>
          <w:rFonts w:ascii="Arial" w:hAnsi="Arial" w:cs="Arial"/>
          <w:szCs w:val="24"/>
        </w:rPr>
      </w:pPr>
    </w:p>
    <w:p w:rsidR="00F94E0B" w:rsidRDefault="00F94E0B" w:rsidP="00F94E0B">
      <w:pPr>
        <w:ind w:firstLine="851"/>
        <w:rPr>
          <w:rFonts w:ascii="Arial" w:hAnsi="Arial" w:cs="Arial"/>
          <w:szCs w:val="24"/>
        </w:rPr>
      </w:pPr>
    </w:p>
    <w:p w:rsidR="00F94E0B" w:rsidRDefault="00F94E0B" w:rsidP="00F94E0B">
      <w:pPr>
        <w:pStyle w:val="PargrafodaLista"/>
        <w:numPr>
          <w:ilvl w:val="0"/>
          <w:numId w:val="1"/>
        </w:numPr>
        <w:spacing w:line="360" w:lineRule="auto"/>
        <w:ind w:left="0" w:firstLine="170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 o expediente de consulta formulada pelo Município de Maringá, por intermédio de seu Prefeito Municipal à época, Sr. Silvio Magalhães Barros II, por meio da qual visa dirimir dúvida acerca da </w:t>
      </w:r>
      <w:r>
        <w:rPr>
          <w:rFonts w:ascii="Arial" w:hAnsi="Arial" w:cs="Arial"/>
          <w:i/>
          <w:sz w:val="24"/>
          <w:szCs w:val="24"/>
        </w:rPr>
        <w:t>possibilidade legal de realizar transferências voluntárias para entidades assistenciais classificadas como OSCIP, através de convênio, utilizando recursos do FIA municipal, para execução de projetos sociais no atendimento a crianças e adolescentes.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face da constatação de não atendimento aos requisitos regimentais para conhecimento da consulta, por meio do Despacho nº 2287/12, foi determinada a intimação do interessado para que indicasse o dispositivo legal ou regulamentar a que se refere o inciso III do art. 311 do Regimento Interno, e apresentasse o parecer jurídico a que se refere o inciso IV do mesmo artigo.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fim de dar cumprimento ao solicitado, o consulente trouxe aos autos parecer jurídico, subscrito pelo Procurador Geral do Município, Dr. Luiz Carlos </w:t>
      </w:r>
      <w:proofErr w:type="spellStart"/>
      <w:r>
        <w:rPr>
          <w:rFonts w:ascii="Arial" w:hAnsi="Arial" w:cs="Arial"/>
          <w:sz w:val="24"/>
          <w:szCs w:val="24"/>
        </w:rPr>
        <w:t>Manzato</w:t>
      </w:r>
      <w:proofErr w:type="spellEnd"/>
      <w:r>
        <w:rPr>
          <w:rFonts w:ascii="Arial" w:hAnsi="Arial" w:cs="Arial"/>
          <w:sz w:val="24"/>
          <w:szCs w:val="24"/>
        </w:rPr>
        <w:t>, opinando acerca da matéria objeto da consulta.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Em observância ao trâmite regimentalmente previsto, seguiram os autos à Coordenadoria de Jurisprudência e Biblioteca, para informar sobre a existência de prejulgado ou decisões reiteradas sobre o tema, que, na Informação nº 75/12, colacionou ementas de decisões que tangenciam a questão suscitada nos presentes.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Ato contínuo, o Município de Maringá juntou aos autos parecer jurídico complementar (peça nº 13), o qual concluiu que </w:t>
      </w:r>
      <w:r>
        <w:rPr>
          <w:rFonts w:ascii="Arial" w:hAnsi="Arial" w:cs="Arial"/>
          <w:i/>
          <w:sz w:val="24"/>
          <w:szCs w:val="24"/>
        </w:rPr>
        <w:t>não há óbice legal para que instituições privadas, sem fins econômicos e qualificadas como OSCIP recebam recursos públicos municipais, entre eles o FIA, através de convênios, auxílios, contratos de repasses ou qualquer outro instrumento, incluindo-se aí o Termo de Parceria</w:t>
      </w:r>
      <w:r>
        <w:rPr>
          <w:rFonts w:ascii="Arial" w:hAnsi="Arial" w:cs="Arial"/>
          <w:sz w:val="24"/>
          <w:szCs w:val="24"/>
        </w:rPr>
        <w:t xml:space="preserve">, salientando, contudo, </w:t>
      </w:r>
      <w:r>
        <w:rPr>
          <w:rFonts w:ascii="Arial" w:hAnsi="Arial" w:cs="Arial"/>
          <w:i/>
          <w:sz w:val="24"/>
          <w:szCs w:val="24"/>
        </w:rPr>
        <w:t>que a celebração de Termos de Parceria deverá ser precedida do atendimento dos requisitos do Decreto 3.100/99, especialmente, de publicação de edital de Concursos de Projetos pela Prefeitura do Município de Maringá.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Instada a se manifestar, a Diretoria de Contas Municipais, por meio da Instrução nº 226/13, em sede de preliminar, aduziu que o parecer jurídico acostado pelo interessado não aborda especificamente a dúvida suscitada pelo consulente, razão pela qual recomendou a intimação deste para que emendasse a inicial, esclarecendo exatamente a dúvida que pretende ver respondida, bem como para que apresentasse parecer jurídico que enfoque especificamente a dúvida. </w:t>
      </w:r>
      <w:proofErr w:type="gramStart"/>
      <w:r>
        <w:rPr>
          <w:rFonts w:ascii="Arial" w:hAnsi="Arial" w:cs="Arial"/>
          <w:sz w:val="24"/>
          <w:szCs w:val="24"/>
        </w:rPr>
        <w:t>Outrossim</w:t>
      </w:r>
      <w:proofErr w:type="gramEnd"/>
      <w:r>
        <w:rPr>
          <w:rFonts w:ascii="Arial" w:hAnsi="Arial" w:cs="Arial"/>
          <w:sz w:val="24"/>
          <w:szCs w:val="24"/>
        </w:rPr>
        <w:t>, por se referir à legalidade e às formas adequadas de serem feitas transferências voluntárias, sugeriu o encaminhamento dos autos à Diretoria de Análise de Transferências, para manifestação quanto ao mérito.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detida análise do arcabouço normativo que rege a questão, sobretudo, da Lei Federal nº 9.790/99, que dispõe sobre a qualificação das </w:t>
      </w:r>
      <w:proofErr w:type="spellStart"/>
      <w:r>
        <w:rPr>
          <w:rFonts w:ascii="Arial" w:hAnsi="Arial" w:cs="Arial"/>
          <w:sz w:val="24"/>
          <w:szCs w:val="24"/>
        </w:rPr>
        <w:t>OSCIPs</w:t>
      </w:r>
      <w:proofErr w:type="spellEnd"/>
      <w:r>
        <w:rPr>
          <w:rFonts w:ascii="Arial" w:hAnsi="Arial" w:cs="Arial"/>
          <w:sz w:val="24"/>
          <w:szCs w:val="24"/>
        </w:rPr>
        <w:t xml:space="preserve"> e disciplina o Termo de Parceria, bem como do decreto que regulamentou a questão em âmbito federal (Decreto nº 3.100/99), a Diretoria de Análise de Transferências, no Parecer nº 92/13, opinou </w:t>
      </w:r>
      <w:r>
        <w:rPr>
          <w:rFonts w:ascii="Arial" w:hAnsi="Arial" w:cs="Arial"/>
          <w:i/>
          <w:sz w:val="24"/>
          <w:szCs w:val="24"/>
        </w:rPr>
        <w:t xml:space="preserve">pela impossibilidade de se realizar transferência voluntária para entidades assistenciais e qualificadas como </w:t>
      </w:r>
      <w:proofErr w:type="spellStart"/>
      <w:r>
        <w:rPr>
          <w:rFonts w:ascii="Arial" w:hAnsi="Arial" w:cs="Arial"/>
          <w:i/>
          <w:sz w:val="24"/>
          <w:szCs w:val="24"/>
        </w:rPr>
        <w:t>OSCIPs</w:t>
      </w:r>
      <w:proofErr w:type="spellEnd"/>
      <w:r>
        <w:rPr>
          <w:rFonts w:ascii="Arial" w:hAnsi="Arial" w:cs="Arial"/>
          <w:i/>
          <w:sz w:val="24"/>
          <w:szCs w:val="24"/>
        </w:rPr>
        <w:t>, através de convênios.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seu turno, o Ministério Público de Contas, mediante o Parecer nº 11274/13, divergiu da Unidade Técnica e, fundado na inexistência de óbice legal à formalização de ajustes cooperativos distintos dos termos de </w:t>
      </w:r>
      <w:r>
        <w:rPr>
          <w:rFonts w:ascii="Arial" w:hAnsi="Arial" w:cs="Arial"/>
          <w:sz w:val="24"/>
          <w:szCs w:val="24"/>
        </w:rPr>
        <w:lastRenderedPageBreak/>
        <w:t>parceria pelas OSCIP, manifestou-se pela possibilidade destas firmarem convênio com a administração pública, desde que observadas cautelas apontadas em seu opinativo.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o relatório.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</w:p>
    <w:p w:rsidR="00F94E0B" w:rsidRDefault="00F94E0B" w:rsidP="00F94E0B">
      <w:pPr>
        <w:pStyle w:val="PargrafodaLista"/>
        <w:numPr>
          <w:ilvl w:val="0"/>
          <w:numId w:val="1"/>
        </w:numPr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Inicialmente, no que tange às </w:t>
      </w:r>
      <w:proofErr w:type="gramStart"/>
      <w:r>
        <w:rPr>
          <w:rFonts w:ascii="Arial" w:hAnsi="Arial" w:cs="Arial"/>
          <w:sz w:val="24"/>
          <w:szCs w:val="24"/>
        </w:rPr>
        <w:t>preliminares aduzidas</w:t>
      </w:r>
      <w:proofErr w:type="gramEnd"/>
      <w:r>
        <w:rPr>
          <w:rFonts w:ascii="Arial" w:hAnsi="Arial" w:cs="Arial"/>
          <w:sz w:val="24"/>
          <w:szCs w:val="24"/>
        </w:rPr>
        <w:t xml:space="preserve"> pela Diretoria de Contas Municipais, que ensejariam o não conhecimento da consulta, ou, alternativamente, a necessidade de emenda à inicial, insta salientar que, a despeito de o parecer jurídico não estar vinculado precisamente à questão formulada, nele são tecidas argumentações que embasam a conclusão exposta no opinativo.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Ademais, a dúvida está claramente posta na exordial, e, em que pesem as dilações sobre o tema, que por vezes apenas o tangenciam, no parecer acostado à peça nº 13, é possível extrair a conclusão acerca da matéria objeto da consulta, restando, assim, atendido o requisito de admissibilidade previsto no inciso IV do artigo 311 do Regimento Interno.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forma, atendidas as condições de admissibilidade constantes dos artigos 311 e 312, ambos do Regimento Interno, conheço da presente consulta.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Superadas as questões preliminares, passo ao mérito.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Indaga o consulente sobre a possibilidade de a Administração Pública firmar convênio com entidade qualificada como OSCIP - Organizações da Sociedade Civil de Interesse Público.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início, situando a questão posta no âmbito das competências legislativas constitucionalmente delineadas, cumpre salientar que inobstante a inexistência de previsão expressa relativa à competência para legislar em matéria administrativa, esta decorre da autonomia federativa, ou seja, cada ente possui competência para organizar a sua própria administração. Logo, pode-se dizer que, nos moldes do artigo 24 da Constituição Federal, União, Estados e Distrito Federal detêm competência comum para legislar sobre a matéria.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par disso, é </w:t>
      </w:r>
      <w:proofErr w:type="spellStart"/>
      <w:r>
        <w:rPr>
          <w:rFonts w:ascii="Arial" w:hAnsi="Arial" w:cs="Arial"/>
          <w:sz w:val="24"/>
          <w:szCs w:val="24"/>
        </w:rPr>
        <w:t>inafastável</w:t>
      </w:r>
      <w:proofErr w:type="spellEnd"/>
      <w:r>
        <w:rPr>
          <w:rFonts w:ascii="Arial" w:hAnsi="Arial" w:cs="Arial"/>
          <w:sz w:val="24"/>
          <w:szCs w:val="24"/>
        </w:rPr>
        <w:t xml:space="preserve"> a competência também dos Municípios para organizarem sua administração, como decorrência lógica do que prevê o artigo 30, incisos I e II da Constituição Federal, que assegura aos </w:t>
      </w:r>
      <w:r>
        <w:rPr>
          <w:rFonts w:ascii="Arial" w:hAnsi="Arial" w:cs="Arial"/>
          <w:sz w:val="24"/>
          <w:szCs w:val="24"/>
        </w:rPr>
        <w:lastRenderedPageBreak/>
        <w:t>entes municipais a competência para legislar sobre assuntos de interesse local, bem como para suplementar a legislação federal e estadual no que couber.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Fixadas tais premissas, e partindo-se para seara da qualificação de pessoa jurídica como OSCIP, infere-se que, inexistindo legislação municipal a respeito, são aplicáveis as normativas federais regentes da matéria.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Lei nº 9.790/99 dispôs sobre as </w:t>
      </w:r>
      <w:r>
        <w:rPr>
          <w:rFonts w:ascii="Arial" w:hAnsi="Arial" w:cs="Arial"/>
          <w:i/>
          <w:sz w:val="24"/>
          <w:szCs w:val="24"/>
        </w:rPr>
        <w:t>organizações da sociedade civil de interesse público – OSCIP</w:t>
      </w:r>
      <w:r>
        <w:rPr>
          <w:rFonts w:ascii="Arial" w:hAnsi="Arial" w:cs="Arial"/>
          <w:sz w:val="24"/>
          <w:szCs w:val="24"/>
        </w:rPr>
        <w:t>, cuja regulamentação, em âmbito federal, coube ao Decreto nº 3.100/99.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artigo 1º da referida lei disciplina que </w:t>
      </w:r>
      <w:r>
        <w:rPr>
          <w:rFonts w:ascii="Arial" w:hAnsi="Arial" w:cs="Arial"/>
          <w:i/>
          <w:sz w:val="24"/>
          <w:szCs w:val="24"/>
        </w:rPr>
        <w:t>“podem qualificar-se como Organizações da Sociedade Civil de Interesse Público as pessoas jurídicas de direito privado, sem fins lucrativos, desde que os respectivos objetivos sociais e normas estatutárias atendam aos requisitos instituídos por esta Lei”</w:t>
      </w:r>
      <w:r>
        <w:rPr>
          <w:rFonts w:ascii="Arial" w:hAnsi="Arial" w:cs="Arial"/>
          <w:sz w:val="24"/>
          <w:szCs w:val="24"/>
        </w:rPr>
        <w:t>, os quais, por sua vez, estão elencados nos artigos 3º e 4º.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ponto, precisa a assertiva do Ilustre Procurador Geral do Ministério Público de Contas, no sentido de que a qualificação de OSCIP não confere à entidade uma nova categoria como pessoa jurídica, à luz do que expressamente dispõe o art. 44 do Código Civil Brasileiro (f. 3/4 da peça nº 20):</w:t>
      </w:r>
    </w:p>
    <w:p w:rsidR="00F94E0B" w:rsidRDefault="00F94E0B" w:rsidP="00F94E0B">
      <w:pPr>
        <w:pStyle w:val="PargrafodaLista"/>
        <w:ind w:left="2835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Nesse passo, observa-se que o art. 44 daquele </w:t>
      </w:r>
      <w:proofErr w:type="spellStart"/>
      <w:r>
        <w:rPr>
          <w:rFonts w:ascii="Arial" w:hAnsi="Arial" w:cs="Arial"/>
          <w:sz w:val="24"/>
          <w:szCs w:val="24"/>
        </w:rPr>
        <w:t>codex</w:t>
      </w:r>
      <w:proofErr w:type="spellEnd"/>
      <w:r>
        <w:rPr>
          <w:rFonts w:ascii="Arial" w:hAnsi="Arial" w:cs="Arial"/>
          <w:sz w:val="24"/>
          <w:szCs w:val="24"/>
        </w:rPr>
        <w:t xml:space="preserve"> estabelece, em </w:t>
      </w:r>
      <w:r>
        <w:rPr>
          <w:rFonts w:ascii="Arial" w:hAnsi="Arial" w:cs="Arial"/>
          <w:b/>
          <w:sz w:val="24"/>
          <w:szCs w:val="24"/>
          <w:u w:val="single"/>
        </w:rPr>
        <w:t>rol taxativo</w:t>
      </w:r>
      <w:r>
        <w:rPr>
          <w:rFonts w:ascii="Arial" w:hAnsi="Arial" w:cs="Arial"/>
          <w:sz w:val="24"/>
          <w:szCs w:val="24"/>
        </w:rPr>
        <w:t>, as modalidades associativas que constituem pessoas coletivas, das quais, em princípio, estariam apartadas de finalidades econômicas as associações (inciso I), as fundações (inciso III), as organizações religiosas (inciso IV) e os partidos políticos (inciso V). Porém, é de se ver que o art. 2º da Lei nº 9.790/1999 exclui da qualificação as organizações religiosas, os partidos políticos e algumas fundações – do que se conclui que,</w:t>
      </w:r>
      <w:r>
        <w:rPr>
          <w:rFonts w:ascii="Arial" w:eastAsia="PMingLiU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necessariamente, </w:t>
      </w:r>
      <w:r>
        <w:rPr>
          <w:rFonts w:ascii="Arial" w:hAnsi="Arial" w:cs="Arial"/>
          <w:b/>
          <w:sz w:val="24"/>
          <w:szCs w:val="24"/>
          <w:u w:val="single"/>
        </w:rPr>
        <w:t>toda entidade qualificada como OSCIP assumirá a forma de associação civil ou de fundação de direito privado</w:t>
      </w:r>
      <w:r>
        <w:rPr>
          <w:rFonts w:ascii="Arial" w:hAnsi="Arial" w:cs="Arial"/>
          <w:sz w:val="24"/>
          <w:szCs w:val="24"/>
        </w:rPr>
        <w:t xml:space="preserve"> (sem grifo no original).</w:t>
      </w:r>
    </w:p>
    <w:p w:rsidR="00F94E0B" w:rsidRDefault="00F94E0B" w:rsidP="00F94E0B">
      <w:pPr>
        <w:pStyle w:val="PargrafodaLista"/>
        <w:spacing w:line="360" w:lineRule="auto"/>
        <w:ind w:left="2835" w:firstLine="1701"/>
        <w:jc w:val="both"/>
        <w:rPr>
          <w:rFonts w:ascii="Arial" w:hAnsi="Arial" w:cs="Arial"/>
          <w:sz w:val="24"/>
          <w:szCs w:val="24"/>
        </w:rPr>
      </w:pP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Assentada essa premissa, prossegue o Procurador:</w:t>
      </w:r>
    </w:p>
    <w:p w:rsidR="00F94E0B" w:rsidRDefault="00F94E0B" w:rsidP="00F94E0B">
      <w:pPr>
        <w:pStyle w:val="PargrafodaLista"/>
        <w:ind w:left="2835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Essa breve reflexão faz-se necessária para demonstrar que a legislação </w:t>
      </w:r>
      <w:proofErr w:type="spellStart"/>
      <w:r>
        <w:rPr>
          <w:rFonts w:ascii="Arial" w:hAnsi="Arial" w:cs="Arial"/>
          <w:sz w:val="24"/>
          <w:szCs w:val="24"/>
        </w:rPr>
        <w:t>publicista</w:t>
      </w:r>
      <w:proofErr w:type="spellEnd"/>
      <w:r>
        <w:rPr>
          <w:rFonts w:ascii="Arial" w:hAnsi="Arial" w:cs="Arial"/>
          <w:sz w:val="24"/>
          <w:szCs w:val="24"/>
        </w:rPr>
        <w:t xml:space="preserve"> dedicou-se a trazer </w:t>
      </w:r>
      <w:r>
        <w:rPr>
          <w:rFonts w:ascii="Arial" w:hAnsi="Arial" w:cs="Arial"/>
          <w:b/>
          <w:sz w:val="24"/>
          <w:szCs w:val="24"/>
          <w:u w:val="single"/>
        </w:rPr>
        <w:t xml:space="preserve">qualificação </w:t>
      </w:r>
      <w:r>
        <w:rPr>
          <w:rFonts w:ascii="Arial" w:hAnsi="Arial" w:cs="Arial"/>
          <w:b/>
          <w:sz w:val="24"/>
          <w:szCs w:val="24"/>
          <w:u w:val="single"/>
        </w:rPr>
        <w:lastRenderedPageBreak/>
        <w:t>extraordinária</w:t>
      </w:r>
      <w:r>
        <w:rPr>
          <w:rFonts w:ascii="Arial" w:hAnsi="Arial" w:cs="Arial"/>
          <w:sz w:val="24"/>
          <w:szCs w:val="24"/>
        </w:rPr>
        <w:t xml:space="preserve"> a determinadas entidades que atendessem os requisitos legais, mas </w:t>
      </w:r>
      <w:r>
        <w:rPr>
          <w:rFonts w:ascii="Arial" w:hAnsi="Arial" w:cs="Arial"/>
          <w:b/>
          <w:sz w:val="24"/>
          <w:szCs w:val="24"/>
          <w:u w:val="single"/>
        </w:rPr>
        <w:t>não se prezou a modificar ou suprimir a natureza jurídica essencial dessas organizações</w:t>
      </w:r>
      <w:r>
        <w:rPr>
          <w:rFonts w:ascii="Arial" w:hAnsi="Arial" w:cs="Arial"/>
          <w:sz w:val="24"/>
          <w:szCs w:val="24"/>
        </w:rPr>
        <w:t>, que nada mais refletem que a reunião de pessoas (associações) ou de bens (fundações), vinculados para o cometimento de finalidades não econômicas.</w:t>
      </w:r>
    </w:p>
    <w:p w:rsidR="00F94E0B" w:rsidRDefault="00F94E0B" w:rsidP="00F94E0B">
      <w:pPr>
        <w:pStyle w:val="PargrafodaLista"/>
        <w:ind w:left="2835" w:firstLine="1701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Persistindo os objetivos sociais, uma vez que a qualificação OSCIP não desnatura o vínculo formativo negocial que possibilitou a criação da pessoa jurídica, </w:t>
      </w:r>
      <w:r>
        <w:rPr>
          <w:rFonts w:ascii="Arial" w:hAnsi="Arial" w:cs="Arial"/>
          <w:b/>
          <w:sz w:val="24"/>
          <w:szCs w:val="24"/>
          <w:u w:val="single"/>
        </w:rPr>
        <w:t>inexiste argumento jurídico válido para impedir a atuação dessas entidades civis, sem fins lucrativos, mediante os mecanismos de que se valem as demais organizações do terceiro setor</w:t>
      </w:r>
      <w:r>
        <w:rPr>
          <w:rFonts w:ascii="Arial" w:hAnsi="Arial" w:cs="Arial"/>
          <w:sz w:val="24"/>
          <w:szCs w:val="24"/>
        </w:rPr>
        <w:t>”</w:t>
      </w:r>
      <w:proofErr w:type="gramEnd"/>
      <w:r>
        <w:rPr>
          <w:rFonts w:ascii="Arial" w:hAnsi="Arial" w:cs="Arial"/>
          <w:sz w:val="24"/>
          <w:szCs w:val="24"/>
        </w:rPr>
        <w:t xml:space="preserve"> (sem grifo no original, f. 4). </w:t>
      </w:r>
    </w:p>
    <w:p w:rsidR="00F94E0B" w:rsidRDefault="00F94E0B" w:rsidP="00F94E0B">
      <w:pPr>
        <w:pStyle w:val="PargrafodaLista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ponto, portanto, não assiste razão à Diretoria de Análise de Transferências, ao interpretar, a f. da peça nº 19, o disposto no art. 18 da lei citada</w:t>
      </w:r>
      <w:r>
        <w:rPr>
          <w:rStyle w:val="Refdenotaderodap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 xml:space="preserve"> no sentido de que “</w:t>
      </w:r>
      <w:r>
        <w:rPr>
          <w:rFonts w:ascii="Arial" w:hAnsi="Arial" w:cs="Arial"/>
          <w:i/>
          <w:sz w:val="24"/>
          <w:szCs w:val="24"/>
        </w:rPr>
        <w:t xml:space="preserve">as pessoas jurídicas de direito privado sem fins lucrativos, para manterem a qualificação de </w:t>
      </w:r>
      <w:proofErr w:type="spellStart"/>
      <w:r>
        <w:rPr>
          <w:rFonts w:ascii="Arial" w:hAnsi="Arial" w:cs="Arial"/>
          <w:i/>
          <w:sz w:val="24"/>
          <w:szCs w:val="24"/>
        </w:rPr>
        <w:t>OSCIPs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, terão que renunciar automaticamente as suas qualificações anteriores, sendo-lhes vedado, portanto, a manutenção simultânea de diplomas legais além da qualificação de </w:t>
      </w:r>
      <w:proofErr w:type="spellStart"/>
      <w:r>
        <w:rPr>
          <w:rFonts w:ascii="Arial" w:hAnsi="Arial" w:cs="Arial"/>
          <w:i/>
          <w:sz w:val="24"/>
          <w:szCs w:val="24"/>
        </w:rPr>
        <w:t>OSCIPs</w:t>
      </w:r>
      <w:proofErr w:type="spellEnd"/>
      <w:r>
        <w:rPr>
          <w:rFonts w:ascii="Arial" w:hAnsi="Arial" w:cs="Arial"/>
          <w:sz w:val="24"/>
          <w:szCs w:val="24"/>
        </w:rPr>
        <w:t>”.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apontado, a extraordinária caracterização da entidade como OSCIP, a partir da verificação de ter ela satisfeito os requisitos legais, não altera sua natureza jurídica de associação sem fins lucrativos, nos termos disciplinados pelo Código Civil Brasileiro, que é o diploma legal próprio competente para a regulamentação exaustiva da matéria pertinente às Pessoas Jurídicas, conforme regra de competência do art. 22, I, da Constituição Federal.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Ademais, a “</w:t>
      </w:r>
      <w:r>
        <w:rPr>
          <w:rFonts w:ascii="Arial" w:hAnsi="Arial" w:cs="Arial"/>
          <w:i/>
          <w:sz w:val="24"/>
          <w:szCs w:val="24"/>
        </w:rPr>
        <w:t>renúncia automática</w:t>
      </w:r>
      <w:r>
        <w:rPr>
          <w:rFonts w:ascii="Arial" w:hAnsi="Arial" w:cs="Arial"/>
          <w:sz w:val="24"/>
          <w:szCs w:val="24"/>
        </w:rPr>
        <w:t xml:space="preserve">” de que tratam os parágrafos 1º e 2º do dispositivo citado diz respeito a uma situação provisória, que se </w:t>
      </w:r>
      <w:r>
        <w:rPr>
          <w:rFonts w:ascii="Arial" w:hAnsi="Arial" w:cs="Arial"/>
          <w:sz w:val="24"/>
          <w:szCs w:val="24"/>
        </w:rPr>
        <w:lastRenderedPageBreak/>
        <w:t>estendeu pelo prazo de cinco anos após a entrada em vigor dessa lei, e que impedia a cumulação da qualificação nela prevista com “</w:t>
      </w:r>
      <w:r>
        <w:rPr>
          <w:rFonts w:ascii="Arial" w:hAnsi="Arial" w:cs="Arial"/>
          <w:i/>
          <w:sz w:val="24"/>
          <w:szCs w:val="24"/>
        </w:rPr>
        <w:t>suas qualificações anteriores</w:t>
      </w:r>
      <w:r>
        <w:rPr>
          <w:rFonts w:ascii="Arial" w:hAnsi="Arial" w:cs="Arial"/>
          <w:sz w:val="24"/>
          <w:szCs w:val="24"/>
        </w:rPr>
        <w:t xml:space="preserve">”, exigindo-se do titular que procedesse à opção. Não guarda a hipótese, portanto, pertinência com as prerrogativas ordinárias das associações civis sem fins lucrativos, de que ora se trata, dentre as quais se inclui a possibilidade de celebração de convênio. 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Outrossim</w:t>
      </w:r>
      <w:proofErr w:type="gramEnd"/>
      <w:r>
        <w:rPr>
          <w:rFonts w:ascii="Arial" w:hAnsi="Arial" w:cs="Arial"/>
          <w:sz w:val="24"/>
          <w:szCs w:val="24"/>
        </w:rPr>
        <w:t>, também pela análise da natureza do termo de parceria, em comparação com as demais espécies de negócios jurídicos celebrados entre o Poder Público e entidades privadas sem fins lucrativos, dentre os quais, o convênio, pode-se chegar a semelhante conclusão.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propósito, o art. 9º da Lei nº 9.790/99, instituiu essa figura jurídica, nos seguintes termos:</w:t>
      </w:r>
    </w:p>
    <w:p w:rsidR="00F94E0B" w:rsidRDefault="00F94E0B" w:rsidP="00F94E0B">
      <w:pPr>
        <w:pStyle w:val="PargrafodaLista"/>
        <w:spacing w:line="360" w:lineRule="auto"/>
        <w:ind w:left="0" w:firstLine="1701"/>
        <w:jc w:val="both"/>
        <w:rPr>
          <w:rFonts w:ascii="Arial" w:hAnsi="Arial" w:cs="Arial"/>
          <w:sz w:val="24"/>
          <w:szCs w:val="24"/>
        </w:rPr>
      </w:pPr>
    </w:p>
    <w:p w:rsidR="00F94E0B" w:rsidRDefault="00F94E0B" w:rsidP="00F94E0B">
      <w:pPr>
        <w:pStyle w:val="PargrafodaLista"/>
        <w:ind w:left="2835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9º Fica instituído o Termo de Parceria, assim considerado o instrumento passível de ser firmado entre o Poder Público e as entidades qualificadas como Organizações da Sociedade Civil de Interesse Público destinado à </w:t>
      </w:r>
      <w:r>
        <w:rPr>
          <w:rFonts w:ascii="Arial" w:hAnsi="Arial" w:cs="Arial"/>
          <w:b/>
          <w:sz w:val="24"/>
          <w:szCs w:val="24"/>
          <w:u w:val="single"/>
        </w:rPr>
        <w:t>formação de vínculo de cooperação entre as partes, para o fomento e a execução das atividades de interesse público previstas no artigo 3º desta Lei</w:t>
      </w:r>
      <w:r>
        <w:rPr>
          <w:rFonts w:ascii="Arial" w:hAnsi="Arial" w:cs="Arial"/>
          <w:sz w:val="24"/>
          <w:szCs w:val="24"/>
        </w:rPr>
        <w:t xml:space="preserve"> (nosso grifo).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Já o convênio tem sua definição no art. 133 da Lei Estadual nº 15.608/2007:</w:t>
      </w:r>
    </w:p>
    <w:p w:rsidR="00F94E0B" w:rsidRDefault="00F94E0B" w:rsidP="00F94E0B">
      <w:pPr>
        <w:spacing w:line="276" w:lineRule="auto"/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 133.</w:t>
      </w:r>
      <w:r>
        <w:rPr>
          <w:rFonts w:ascii="Arial" w:hAnsi="Arial" w:cs="Arial"/>
          <w:szCs w:val="24"/>
        </w:rPr>
        <w:t xml:space="preserve"> Constitui o convênio uma forma de ajuste entre o Poder Público e entidades públicas ou privadas, buscando a </w:t>
      </w:r>
      <w:r>
        <w:rPr>
          <w:rFonts w:ascii="Arial" w:hAnsi="Arial" w:cs="Arial"/>
          <w:b/>
          <w:szCs w:val="24"/>
          <w:u w:val="single"/>
        </w:rPr>
        <w:t>consecução de objetivos de interesse comum, por colaboração recíproca</w:t>
      </w:r>
      <w:r>
        <w:rPr>
          <w:rFonts w:ascii="Arial" w:hAnsi="Arial" w:cs="Arial"/>
          <w:szCs w:val="24"/>
        </w:rPr>
        <w:t xml:space="preserve">, distinguindo-se dos contratos pelos principais traços característicos: </w:t>
      </w:r>
    </w:p>
    <w:p w:rsidR="00F94E0B" w:rsidRDefault="00F94E0B" w:rsidP="00F94E0B">
      <w:pPr>
        <w:spacing w:line="276" w:lineRule="auto"/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igualdade jurídica dos partícipes; </w:t>
      </w:r>
    </w:p>
    <w:p w:rsidR="00F94E0B" w:rsidRDefault="00F94E0B" w:rsidP="00F94E0B">
      <w:pPr>
        <w:spacing w:line="276" w:lineRule="auto"/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não persecução da lucratividade; </w:t>
      </w:r>
    </w:p>
    <w:p w:rsidR="00F94E0B" w:rsidRDefault="00F94E0B" w:rsidP="00F94E0B">
      <w:pPr>
        <w:spacing w:line="276" w:lineRule="auto"/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III – possibilidade de denúncia unilateral por qualquer dos partícipes, na forma prevista no ajuste; </w:t>
      </w:r>
    </w:p>
    <w:p w:rsidR="00F94E0B" w:rsidRDefault="00F94E0B" w:rsidP="00F94E0B">
      <w:pPr>
        <w:spacing w:line="276" w:lineRule="auto"/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IV – diversificação da cooperação oferecida por cada partícipe; </w:t>
      </w:r>
    </w:p>
    <w:p w:rsidR="00F94E0B" w:rsidRDefault="00F94E0B" w:rsidP="00F94E0B">
      <w:pPr>
        <w:spacing w:line="276" w:lineRule="auto"/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 – responsabilidade dos partícipes limitada, exclusivamente, às obrigações contraídas durante o ajuste.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Saliente-se, inicialmente, a semelhança dos dois institutos, do termo de parceria e convênio, em razão de sua contraposição aos contratos, elucidada pelo Professor MARÇAL JUSTEN FILHO, da seguinte forma: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Em primeiro lugar, o convênio é um contrato associativo, de cunho organizacional. Isso significa que a prestação realizada por uma das partes não se destina a ser incorporada no patrimônio da outra. As partes do convênio assumem </w:t>
      </w:r>
      <w:proofErr w:type="gramStart"/>
      <w:r>
        <w:rPr>
          <w:rFonts w:ascii="Arial" w:hAnsi="Arial" w:cs="Arial"/>
          <w:szCs w:val="24"/>
        </w:rPr>
        <w:t>direitos</w:t>
      </w:r>
      <w:proofErr w:type="gramEnd"/>
      <w:r>
        <w:rPr>
          <w:rFonts w:ascii="Arial" w:hAnsi="Arial" w:cs="Arial"/>
          <w:szCs w:val="24"/>
        </w:rPr>
        <w:t xml:space="preserve"> e obrigações visando a realização de um fim comum. Diversamente se passa com a maioria dos contratos administrativos, que apresentam cunho comutativo: as partes se valem da contratação para produzir a transferência entre si da titularidade de bens e interesses.</w:t>
      </w: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Essa distinção se relaciona com o posicionamento recíproco entre as partes. </w:t>
      </w:r>
      <w:r>
        <w:rPr>
          <w:rFonts w:ascii="Arial" w:hAnsi="Arial" w:cs="Arial"/>
          <w:b/>
          <w:szCs w:val="24"/>
          <w:u w:val="single"/>
        </w:rPr>
        <w:t>No convênio, as partes não percebem remuneração por sua atuação e todos os recursos são aplicados no desempenho de uma atividade de relevância coletiva. Nos demais contratos administrativos, o usual é a existência de interesses contrapostos, existindo interesse lucrativo pelo menos de uma das partes</w:t>
      </w:r>
      <w:r>
        <w:rPr>
          <w:rFonts w:ascii="Arial" w:hAnsi="Arial" w:cs="Arial"/>
          <w:szCs w:val="24"/>
        </w:rPr>
        <w:t xml:space="preserve"> (o particular</w:t>
      </w:r>
      <w:proofErr w:type="gramStart"/>
      <w:r>
        <w:rPr>
          <w:rFonts w:ascii="Arial" w:hAnsi="Arial" w:cs="Arial"/>
          <w:szCs w:val="24"/>
        </w:rPr>
        <w:t>)</w:t>
      </w:r>
      <w:proofErr w:type="gramEnd"/>
      <w:r>
        <w:rPr>
          <w:rStyle w:val="Refdenotaderodap"/>
          <w:rFonts w:ascii="Arial" w:hAnsi="Arial" w:cs="Arial"/>
          <w:szCs w:val="24"/>
        </w:rPr>
        <w:footnoteReference w:id="2"/>
      </w:r>
      <w:r>
        <w:rPr>
          <w:rFonts w:ascii="Arial" w:hAnsi="Arial" w:cs="Arial"/>
          <w:szCs w:val="24"/>
        </w:rPr>
        <w:t xml:space="preserve"> (grifo nosso).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ab/>
      </w:r>
      <w:r>
        <w:rPr>
          <w:rFonts w:ascii="Arial" w:hAnsi="Arial" w:cs="Arial"/>
          <w:szCs w:val="24"/>
        </w:rPr>
        <w:tab/>
        <w:t xml:space="preserve">Apenas como ilustração acerca desse ponto, justamente com o fito de realçar a diferença entre os termos de parceria, próprios das </w:t>
      </w:r>
      <w:proofErr w:type="spellStart"/>
      <w:r>
        <w:rPr>
          <w:rFonts w:ascii="Arial" w:hAnsi="Arial" w:cs="Arial"/>
          <w:szCs w:val="24"/>
        </w:rPr>
        <w:t>OSCIP’s</w:t>
      </w:r>
      <w:proofErr w:type="spellEnd"/>
      <w:r>
        <w:rPr>
          <w:rFonts w:ascii="Arial" w:hAnsi="Arial" w:cs="Arial"/>
          <w:szCs w:val="24"/>
        </w:rPr>
        <w:t>, e contratos administrativos, a advertência do Ministério Público de Constas, a f. 8 da peça nº 20, no sentido de que “</w:t>
      </w:r>
      <w:r>
        <w:rPr>
          <w:rFonts w:ascii="Arial" w:hAnsi="Arial" w:cs="Arial"/>
          <w:i/>
          <w:szCs w:val="24"/>
        </w:rPr>
        <w:t>É inconstitucional e ilegal a participação de OSCIP em licitações para contratação de obras ou serviços pela Administração Pública, uma vez que ofende ao princípio da igualdade prescrito no art. 5º caput da CF/88 e no art. 3º da Lei Geral de Licitações e Contratos (Lei nº 8.666/93), já que gozam de privilégios não extensíveis ao setor privado econômico</w:t>
      </w:r>
      <w:r>
        <w:rPr>
          <w:rFonts w:ascii="Arial" w:hAnsi="Arial" w:cs="Arial"/>
          <w:szCs w:val="24"/>
        </w:rPr>
        <w:t xml:space="preserve">”. 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Do exposto, verifica-se que, nos convênios, à semelhança do que ocorre com os termos de parceria, está presente a comunhão de interesses voltados ao atingimento do interesse público, valendo salientar, em relação a esse último, que, conforme o precitado artigo 9º da Lei nº 9.790/99, destina-se </w:t>
      </w:r>
      <w:r>
        <w:rPr>
          <w:rFonts w:ascii="Arial" w:hAnsi="Arial" w:cs="Arial"/>
          <w:i/>
          <w:szCs w:val="24"/>
        </w:rPr>
        <w:t>à formação de vínculo de cooperação entre as partes, para o fomento e a execução das atividades de interesse público.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Ainda acerca da proximidade entre as figuras do </w:t>
      </w:r>
      <w:r>
        <w:rPr>
          <w:rFonts w:ascii="Arial" w:hAnsi="Arial" w:cs="Arial"/>
          <w:i/>
          <w:szCs w:val="24"/>
        </w:rPr>
        <w:t>termo de parceria</w:t>
      </w:r>
      <w:r>
        <w:rPr>
          <w:rFonts w:ascii="Arial" w:hAnsi="Arial" w:cs="Arial"/>
          <w:szCs w:val="24"/>
        </w:rPr>
        <w:t xml:space="preserve"> e do </w:t>
      </w:r>
      <w:r>
        <w:rPr>
          <w:rFonts w:ascii="Arial" w:hAnsi="Arial" w:cs="Arial"/>
          <w:i/>
          <w:szCs w:val="24"/>
        </w:rPr>
        <w:t>convênio</w:t>
      </w:r>
      <w:r>
        <w:rPr>
          <w:rFonts w:ascii="Arial" w:hAnsi="Arial" w:cs="Arial"/>
          <w:szCs w:val="24"/>
        </w:rPr>
        <w:t>, bem pontuou o Ministério Público junto a este Tribunal (fls. 6-7, peça nº 20):</w:t>
      </w: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 fato, confrontando as cláusulas essenciais estabelecidas pela lei acerca do termo de parceria (art. 10, §2º) com semelhante previsão existente na Lei Estadual nº 15.608/2007 quanto aos convênios (art. 134), verifica-se </w:t>
      </w:r>
      <w:proofErr w:type="spellStart"/>
      <w:r>
        <w:rPr>
          <w:rFonts w:ascii="Arial" w:hAnsi="Arial" w:cs="Arial"/>
          <w:szCs w:val="24"/>
        </w:rPr>
        <w:t>inafastável</w:t>
      </w:r>
      <w:proofErr w:type="spellEnd"/>
      <w:r>
        <w:rPr>
          <w:rFonts w:ascii="Arial" w:hAnsi="Arial" w:cs="Arial"/>
          <w:szCs w:val="24"/>
        </w:rPr>
        <w:t xml:space="preserve"> aproximação entre os conteúdos mínimos exigidos – delimitação do objeto, definição do programa de trabalho ou plano de aplicação dos recursos, contendo metas e objetivos mensuráveis, dentre outros, como prevê, inclusive, o Provimento nº 24/2001 deste Tribunal de Contas, instrumento fixado para controle de tais ajustes.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Pertinente </w:t>
      </w:r>
      <w:proofErr w:type="gramStart"/>
      <w:r>
        <w:rPr>
          <w:rFonts w:ascii="Arial" w:hAnsi="Arial" w:cs="Arial"/>
          <w:szCs w:val="24"/>
        </w:rPr>
        <w:t>a</w:t>
      </w:r>
      <w:proofErr w:type="gramEnd"/>
      <w:r>
        <w:rPr>
          <w:rFonts w:ascii="Arial" w:hAnsi="Arial" w:cs="Arial"/>
          <w:szCs w:val="24"/>
        </w:rPr>
        <w:t xml:space="preserve"> indicação da decisão do Supremo Tribunal Federal, contida no mesmo parecer, a f. 5, que, por sua relevância, merece transcrição integral:</w:t>
      </w: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Nesse contexto, ao apreciar matéria relativa às Organizações Sociais, o Ministro Carlos Ayres Britto consignou o entendimento de que </w:t>
      </w:r>
      <w:r>
        <w:rPr>
          <w:rFonts w:ascii="Arial" w:hAnsi="Arial" w:cs="Arial"/>
          <w:b/>
          <w:szCs w:val="24"/>
          <w:u w:val="single"/>
        </w:rPr>
        <w:t>os contratos de gestão, instrumentos próprios daquele modelo de atuação do terceiro setor, consistem em convênios</w:t>
      </w:r>
      <w:r>
        <w:rPr>
          <w:rFonts w:ascii="Arial" w:hAnsi="Arial" w:cs="Arial"/>
          <w:szCs w:val="24"/>
        </w:rPr>
        <w:t xml:space="preserve">. Igual posicionamento foi sustentado no voto divergente apresentado pelo Ministro Luiz </w:t>
      </w:r>
      <w:proofErr w:type="spellStart"/>
      <w:r>
        <w:rPr>
          <w:rFonts w:ascii="Arial" w:hAnsi="Arial" w:cs="Arial"/>
          <w:szCs w:val="24"/>
        </w:rPr>
        <w:t>Fux</w:t>
      </w:r>
      <w:proofErr w:type="spellEnd"/>
      <w:r>
        <w:rPr>
          <w:rFonts w:ascii="Arial" w:hAnsi="Arial" w:cs="Arial"/>
          <w:szCs w:val="24"/>
        </w:rPr>
        <w:t>, que assevera:</w:t>
      </w: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(...) </w:t>
      </w:r>
      <w:r>
        <w:rPr>
          <w:rFonts w:ascii="Arial" w:hAnsi="Arial" w:cs="Arial"/>
          <w:b/>
          <w:szCs w:val="24"/>
          <w:u w:val="single"/>
        </w:rPr>
        <w:t>o contrato de gestão não consiste, a rigor, em contrato administrativo, mas sim em convênio</w:t>
      </w:r>
      <w:r>
        <w:rPr>
          <w:rFonts w:ascii="Arial" w:hAnsi="Arial" w:cs="Arial"/>
          <w:szCs w:val="24"/>
        </w:rPr>
        <w:t xml:space="preserve">. Com efeito, </w:t>
      </w:r>
      <w:r>
        <w:rPr>
          <w:rFonts w:ascii="Arial" w:hAnsi="Arial" w:cs="Arial"/>
          <w:b/>
          <w:szCs w:val="24"/>
          <w:u w:val="single"/>
        </w:rPr>
        <w:t>no núcleo da figura dos convênios está a conjugação de esforços para o atingimento de um objetivo comum aos interessados</w:t>
      </w:r>
      <w:r>
        <w:rPr>
          <w:rFonts w:ascii="Arial" w:hAnsi="Arial" w:cs="Arial"/>
          <w:szCs w:val="24"/>
        </w:rPr>
        <w:t xml:space="preserve">: há plena harmonia entre as posições subjetivas, que buscam um negócio verdadeiramente associativo, e não </w:t>
      </w:r>
      <w:proofErr w:type="gramStart"/>
      <w:r>
        <w:rPr>
          <w:rFonts w:ascii="Arial" w:hAnsi="Arial" w:cs="Arial"/>
          <w:szCs w:val="24"/>
        </w:rPr>
        <w:t>comutativo, voltado</w:t>
      </w:r>
      <w:proofErr w:type="gramEnd"/>
      <w:r>
        <w:rPr>
          <w:rFonts w:ascii="Arial" w:hAnsi="Arial" w:cs="Arial"/>
          <w:szCs w:val="24"/>
        </w:rPr>
        <w:t xml:space="preserve"> para um fim compartilhado. (Grifos nossos)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Neste contexto,</w:t>
      </w:r>
      <w:r>
        <w:rPr>
          <w:rFonts w:ascii="Arial" w:hAnsi="Arial" w:cs="Arial"/>
          <w:color w:val="FF0000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pode-se</w:t>
      </w:r>
      <w:proofErr w:type="gramEnd"/>
      <w:r>
        <w:rPr>
          <w:rFonts w:ascii="Arial" w:hAnsi="Arial" w:cs="Arial"/>
          <w:szCs w:val="24"/>
        </w:rPr>
        <w:t xml:space="preserve"> interpretar os dispositivos legais supratranscritos no sentido de que o Termo de Parceria é instrumento para formalização de vínculo entre OSCIP e a Administração Pública, sem que, contudo, seja possível extrair conclusão no sentido de que </w:t>
      </w:r>
      <w:r>
        <w:rPr>
          <w:rFonts w:ascii="Arial" w:hAnsi="Arial" w:cs="Arial"/>
          <w:i/>
          <w:szCs w:val="24"/>
        </w:rPr>
        <w:t>somente</w:t>
      </w:r>
      <w:r>
        <w:rPr>
          <w:rFonts w:ascii="Arial" w:hAnsi="Arial" w:cs="Arial"/>
          <w:szCs w:val="24"/>
        </w:rPr>
        <w:t xml:space="preserve"> o Termo de Parceria é a forma negocial para a celebração deste vínculo.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Nessa esteira, aliás, foi </w:t>
      </w:r>
      <w:proofErr w:type="gramStart"/>
      <w:r>
        <w:rPr>
          <w:rFonts w:ascii="Arial" w:hAnsi="Arial" w:cs="Arial"/>
          <w:szCs w:val="24"/>
        </w:rPr>
        <w:t>a</w:t>
      </w:r>
      <w:proofErr w:type="gramEnd"/>
      <w:r>
        <w:rPr>
          <w:rFonts w:ascii="Arial" w:hAnsi="Arial" w:cs="Arial"/>
          <w:szCs w:val="24"/>
        </w:rPr>
        <w:t xml:space="preserve"> conclusão do Ministério Público de Contas, no parecer lavrado pelo Ilustre Procurador ELIZEU DE MOARES CORRÊA (f. 3, peça nº 20):</w:t>
      </w: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Dessa forma, é lícito afirmar tão-somente que a OSCIP é a qualificação jurídica que permite a determinadas entidades a formalização de termos de parceria com a Administração; porém, o </w:t>
      </w:r>
      <w:r>
        <w:rPr>
          <w:rFonts w:ascii="Arial" w:hAnsi="Arial" w:cs="Arial"/>
          <w:szCs w:val="24"/>
        </w:rPr>
        <w:lastRenderedPageBreak/>
        <w:t>fato de a legislação restringir, no polo privado, a titularidade de celebração de termos de parceria a entidades qualificadas como OSCIP não implica o raciocínio de que tais organizações teriam sua atuação restrita a esse específico modelo negocial.</w:t>
      </w: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Em outras palavras, em confronto direto com o cerne da questão, analisando o regramento legal incidente, </w:t>
      </w:r>
      <w:r>
        <w:rPr>
          <w:rFonts w:ascii="Arial" w:hAnsi="Arial" w:cs="Arial"/>
          <w:b/>
          <w:szCs w:val="24"/>
          <w:u w:val="single"/>
        </w:rPr>
        <w:t>pode-se dizer que somente OSCIP pode firmar termo de parceria, mas não decorre daí que as OSCIP podem firmar somente termo de parceria</w:t>
      </w:r>
      <w:r>
        <w:rPr>
          <w:rFonts w:ascii="Arial" w:hAnsi="Arial" w:cs="Arial"/>
          <w:szCs w:val="24"/>
        </w:rPr>
        <w:t xml:space="preserve"> (sem grifo no original).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Também nesse sentido, o magistério da Professora MARIA SYLVIA ZANELLA DI PIETRO, bem ressaltado no brilhante parecer do Ministério Público de Contas, a f. 6:</w:t>
      </w:r>
    </w:p>
    <w:p w:rsidR="00F94E0B" w:rsidRDefault="00F94E0B" w:rsidP="00F94E0B">
      <w:pPr>
        <w:spacing w:line="276" w:lineRule="auto"/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  <w:u w:val="single"/>
        </w:rPr>
        <w:t>Não tendo lei sobre a matéria, podem continuar a celebrar convênios com entidade do terceiro setor, com fundamento no artigo 116 da Lei nº 8.666, de 21-6-93, até porque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  <w:u w:val="single"/>
        </w:rPr>
        <w:t>os termos de parceria, referidos na lei federal, têm a mesma natureza que os convênios</w:t>
      </w:r>
      <w:r>
        <w:rPr>
          <w:rFonts w:ascii="Arial" w:hAnsi="Arial" w:cs="Arial"/>
          <w:szCs w:val="24"/>
        </w:rPr>
        <w:t xml:space="preserve">: trata-se de acordos de vontades, em que os partícipes objetivam a um fim de interesse comum; cada qual colabora de uma forma, podendo ser por meio de recursos humanos, materiais, financeiros, </w:t>
      </w:r>
      <w:proofErr w:type="spellStart"/>
      <w:r>
        <w:rPr>
          <w:rFonts w:ascii="Arial" w:hAnsi="Arial" w:cs="Arial"/>
          <w:szCs w:val="24"/>
        </w:rPr>
        <w:t>know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how</w:t>
      </w:r>
      <w:proofErr w:type="spellEnd"/>
      <w:r>
        <w:rPr>
          <w:rFonts w:ascii="Arial" w:hAnsi="Arial" w:cs="Arial"/>
          <w:szCs w:val="24"/>
        </w:rPr>
        <w:t xml:space="preserve">; a verba que o Poder Público repassa à entidade privada não tem a natureza de preço ou remuneração, razão pela qual não passa a integrar o patrimônio da entidade, para que ela a utilize a seu bel-prazer, mas, ao contrário, mantém a natureza de dinheiro público; em decorrência disso, a entidade está obrigada a prestar contas de maneira a demonstrar que os recursos foram utilizados para os fins estabelecidos no acordo, </w:t>
      </w:r>
      <w:proofErr w:type="gramStart"/>
      <w:r>
        <w:rPr>
          <w:rFonts w:ascii="Arial" w:hAnsi="Arial" w:cs="Arial"/>
          <w:szCs w:val="24"/>
        </w:rPr>
        <w:t>sob pena</w:t>
      </w:r>
      <w:proofErr w:type="gramEnd"/>
      <w:r>
        <w:rPr>
          <w:rFonts w:ascii="Arial" w:hAnsi="Arial" w:cs="Arial"/>
          <w:szCs w:val="24"/>
        </w:rPr>
        <w:t xml:space="preserve"> de ilegalidade</w:t>
      </w:r>
      <w:r>
        <w:rPr>
          <w:rStyle w:val="Refdenotaderodap"/>
          <w:rFonts w:ascii="Arial" w:hAnsi="Arial" w:cs="Arial"/>
          <w:szCs w:val="24"/>
        </w:rPr>
        <w:footnoteReference w:id="3"/>
      </w:r>
      <w:r>
        <w:rPr>
          <w:rFonts w:ascii="Arial" w:hAnsi="Arial" w:cs="Arial"/>
          <w:szCs w:val="24"/>
        </w:rPr>
        <w:t xml:space="preserve"> (grifos nossos).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ab/>
      </w:r>
      <w:r>
        <w:rPr>
          <w:rFonts w:ascii="Arial" w:hAnsi="Arial" w:cs="Arial"/>
          <w:szCs w:val="24"/>
        </w:rPr>
        <w:tab/>
        <w:t>Na mesma linha de raciocínio, o escólio de JOSÉ EDUARDO SABO PAES</w:t>
      </w:r>
      <w:r>
        <w:rPr>
          <w:rStyle w:val="Refdenotaderodap"/>
          <w:rFonts w:ascii="Arial" w:hAnsi="Arial" w:cs="Arial"/>
          <w:szCs w:val="24"/>
        </w:rPr>
        <w:footnoteReference w:id="4"/>
      </w:r>
      <w:r>
        <w:rPr>
          <w:rFonts w:ascii="Arial" w:hAnsi="Arial" w:cs="Arial"/>
          <w:szCs w:val="24"/>
        </w:rPr>
        <w:t>:</w:t>
      </w: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Em outras palavras, o Termo de Parceria é uma alternativa ao Convênio para a realização de projetos ou atividades de interesse comum entre as entidades qualificadas como </w:t>
      </w:r>
      <w:proofErr w:type="spellStart"/>
      <w:r>
        <w:rPr>
          <w:rFonts w:ascii="Arial" w:hAnsi="Arial" w:cs="Arial"/>
          <w:szCs w:val="24"/>
        </w:rPr>
        <w:t>Oscip</w:t>
      </w:r>
      <w:proofErr w:type="spellEnd"/>
      <w:r>
        <w:rPr>
          <w:rFonts w:ascii="Arial" w:hAnsi="Arial" w:cs="Arial"/>
          <w:szCs w:val="24"/>
        </w:rPr>
        <w:t xml:space="preserve"> e a administração pública; porém, sem a necessidade do extenso rol de documentos exigidos na celebração de um convênio.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Ainda em corroboração, a própria exposição de motivos da Lei nº 9.790/1999 ressalta o caráter complementar, não excludente, dos termos de parceria, conforme oportuna citação do </w:t>
      </w:r>
      <w:r>
        <w:rPr>
          <w:rFonts w:ascii="Arial" w:hAnsi="Arial" w:cs="Arial"/>
          <w:i/>
          <w:szCs w:val="24"/>
        </w:rPr>
        <w:t>Parquet</w:t>
      </w:r>
      <w:r>
        <w:rPr>
          <w:rFonts w:ascii="Arial" w:hAnsi="Arial" w:cs="Arial"/>
          <w:szCs w:val="24"/>
        </w:rPr>
        <w:t>, a f. 7:</w:t>
      </w: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(...) o Termo de Parceria consiste em um novo instrumento, </w:t>
      </w:r>
      <w:r>
        <w:rPr>
          <w:rFonts w:ascii="Arial" w:hAnsi="Arial" w:cs="Arial"/>
          <w:b/>
          <w:szCs w:val="24"/>
        </w:rPr>
        <w:t>complementar aos instrumentos em vigor</w:t>
      </w:r>
      <w:r>
        <w:rPr>
          <w:rFonts w:ascii="Arial" w:hAnsi="Arial" w:cs="Arial"/>
          <w:szCs w:val="24"/>
        </w:rPr>
        <w:t>, que traduz a relação de parceria entre instituições com fins públicos, mas de origem diversa (estatal e social) e com natureza diferente (pública e privada). Regido pelos princípios da transparência, competição, cooperação e parceria, possibilita a escolha do parceiro mais adequado do ponto de vista técnico, de maior relevância sob o ponto de vista de serviços prestados à sociedade.</w:t>
      </w: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Termo de Parceria é um </w:t>
      </w:r>
      <w:r>
        <w:rPr>
          <w:rFonts w:ascii="Arial" w:hAnsi="Arial" w:cs="Arial"/>
          <w:b/>
          <w:szCs w:val="24"/>
        </w:rPr>
        <w:t>instrumento de fomento</w:t>
      </w:r>
      <w:r>
        <w:rPr>
          <w:rFonts w:ascii="Arial" w:hAnsi="Arial" w:cs="Arial"/>
          <w:szCs w:val="24"/>
        </w:rPr>
        <w:t xml:space="preserve"> que permite, por um lado, </w:t>
      </w:r>
      <w:r>
        <w:rPr>
          <w:rFonts w:ascii="Arial" w:hAnsi="Arial" w:cs="Arial"/>
          <w:b/>
          <w:szCs w:val="24"/>
        </w:rPr>
        <w:t xml:space="preserve">a negociação de objetivos e metas </w:t>
      </w:r>
      <w:r>
        <w:rPr>
          <w:rFonts w:ascii="Arial" w:hAnsi="Arial" w:cs="Arial"/>
          <w:szCs w:val="24"/>
        </w:rPr>
        <w:t xml:space="preserve">entre as partes e, por outro, o </w:t>
      </w:r>
      <w:r>
        <w:rPr>
          <w:rFonts w:ascii="Arial" w:hAnsi="Arial" w:cs="Arial"/>
          <w:b/>
          <w:szCs w:val="24"/>
        </w:rPr>
        <w:t>monitoramento e a avaliação dos projetos,</w:t>
      </w:r>
      <w:r>
        <w:rPr>
          <w:rFonts w:ascii="Arial" w:hAnsi="Arial" w:cs="Arial"/>
          <w:szCs w:val="24"/>
        </w:rPr>
        <w:t xml:space="preserve"> possibilitando maior transparência dos produtos e resultados efetivamente alcançados </w:t>
      </w:r>
      <w:r>
        <w:rPr>
          <w:rFonts w:ascii="Arial" w:hAnsi="Arial" w:cs="Arial"/>
          <w:szCs w:val="24"/>
        </w:rPr>
        <w:lastRenderedPageBreak/>
        <w:t xml:space="preserve">pelas entidades. Enquanto </w:t>
      </w:r>
      <w:r>
        <w:rPr>
          <w:rFonts w:ascii="Arial" w:hAnsi="Arial" w:cs="Arial"/>
          <w:b/>
          <w:szCs w:val="24"/>
        </w:rPr>
        <w:t>instrumento de gestão</w:t>
      </w:r>
      <w:r>
        <w:rPr>
          <w:rFonts w:ascii="Arial" w:hAnsi="Arial" w:cs="Arial"/>
          <w:szCs w:val="24"/>
        </w:rPr>
        <w:t>, aponta para a melhoria da qualidade dos serviços prestados, maior eficiência e flexibilidade do controle administrativo e na aplicação dos recursos públicos, viabiliza a melhoria dos sistemas de gerenciamento, quer no âmbito da administração pública, quer na esfera das organizações da sociedade civil.</w:t>
      </w:r>
    </w:p>
    <w:p w:rsidR="00F94E0B" w:rsidRDefault="00F94E0B" w:rsidP="00F94E0B">
      <w:pPr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À maior </w:t>
      </w:r>
      <w:r>
        <w:rPr>
          <w:rFonts w:ascii="Arial" w:hAnsi="Arial" w:cs="Arial"/>
          <w:b/>
          <w:szCs w:val="24"/>
        </w:rPr>
        <w:t>autonomia gerencial das organizações</w:t>
      </w:r>
      <w:r>
        <w:rPr>
          <w:rFonts w:ascii="Arial" w:hAnsi="Arial" w:cs="Arial"/>
          <w:szCs w:val="24"/>
        </w:rPr>
        <w:t xml:space="preserve"> viabilizada pelo Termo de Parceria, corresponde o compromisso do Estado para </w:t>
      </w:r>
      <w:proofErr w:type="gramStart"/>
      <w:r>
        <w:rPr>
          <w:rFonts w:ascii="Arial" w:hAnsi="Arial" w:cs="Arial"/>
          <w:szCs w:val="24"/>
        </w:rPr>
        <w:t>flexibilizar</w:t>
      </w:r>
      <w:proofErr w:type="gramEnd"/>
      <w:r>
        <w:rPr>
          <w:rFonts w:ascii="Arial" w:hAnsi="Arial" w:cs="Arial"/>
          <w:szCs w:val="24"/>
        </w:rPr>
        <w:t xml:space="preserve"> os controles burocráticos das atividades-meio. Desse modo, em lugar do controle burocrático apriorístico e de uma cultura impeditiva para o uso de recursos, realiza-se a avaliação de desempenho global do projeto em relação aos benefícios direcionados para a população-alvo, por meio de mecanismos de fiscalização e responsabilização previstos na presente Lei. Em suma, a criação do Termo de Parceria imprime maior agilidade gerencial aos projetos e gera condições para a realização do </w:t>
      </w:r>
      <w:r>
        <w:rPr>
          <w:rFonts w:ascii="Arial" w:hAnsi="Arial" w:cs="Arial"/>
          <w:b/>
          <w:szCs w:val="24"/>
        </w:rPr>
        <w:t>controle dos resultados</w:t>
      </w:r>
      <w:r>
        <w:rPr>
          <w:rFonts w:ascii="Arial" w:hAnsi="Arial" w:cs="Arial"/>
          <w:szCs w:val="24"/>
        </w:rPr>
        <w:t>, com garantias para que os recursos estatais sejam utilizados de acordo com os fins públicos. (Grifos nossos)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outro lado, assentada a possibilidade de celebração de convênios com as mencionadas OSCIP’S, devem ser explicitadas as cautelas que se deve ter conta a esse respeito, como alerta do Supremo Tribunal Federal, segundo seu entendimento indicado pelo Dr. ELIZEU DE MORAES CORRÊA</w:t>
      </w:r>
      <w:r>
        <w:rPr>
          <w:rStyle w:val="Refdenotaderodap"/>
          <w:rFonts w:ascii="Arial" w:hAnsi="Arial" w:cs="Arial"/>
          <w:szCs w:val="24"/>
        </w:rPr>
        <w:footnoteReference w:id="5"/>
      </w:r>
      <w:r>
        <w:rPr>
          <w:rFonts w:ascii="Arial" w:hAnsi="Arial" w:cs="Arial"/>
          <w:szCs w:val="24"/>
        </w:rPr>
        <w:t>, em especial, sobre “</w:t>
      </w:r>
      <w:r>
        <w:rPr>
          <w:rFonts w:ascii="Arial" w:hAnsi="Arial" w:cs="Arial"/>
          <w:i/>
          <w:szCs w:val="24"/>
        </w:rPr>
        <w:t xml:space="preserve">a necessidade de se efetuar processo seletivo </w:t>
      </w:r>
      <w:r>
        <w:rPr>
          <w:rFonts w:ascii="Arial" w:hAnsi="Arial" w:cs="Arial"/>
          <w:i/>
          <w:szCs w:val="24"/>
        </w:rPr>
        <w:lastRenderedPageBreak/>
        <w:t>para a formalização de tais avenças com o Poder Público, em estrita observância aos predicados constitucionais da isonomia e da impessoalidade</w:t>
      </w:r>
      <w:r>
        <w:rPr>
          <w:rFonts w:ascii="Arial" w:hAnsi="Arial" w:cs="Arial"/>
          <w:szCs w:val="24"/>
        </w:rPr>
        <w:t>”.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Muito embora a decisão citada refira-se ao contrato de gestão, não há como afastar sua pertinência à discussão em tela, dada a evidente semelhança deste instrumento com o termo de parceria, cuja natureza, por sua vez, guarda idênticas características à dos convênios:</w:t>
      </w:r>
    </w:p>
    <w:p w:rsidR="00F94E0B" w:rsidRDefault="00F94E0B" w:rsidP="00F94E0B">
      <w:pPr>
        <w:spacing w:line="276" w:lineRule="auto"/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É preciso, porém, fazer a seguinte ressalva: a desnecessidade do procedimento licitatório: a) não afasta o dever da </w:t>
      </w:r>
      <w:r>
        <w:rPr>
          <w:rFonts w:ascii="Arial" w:hAnsi="Arial" w:cs="Arial"/>
          <w:b/>
          <w:szCs w:val="24"/>
          <w:u w:val="single"/>
        </w:rPr>
        <w:t>abertura de processo administrativo que demonstre, objetivamente, em que o regime da parceria com a iniciativa privada se revele como de superior qualidade frente à atuação isolada ou solitária do próprio Estado enquanto titular da atividade em questão</w:t>
      </w:r>
      <w:r>
        <w:rPr>
          <w:rFonts w:ascii="Arial" w:hAnsi="Arial" w:cs="Arial"/>
          <w:szCs w:val="24"/>
        </w:rPr>
        <w:t xml:space="preserve">; b) não libera a Administração da rigorosa observância dos </w:t>
      </w:r>
      <w:r>
        <w:rPr>
          <w:rFonts w:ascii="Arial" w:hAnsi="Arial" w:cs="Arial"/>
          <w:b/>
          <w:szCs w:val="24"/>
          <w:u w:val="single"/>
        </w:rPr>
        <w:t>princípios constitucionais da publicidade, da moralidade, da impessoalidade, da eficiência e, por conseguinte, da garantia de um processo objetivo e público para a qualificação das entidades como organizações sociais e sua específica habilitação para determinado “contrato de gestão”</w:t>
      </w:r>
      <w:r>
        <w:rPr>
          <w:rFonts w:ascii="Arial" w:hAnsi="Arial" w:cs="Arial"/>
          <w:szCs w:val="24"/>
        </w:rPr>
        <w:t xml:space="preserve">; c) não afasta a </w:t>
      </w:r>
      <w:r>
        <w:rPr>
          <w:rFonts w:ascii="Arial" w:hAnsi="Arial" w:cs="Arial"/>
          <w:b/>
          <w:szCs w:val="24"/>
          <w:u w:val="single"/>
        </w:rPr>
        <w:t>motivação administrativa quanto à seleção de uma determinada pessoa privada,</w:t>
      </w:r>
      <w:r>
        <w:rPr>
          <w:rFonts w:ascii="Arial" w:hAnsi="Arial" w:cs="Arial"/>
          <w:szCs w:val="24"/>
        </w:rPr>
        <w:t xml:space="preserve"> e não outra, se outra</w:t>
      </w:r>
      <w:r>
        <w:rPr>
          <w:rFonts w:ascii="Arial" w:eastAsia="PMingLiU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houver com idêntica pretensão de emparceiramento com o Poder Público; d) não dispensa a desembaraçada incidência dos </w:t>
      </w:r>
      <w:r>
        <w:rPr>
          <w:rFonts w:ascii="Arial" w:hAnsi="Arial" w:cs="Arial"/>
          <w:b/>
          <w:szCs w:val="24"/>
          <w:u w:val="single"/>
        </w:rPr>
        <w:t>mecanismos de controle interno e externo sobre o serviço ou atividade em concreto regime de parceria com a iniciativa privada</w:t>
      </w:r>
      <w:r>
        <w:rPr>
          <w:rFonts w:ascii="Arial" w:hAnsi="Arial" w:cs="Arial"/>
          <w:szCs w:val="24"/>
        </w:rPr>
        <w:t>. (Min. Carlos Ayres Britto, grifos nossos</w:t>
      </w:r>
      <w:proofErr w:type="gramStart"/>
      <w:r>
        <w:rPr>
          <w:rFonts w:ascii="Arial" w:hAnsi="Arial" w:cs="Arial"/>
          <w:szCs w:val="24"/>
        </w:rPr>
        <w:t>)</w:t>
      </w:r>
      <w:proofErr w:type="gramEnd"/>
    </w:p>
    <w:p w:rsidR="00F94E0B" w:rsidRDefault="00F94E0B" w:rsidP="00F94E0B">
      <w:pPr>
        <w:spacing w:line="276" w:lineRule="auto"/>
        <w:ind w:left="2835"/>
        <w:rPr>
          <w:rFonts w:ascii="Arial" w:hAnsi="Arial" w:cs="Arial"/>
          <w:szCs w:val="24"/>
        </w:rPr>
      </w:pPr>
    </w:p>
    <w:p w:rsidR="00F94E0B" w:rsidRDefault="00F94E0B" w:rsidP="00F94E0B">
      <w:pPr>
        <w:spacing w:line="276" w:lineRule="auto"/>
        <w:ind w:left="283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Diante de um cenário de escassez, que, por consequência, leva à exclusão de particulares com a mesma pretensão, todos almejando a posição subjetiva de parceiro privado no contrato de gestão, impõe-se que o Poder Público conduza a celebração do contrato de gestão por um </w:t>
      </w:r>
      <w:r>
        <w:rPr>
          <w:rFonts w:ascii="Arial" w:hAnsi="Arial" w:cs="Arial"/>
          <w:b/>
          <w:szCs w:val="24"/>
          <w:u w:val="single"/>
        </w:rPr>
        <w:t>procedimento público impessoal e pautado por critérios objetivos</w:t>
      </w:r>
      <w:r>
        <w:rPr>
          <w:rFonts w:ascii="Arial" w:hAnsi="Arial" w:cs="Arial"/>
          <w:szCs w:val="24"/>
        </w:rPr>
        <w:t xml:space="preserve">, ainda que, repita-se, sem os rigores formais da licitação tal como </w:t>
      </w:r>
      <w:r>
        <w:rPr>
          <w:rFonts w:ascii="Arial" w:hAnsi="Arial" w:cs="Arial"/>
          <w:szCs w:val="24"/>
        </w:rPr>
        <w:lastRenderedPageBreak/>
        <w:t xml:space="preserve">concebida pela Lei nº 8666/93 em concretização do art. 37, XXI, da CF, cuja aplicabilidade ao caso, reitere-se, é de se ter por rejeitada diante da natureza do vínculo instrumentalizado pelo contrato de gestão. (Min. Luiz </w:t>
      </w:r>
      <w:proofErr w:type="spellStart"/>
      <w:r>
        <w:rPr>
          <w:rFonts w:ascii="Arial" w:hAnsi="Arial" w:cs="Arial"/>
          <w:szCs w:val="24"/>
        </w:rPr>
        <w:t>Fux</w:t>
      </w:r>
      <w:proofErr w:type="spellEnd"/>
      <w:r>
        <w:rPr>
          <w:rFonts w:ascii="Arial" w:hAnsi="Arial" w:cs="Arial"/>
          <w:szCs w:val="24"/>
        </w:rPr>
        <w:t>) (grifos nossos)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Assim, pode-se sintetizar que, na hipótese de celebração de convênio ou outro instrumento congênere com associação civil sem fins lucrativos, dentre as quais se incluem as OSCIP’S deve a entidade repassadora dos recursos </w:t>
      </w:r>
      <w:proofErr w:type="gramStart"/>
      <w:r>
        <w:rPr>
          <w:rFonts w:ascii="Arial" w:hAnsi="Arial" w:cs="Arial"/>
          <w:szCs w:val="24"/>
        </w:rPr>
        <w:t>comprovar</w:t>
      </w:r>
      <w:proofErr w:type="gramEnd"/>
      <w:r>
        <w:rPr>
          <w:rFonts w:ascii="Arial" w:hAnsi="Arial" w:cs="Arial"/>
          <w:szCs w:val="24"/>
        </w:rPr>
        <w:t xml:space="preserve">, mediante prévio procedimento administrativo, a vantagem com relação à transferência do objeto do convênio, em detrimento de sua execução direta;  a observância, quando da escolha da entidade beneficiária, mediante decisão fundamentada, dos princípios constitucionais da legalidade, publicidade, da moralidade, da impessoalidade, da eficiência (art. 37, </w:t>
      </w:r>
      <w:r>
        <w:rPr>
          <w:rFonts w:ascii="Arial" w:hAnsi="Arial" w:cs="Arial"/>
          <w:i/>
          <w:szCs w:val="24"/>
        </w:rPr>
        <w:t>caput</w:t>
      </w:r>
      <w:r>
        <w:rPr>
          <w:rFonts w:ascii="Arial" w:hAnsi="Arial" w:cs="Arial"/>
          <w:szCs w:val="24"/>
        </w:rPr>
        <w:t>, da Constituição Federal); e a adoção de critérios seguros para verificação do cumprimento das finalidades do convênio, mediante a fixação de critérios e metas objetivas para essa avaliação.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Além disso, tendo em conta que a Lei nº 9.790/99 prevê o termo de parceria, de forma específica, ainda que sem o caráter de exclusividade, como o instrumento de transferência de recursos para as </w:t>
      </w:r>
      <w:proofErr w:type="spellStart"/>
      <w:r>
        <w:rPr>
          <w:rFonts w:ascii="Arial" w:hAnsi="Arial" w:cs="Arial"/>
          <w:szCs w:val="24"/>
        </w:rPr>
        <w:t>OSCIPs</w:t>
      </w:r>
      <w:proofErr w:type="spellEnd"/>
      <w:r>
        <w:rPr>
          <w:rFonts w:ascii="Arial" w:hAnsi="Arial" w:cs="Arial"/>
          <w:szCs w:val="24"/>
        </w:rPr>
        <w:t>, deve ser demonstrado, também, pelo agente repassador, o motivo de ter sido eleito o convênio, em detrimento desse outro instrumento, como sendo o mais indicado para a efetivação do repasse.</w:t>
      </w:r>
    </w:p>
    <w:p w:rsidR="00F94E0B" w:rsidRDefault="00F94E0B" w:rsidP="00F94E0B">
      <w:pPr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Outrossim</w:t>
      </w:r>
      <w:proofErr w:type="gramEnd"/>
      <w:r>
        <w:rPr>
          <w:rFonts w:ascii="Arial" w:hAnsi="Arial" w:cs="Arial"/>
          <w:szCs w:val="24"/>
        </w:rPr>
        <w:t>, em complementação às cautelas apontadas pelo Ministério Público de Contas, impõe-se a imposição daquelas inerentes a essas mesmas entidades, nos termos da legislação vigente.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Nesse ponto, </w:t>
      </w:r>
      <w:proofErr w:type="gramStart"/>
      <w:r>
        <w:rPr>
          <w:rFonts w:ascii="Arial" w:hAnsi="Arial" w:cs="Arial"/>
          <w:szCs w:val="24"/>
        </w:rPr>
        <w:t>mister</w:t>
      </w:r>
      <w:proofErr w:type="gramEnd"/>
      <w:r>
        <w:rPr>
          <w:rFonts w:ascii="Arial" w:hAnsi="Arial" w:cs="Arial"/>
          <w:szCs w:val="24"/>
        </w:rPr>
        <w:t xml:space="preserve"> que sejam verificadas, pelo agente repassador, previamente à celebração do convênio, que o seu objeto circunscreve-se a uma das finalidades previstas no art. 3º da Lei nº 9.790/1999, bem como que seus estatutos contemplem as exigências discriminadas no art. 4º dessa mesma lei.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Justifica-se essa exigência na medida em que, conforme apontado, a celebração do termo de parceria não esgota o âmbito de atuação das entidades caracterizadas como OSCIP, exigindo-se, contudo, que mesmo </w:t>
      </w:r>
      <w:r>
        <w:rPr>
          <w:rFonts w:ascii="Arial" w:hAnsi="Arial" w:cs="Arial"/>
          <w:szCs w:val="24"/>
        </w:rPr>
        <w:lastRenderedPageBreak/>
        <w:t xml:space="preserve">no desempenho de atividades decorrentes de outras formas de repasse de recurso, as normas pertinentes à sua estrutura, legalmente previstas, sejam obrigatoriamente observadas. 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propósito, por se circunscrever ao objeto da presente consulta, vale mencionar que a “</w:t>
      </w:r>
      <w:r>
        <w:rPr>
          <w:rFonts w:ascii="Arial" w:hAnsi="Arial" w:cs="Arial"/>
          <w:i/>
          <w:szCs w:val="24"/>
        </w:rPr>
        <w:t>execução de projetos sociais no atendimento a crianças e adolescentes</w:t>
      </w:r>
      <w:r>
        <w:rPr>
          <w:rFonts w:ascii="Arial" w:hAnsi="Arial" w:cs="Arial"/>
          <w:szCs w:val="24"/>
        </w:rPr>
        <w:t xml:space="preserve">” </w:t>
      </w:r>
      <w:proofErr w:type="gramStart"/>
      <w:r>
        <w:rPr>
          <w:rFonts w:ascii="Arial" w:hAnsi="Arial" w:cs="Arial"/>
          <w:szCs w:val="24"/>
        </w:rPr>
        <w:t>mencionada</w:t>
      </w:r>
      <w:proofErr w:type="gramEnd"/>
      <w:r>
        <w:rPr>
          <w:rFonts w:ascii="Arial" w:hAnsi="Arial" w:cs="Arial"/>
          <w:szCs w:val="24"/>
        </w:rPr>
        <w:t xml:space="preserve"> pelo consulente, estaria inserida dentro das finalidades previstas na lei.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Sob esse mesmo enfoque, também as vedações de que trata o art. 9º-A do Decreto nº 3.100/1999</w:t>
      </w:r>
      <w:r>
        <w:rPr>
          <w:rStyle w:val="Refdenotaderodap"/>
          <w:rFonts w:ascii="Arial" w:hAnsi="Arial" w:cs="Arial"/>
          <w:szCs w:val="24"/>
        </w:rPr>
        <w:footnoteReference w:id="6"/>
      </w:r>
      <w:r>
        <w:rPr>
          <w:rFonts w:ascii="Arial" w:hAnsi="Arial" w:cs="Arial"/>
          <w:szCs w:val="24"/>
        </w:rPr>
        <w:t xml:space="preserve">, que regulamenta a referida lei, devem ser verificadas, com fatos impeditivos à celebração do convênio e ao repasse dos recursos, utilizando-se, para esse efeito, o lapso temporal de </w:t>
      </w:r>
      <w:proofErr w:type="gramStart"/>
      <w:r>
        <w:rPr>
          <w:rFonts w:ascii="Arial" w:hAnsi="Arial" w:cs="Arial"/>
          <w:szCs w:val="24"/>
        </w:rPr>
        <w:t>3</w:t>
      </w:r>
      <w:proofErr w:type="gramEnd"/>
      <w:r>
        <w:rPr>
          <w:rFonts w:ascii="Arial" w:hAnsi="Arial" w:cs="Arial"/>
          <w:szCs w:val="24"/>
        </w:rPr>
        <w:t>(três) anos previsto no art. 9º, III, desse mesmo decreto.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Acrescente-se, a propósito, que esse dispositivo legal guarda consonância com o art. 3º da Instrução Normativa nº 61/2011, na parte referente às exigências para a celebração de transferências voluntárias em geral, a serem verificadas, previamente, pelo agente repassador.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Ainda em reforço dessa mesma exigência, vale mencionar que o art. 8º da Lei nº 9.790/99, confere a “</w:t>
      </w:r>
      <w:r>
        <w:rPr>
          <w:rFonts w:ascii="Arial" w:hAnsi="Arial" w:cs="Arial"/>
          <w:i/>
          <w:szCs w:val="24"/>
        </w:rPr>
        <w:t>qualquer cidadão</w:t>
      </w:r>
      <w:r>
        <w:rPr>
          <w:rFonts w:ascii="Arial" w:hAnsi="Arial" w:cs="Arial"/>
          <w:szCs w:val="24"/>
        </w:rPr>
        <w:t>” legitimidade “</w:t>
      </w:r>
      <w:r>
        <w:rPr>
          <w:rFonts w:ascii="Arial" w:hAnsi="Arial" w:cs="Arial"/>
          <w:i/>
          <w:szCs w:val="24"/>
        </w:rPr>
        <w:t>para requerer, judicial ou administrativamente, a perda da qualificação instituída por essa lei</w:t>
      </w:r>
      <w:r>
        <w:rPr>
          <w:rFonts w:ascii="Arial" w:hAnsi="Arial" w:cs="Arial"/>
          <w:szCs w:val="24"/>
        </w:rPr>
        <w:t xml:space="preserve">”, o que, sob o enforque das vedações previstas no art. 9-A do decreto citado, deve ser interpretado com </w:t>
      </w:r>
      <w:r>
        <w:rPr>
          <w:rFonts w:ascii="Arial" w:hAnsi="Arial" w:cs="Arial"/>
          <w:i/>
          <w:szCs w:val="24"/>
        </w:rPr>
        <w:t>poder-dever</w:t>
      </w:r>
      <w:r>
        <w:rPr>
          <w:rFonts w:ascii="Arial" w:hAnsi="Arial" w:cs="Arial"/>
          <w:szCs w:val="24"/>
        </w:rPr>
        <w:t xml:space="preserve"> ao representante do agente repassador dos recursos, ainda que essa transferência se dê por outra forma, que não o termo de parceria.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Ademais, também os instrumentos normativos desta Corte, que regulam a matéria, deverão ser obrigatoriamente observados, notadamente, as disposições contidas na Resolução nº 28/2011 e a Instrução Normativa nº 61/2011.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Destaque-se, sob esse aspecto, em função de sua relevância, mas, de forma meramente exemplificativa, não exaustiva, o disposto nos </w:t>
      </w:r>
      <w:proofErr w:type="spellStart"/>
      <w:r>
        <w:rPr>
          <w:rFonts w:ascii="Arial" w:hAnsi="Arial" w:cs="Arial"/>
          <w:szCs w:val="24"/>
        </w:rPr>
        <w:t>arts</w:t>
      </w:r>
      <w:proofErr w:type="spellEnd"/>
      <w:r>
        <w:rPr>
          <w:rFonts w:ascii="Arial" w:hAnsi="Arial" w:cs="Arial"/>
          <w:szCs w:val="24"/>
        </w:rPr>
        <w:t>. 6º, 8º e 9º, da referida resolução, que tratam, respectivamente, das exigências que devem estar presentes no termo de transferência, no plano de trabalho e as vedações expressas para a destinação dos recursos, e o art. 9º, parágrafo único, do decreto referido, referente ao atendimento “</w:t>
      </w:r>
      <w:r>
        <w:rPr>
          <w:rFonts w:ascii="Arial" w:hAnsi="Arial" w:cs="Arial"/>
          <w:i/>
          <w:szCs w:val="24"/>
        </w:rPr>
        <w:t>dos procedimentos específicos previstos em seus regulamentos para aquisições feitas com recursos de transferências, nos termos da legislação aplicável</w:t>
      </w:r>
      <w:r>
        <w:rPr>
          <w:rFonts w:ascii="Arial" w:hAnsi="Arial" w:cs="Arial"/>
          <w:szCs w:val="24"/>
        </w:rPr>
        <w:t>”.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Por último, por se tratar de recursos do FIA – </w:t>
      </w:r>
      <w:proofErr w:type="gramStart"/>
      <w:r>
        <w:rPr>
          <w:rFonts w:ascii="Arial" w:hAnsi="Arial" w:cs="Arial"/>
          <w:szCs w:val="24"/>
        </w:rPr>
        <w:t>Fundo Municipal dos Direitos da Criança e do Adolescente, devem ser</w:t>
      </w:r>
      <w:proofErr w:type="gramEnd"/>
      <w:r>
        <w:rPr>
          <w:rFonts w:ascii="Arial" w:hAnsi="Arial" w:cs="Arial"/>
          <w:szCs w:val="24"/>
        </w:rPr>
        <w:t xml:space="preserve"> observadas as normativas que regem sua aplicação, em especial, o art. 260</w:t>
      </w:r>
      <w:r>
        <w:rPr>
          <w:rStyle w:val="Refdenotaderodap"/>
          <w:rFonts w:ascii="Arial" w:hAnsi="Arial" w:cs="Arial"/>
          <w:szCs w:val="24"/>
        </w:rPr>
        <w:footnoteReference w:id="7"/>
      </w:r>
      <w:r>
        <w:rPr>
          <w:rFonts w:ascii="Arial" w:hAnsi="Arial" w:cs="Arial"/>
          <w:szCs w:val="24"/>
        </w:rPr>
        <w:t xml:space="preserve"> da Lei nº 8.069/1990 – Estatuto da Criança e do Adolescente, e a Instrução Normativa nº 36/2009, que regulamentou a matéria no âmbito desta Corte</w:t>
      </w:r>
      <w:r>
        <w:rPr>
          <w:rStyle w:val="Refdenotaderodap"/>
          <w:rFonts w:ascii="Arial" w:hAnsi="Arial" w:cs="Arial"/>
          <w:szCs w:val="24"/>
        </w:rPr>
        <w:footnoteReference w:id="8"/>
      </w:r>
      <w:r>
        <w:rPr>
          <w:rFonts w:ascii="Arial" w:hAnsi="Arial" w:cs="Arial"/>
          <w:szCs w:val="24"/>
        </w:rPr>
        <w:t xml:space="preserve">. 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Face ao exposto, VOTO pela resposta à consulta nos termos do Parecer nº 11274/13, do Ministério Público de Contas, ou seja, pela possibilidade de celebração de convênio com entidades assistenciais classificadas como </w:t>
      </w:r>
      <w:proofErr w:type="spellStart"/>
      <w:r>
        <w:rPr>
          <w:rFonts w:ascii="Arial" w:hAnsi="Arial" w:cs="Arial"/>
          <w:szCs w:val="24"/>
        </w:rPr>
        <w:t>OSCIPs</w:t>
      </w:r>
      <w:proofErr w:type="spellEnd"/>
      <w:r>
        <w:rPr>
          <w:rFonts w:ascii="Arial" w:hAnsi="Arial" w:cs="Arial"/>
          <w:szCs w:val="24"/>
        </w:rPr>
        <w:t xml:space="preserve"> utilizando recursos do FIA – Fundo da Infância e da Adolescência, para execução de projetos sociais no atendimento a crianças e adolescentes, desde que: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 - Comprove a entidade repassadora dos recursos, mediante prévio procedimento administrativo:</w:t>
      </w:r>
    </w:p>
    <w:p w:rsidR="00F94E0B" w:rsidRDefault="00F94E0B" w:rsidP="00F94E0B">
      <w:pPr>
        <w:numPr>
          <w:ilvl w:val="4"/>
          <w:numId w:val="2"/>
        </w:numPr>
        <w:spacing w:before="0" w:after="0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A vantagem com relação à transferência do objeto do convênio, em detrimento de sua execução direta; </w:t>
      </w:r>
    </w:p>
    <w:p w:rsidR="00F94E0B" w:rsidRDefault="00F94E0B" w:rsidP="00F94E0B">
      <w:pPr>
        <w:numPr>
          <w:ilvl w:val="4"/>
          <w:numId w:val="2"/>
        </w:numPr>
        <w:spacing w:before="0" w:after="0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motivo de ter sido eleito o convênio, em detrimento do termo de parceria, como instrumento para a efetivação do repasse;</w:t>
      </w:r>
    </w:p>
    <w:p w:rsidR="00F94E0B" w:rsidRDefault="00F94E0B" w:rsidP="00F94E0B">
      <w:pPr>
        <w:numPr>
          <w:ilvl w:val="4"/>
          <w:numId w:val="2"/>
        </w:numPr>
        <w:spacing w:before="0" w:after="0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observância, quando da escolha da entidade beneficiária, mediante decisão fundamentada, dos princípios constitucionais da legalidade, publicidade, da moralidade, da impessoalidade, da eficiência (art. 37, </w:t>
      </w:r>
      <w:r>
        <w:rPr>
          <w:rFonts w:ascii="Arial" w:hAnsi="Arial" w:cs="Arial"/>
          <w:i/>
          <w:szCs w:val="24"/>
        </w:rPr>
        <w:t>caput</w:t>
      </w:r>
      <w:r>
        <w:rPr>
          <w:rFonts w:ascii="Arial" w:hAnsi="Arial" w:cs="Arial"/>
          <w:szCs w:val="24"/>
        </w:rPr>
        <w:t xml:space="preserve">, da Constituição Federal); </w:t>
      </w:r>
      <w:proofErr w:type="gramStart"/>
      <w:r>
        <w:rPr>
          <w:rFonts w:ascii="Arial" w:hAnsi="Arial" w:cs="Arial"/>
          <w:szCs w:val="24"/>
        </w:rPr>
        <w:t>e</w:t>
      </w:r>
      <w:proofErr w:type="gramEnd"/>
      <w:r>
        <w:rPr>
          <w:rFonts w:ascii="Arial" w:hAnsi="Arial" w:cs="Arial"/>
          <w:szCs w:val="24"/>
        </w:rPr>
        <w:t xml:space="preserve"> </w:t>
      </w:r>
    </w:p>
    <w:p w:rsidR="00F94E0B" w:rsidRDefault="00F94E0B" w:rsidP="00F94E0B">
      <w:pPr>
        <w:ind w:left="1800"/>
        <w:rPr>
          <w:rFonts w:ascii="Arial" w:hAnsi="Arial" w:cs="Arial"/>
          <w:szCs w:val="24"/>
        </w:rPr>
      </w:pPr>
    </w:p>
    <w:p w:rsidR="00F94E0B" w:rsidRDefault="00F94E0B" w:rsidP="00F94E0B">
      <w:pPr>
        <w:numPr>
          <w:ilvl w:val="4"/>
          <w:numId w:val="2"/>
        </w:numPr>
        <w:spacing w:before="0" w:after="0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adoção de critérios seguros para verificação do cumprimento das finalidades do convênio, mediante a fixação de critérios e metas objetivas para essa avaliação;</w:t>
      </w:r>
    </w:p>
    <w:p w:rsidR="00F94E0B" w:rsidRDefault="00F94E0B" w:rsidP="00F94E0B">
      <w:pPr>
        <w:pStyle w:val="PargrafodaLista"/>
        <w:ind w:firstLine="1701"/>
        <w:rPr>
          <w:rFonts w:ascii="Arial" w:hAnsi="Arial" w:cs="Arial"/>
          <w:sz w:val="24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 - Sejam observadas:</w:t>
      </w:r>
    </w:p>
    <w:p w:rsidR="00F94E0B" w:rsidRDefault="00F94E0B" w:rsidP="00F94E0B">
      <w:pPr>
        <w:numPr>
          <w:ilvl w:val="4"/>
          <w:numId w:val="3"/>
        </w:numPr>
        <w:spacing w:before="0" w:after="0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As condições inerentes ao funcionamento destas entidades, previstas na Lei nº 9.790/1999 e no Decreto nº 3.100/1999, bem como os atos normativos desta Corte de Contas que tratam da matéria, notadamente, a Resolução nº 28/2011 e a Instrução Normativa nº 61/2011, conforme assinalado neste voto; </w:t>
      </w:r>
    </w:p>
    <w:p w:rsidR="00F94E0B" w:rsidRDefault="00F94E0B" w:rsidP="00F94E0B">
      <w:pPr>
        <w:numPr>
          <w:ilvl w:val="4"/>
          <w:numId w:val="3"/>
        </w:numPr>
        <w:spacing w:before="0" w:after="0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 normativas que regem a aplicação de recursos do FIA – Fundo Municipal dos Direitos da Criança e do Adolescente, em especial, o art. 260 da Lei nº 8.069/1990 – Estatuto da Criança e do Adolescente, e a Instrução Normativa nº 36/2009, que regulamentou a matéria no âmbito desta Corte.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VISTOS, relatados e discutidos, </w:t>
      </w:r>
    </w:p>
    <w:p w:rsidR="00F94E0B" w:rsidRDefault="00F94E0B" w:rsidP="00F94E0B">
      <w:pPr>
        <w:pStyle w:val="Tpico"/>
        <w:spacing w:before="36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ACORDAM</w:t>
      </w:r>
    </w:p>
    <w:p w:rsidR="00F94E0B" w:rsidRDefault="00F94E0B" w:rsidP="00F94E0B">
      <w:pPr>
        <w:spacing w:line="240" w:lineRule="auto"/>
        <w:rPr>
          <w:rFonts w:ascii="Arial" w:hAnsi="Arial" w:cs="Arial"/>
          <w:szCs w:val="24"/>
        </w:rPr>
      </w:pPr>
    </w:p>
    <w:p w:rsidR="00F94E0B" w:rsidRDefault="00F94E0B" w:rsidP="00F94E0B">
      <w:pPr>
        <w:spacing w:line="240" w:lineRule="auto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 xml:space="preserve">OS MEMBROS DO TRIBUNAL PLENO do TRIBUNAL DE CONTAS DO ESTADO DO PARANÁ, nos termos do voto do Relator, Auditor </w:t>
      </w:r>
      <w:bookmarkStart w:id="9" w:name="TipoVotacao"/>
      <w:r>
        <w:rPr>
          <w:rFonts w:ascii="Arial" w:hAnsi="Arial" w:cs="Arial"/>
          <w:szCs w:val="24"/>
        </w:rPr>
        <w:t xml:space="preserve">IVENS ZSCHOERPER LINHARES, </w:t>
      </w:r>
      <w:bookmarkEnd w:id="9"/>
      <w:r>
        <w:rPr>
          <w:rFonts w:ascii="Arial" w:hAnsi="Arial" w:cs="Arial"/>
          <w:szCs w:val="24"/>
        </w:rPr>
        <w:t>por unanimidade, em: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Responder </w:t>
      </w:r>
      <w:proofErr w:type="gramStart"/>
      <w:r>
        <w:rPr>
          <w:rFonts w:ascii="Arial" w:hAnsi="Arial" w:cs="Arial"/>
          <w:szCs w:val="24"/>
        </w:rPr>
        <w:t>a presente</w:t>
      </w:r>
      <w:proofErr w:type="gramEnd"/>
      <w:r>
        <w:rPr>
          <w:rFonts w:ascii="Arial" w:hAnsi="Arial" w:cs="Arial"/>
          <w:szCs w:val="24"/>
        </w:rPr>
        <w:t xml:space="preserve"> consulta nos termos do Parecer nº 11274/13, do Ministério Público de Contas, ou seja, pela possibilidade de celebração de convênio com entidades assistenciais classificadas como </w:t>
      </w:r>
      <w:proofErr w:type="spellStart"/>
      <w:r>
        <w:rPr>
          <w:rFonts w:ascii="Arial" w:hAnsi="Arial" w:cs="Arial"/>
          <w:szCs w:val="24"/>
        </w:rPr>
        <w:t>OSCIPs</w:t>
      </w:r>
      <w:proofErr w:type="spellEnd"/>
      <w:r>
        <w:rPr>
          <w:rFonts w:ascii="Arial" w:hAnsi="Arial" w:cs="Arial"/>
          <w:szCs w:val="24"/>
        </w:rPr>
        <w:t xml:space="preserve"> utilizando recursos do FIA – Fundo da Infância e da Adolescência, para execução de projetos sociais no atendimento a crianças e adolescentes, desde que: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 - Comprove a entidade repassadora dos recursos, mediante prévio procedimento administrativo:</w:t>
      </w:r>
    </w:p>
    <w:p w:rsidR="00F94E0B" w:rsidRDefault="00F94E0B" w:rsidP="00F94E0B">
      <w:pPr>
        <w:numPr>
          <w:ilvl w:val="4"/>
          <w:numId w:val="4"/>
        </w:numPr>
        <w:spacing w:before="0" w:after="0"/>
        <w:ind w:left="1843"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vantagem com relação à transferência do objeto do convênio, em detrimento de sua execução direta; </w:t>
      </w:r>
    </w:p>
    <w:p w:rsidR="00F94E0B" w:rsidRDefault="00F94E0B" w:rsidP="00F94E0B">
      <w:pPr>
        <w:numPr>
          <w:ilvl w:val="4"/>
          <w:numId w:val="4"/>
        </w:numPr>
        <w:spacing w:before="0" w:after="0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motivo de ter sido eleito o convênio, em detrimento do termo de parceria, como instrumento para a efetivação do repasse;</w:t>
      </w:r>
    </w:p>
    <w:p w:rsidR="00F94E0B" w:rsidRDefault="00F94E0B" w:rsidP="00F94E0B">
      <w:pPr>
        <w:numPr>
          <w:ilvl w:val="4"/>
          <w:numId w:val="4"/>
        </w:numPr>
        <w:spacing w:before="0" w:after="0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observância, quando da escolha da entidade beneficiária, mediante decisão fundamentada, dos princípios constitucionais da legalidade, publicidade, da moralidade, da impessoalidade, da eficiência (art. 37, </w:t>
      </w:r>
      <w:r>
        <w:rPr>
          <w:rFonts w:ascii="Arial" w:hAnsi="Arial" w:cs="Arial"/>
          <w:i/>
          <w:szCs w:val="24"/>
        </w:rPr>
        <w:t>caput</w:t>
      </w:r>
      <w:r>
        <w:rPr>
          <w:rFonts w:ascii="Arial" w:hAnsi="Arial" w:cs="Arial"/>
          <w:szCs w:val="24"/>
        </w:rPr>
        <w:t xml:space="preserve">, da Constituição Federal); </w:t>
      </w:r>
      <w:proofErr w:type="gramStart"/>
      <w:r>
        <w:rPr>
          <w:rFonts w:ascii="Arial" w:hAnsi="Arial" w:cs="Arial"/>
          <w:szCs w:val="24"/>
        </w:rPr>
        <w:t>e</w:t>
      </w:r>
      <w:proofErr w:type="gramEnd"/>
      <w:r>
        <w:rPr>
          <w:rFonts w:ascii="Arial" w:hAnsi="Arial" w:cs="Arial"/>
          <w:szCs w:val="24"/>
        </w:rPr>
        <w:t xml:space="preserve"> </w:t>
      </w:r>
    </w:p>
    <w:p w:rsidR="00F94E0B" w:rsidRDefault="00F94E0B" w:rsidP="00F94E0B">
      <w:pPr>
        <w:numPr>
          <w:ilvl w:val="4"/>
          <w:numId w:val="4"/>
        </w:numPr>
        <w:spacing w:before="0" w:after="0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adoção de critérios seguros para verificação do cumprimento das finalidades do convênio, mediante a fixação de critérios e metas objetivas para essa avaliação;</w:t>
      </w:r>
    </w:p>
    <w:p w:rsidR="00F94E0B" w:rsidRDefault="00F94E0B" w:rsidP="00F94E0B">
      <w:pPr>
        <w:pStyle w:val="PargrafodaLista"/>
        <w:ind w:firstLine="1701"/>
        <w:rPr>
          <w:rFonts w:ascii="Arial" w:hAnsi="Arial" w:cs="Arial"/>
          <w:sz w:val="24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 - Sejam observadas:</w:t>
      </w:r>
    </w:p>
    <w:p w:rsidR="00F94E0B" w:rsidRDefault="00F94E0B" w:rsidP="00F94E0B">
      <w:pPr>
        <w:numPr>
          <w:ilvl w:val="4"/>
          <w:numId w:val="5"/>
        </w:numPr>
        <w:spacing w:before="0" w:after="0"/>
        <w:ind w:firstLine="174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As condições inerentes ao funcionamento destas entidades, previstas na Lei nº 9.790/1999 e no Decreto nº 3.100/1999, bem como os atos </w:t>
      </w:r>
      <w:r>
        <w:rPr>
          <w:rFonts w:ascii="Arial" w:hAnsi="Arial" w:cs="Arial"/>
          <w:szCs w:val="24"/>
        </w:rPr>
        <w:lastRenderedPageBreak/>
        <w:t xml:space="preserve">normativos desta Corte de Contas que tratam da matéria, notadamente, a Resolução nº 28/2011 e a Instrução Normativa nº 61/2011, conforme assinalado neste voto; </w:t>
      </w:r>
    </w:p>
    <w:p w:rsidR="00F94E0B" w:rsidRDefault="00F94E0B" w:rsidP="00F94E0B">
      <w:pPr>
        <w:numPr>
          <w:ilvl w:val="4"/>
          <w:numId w:val="5"/>
        </w:numPr>
        <w:spacing w:before="0" w:after="0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 normativas que regem a aplicação de recursos do FIA – Fundo Municipal dos Direitos da Criança e do Adolescente, em especial, o art. 260 da Lei nº 8.069/1990 – Estatuto da Criança e do Adolescente, e a Instrução Normativa nº 36/2009, que regulamentou a matéria no âmbito desta Corte.</w:t>
      </w:r>
    </w:p>
    <w:p w:rsidR="00F94E0B" w:rsidRDefault="00F94E0B" w:rsidP="00F94E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F94E0B" w:rsidRDefault="00F94E0B" w:rsidP="00F94E0B">
      <w:pPr>
        <w:spacing w:before="48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Votaram, nos termos acima, os Conselheiros ARTAGÃO DE MATTOS LEÃO, </w:t>
      </w:r>
      <w:proofErr w:type="gramStart"/>
      <w:r>
        <w:rPr>
          <w:rFonts w:ascii="Arial" w:hAnsi="Arial" w:cs="Arial"/>
          <w:szCs w:val="24"/>
        </w:rPr>
        <w:t>NESTOR BAPTISTA, CAIO</w:t>
      </w:r>
      <w:proofErr w:type="gramEnd"/>
      <w:r>
        <w:rPr>
          <w:rFonts w:ascii="Arial" w:hAnsi="Arial" w:cs="Arial"/>
          <w:szCs w:val="24"/>
        </w:rPr>
        <w:t xml:space="preserve"> MARCIO NOGUEIRA SOARES, IVAN LELIS BONILHA, JOSE DURVAL MATTOS DO AMARAL e FABIO DE SOUZA CAMARGO e o Auditor IVENS ZSCHOERPER LINHARES.</w:t>
      </w:r>
    </w:p>
    <w:p w:rsidR="00F94E0B" w:rsidRDefault="00F94E0B" w:rsidP="00F94E0B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Presente o Procurador Geral do Ministério Público junto ao Tribunal de Contas, ELIZEU DE MORAES CORREA.</w:t>
      </w:r>
    </w:p>
    <w:p w:rsidR="00F94E0B" w:rsidRDefault="00F94E0B" w:rsidP="00F94E0B">
      <w:pPr>
        <w:pStyle w:val="Assina"/>
        <w:spacing w:before="0"/>
        <w:ind w:firstLine="1701"/>
        <w:jc w:val="both"/>
        <w:rPr>
          <w:rFonts w:ascii="Arial" w:hAnsi="Arial" w:cs="Arial"/>
          <w:szCs w:val="24"/>
        </w:rPr>
      </w:pPr>
      <w:bookmarkStart w:id="10" w:name="PresidenteQuorum"/>
      <w:r>
        <w:rPr>
          <w:rFonts w:ascii="Arial" w:hAnsi="Arial" w:cs="Arial"/>
          <w:szCs w:val="24"/>
        </w:rPr>
        <w:t>Sala das Sessões, 19 de setembro de 2013 – Sessão nº 35.</w:t>
      </w:r>
    </w:p>
    <w:p w:rsidR="00F94E0B" w:rsidRDefault="00F94E0B" w:rsidP="00F94E0B">
      <w:pPr>
        <w:pStyle w:val="Assina"/>
        <w:rPr>
          <w:rFonts w:ascii="Arial" w:hAnsi="Arial" w:cs="Arial"/>
          <w:szCs w:val="24"/>
        </w:rPr>
      </w:pPr>
    </w:p>
    <w:p w:rsidR="00F94E0B" w:rsidRDefault="00F94E0B" w:rsidP="00F94E0B">
      <w:pPr>
        <w:pStyle w:val="Assina"/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IVENS ZSCHOERPER LINHARES</w:t>
      </w:r>
    </w:p>
    <w:p w:rsidR="00F94E0B" w:rsidRDefault="00F94E0B" w:rsidP="00F94E0B">
      <w:pPr>
        <w:pStyle w:val="Assina"/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Relator</w:t>
      </w:r>
    </w:p>
    <w:p w:rsidR="00F94E0B" w:rsidRDefault="00F94E0B" w:rsidP="00F94E0B">
      <w:pPr>
        <w:rPr>
          <w:rFonts w:ascii="Arial" w:hAnsi="Arial" w:cs="Arial"/>
          <w:szCs w:val="24"/>
        </w:rPr>
      </w:pPr>
    </w:p>
    <w:p w:rsidR="00F94E0B" w:rsidRDefault="00F94E0B" w:rsidP="00F94E0B">
      <w:pPr>
        <w:rPr>
          <w:rFonts w:ascii="Arial" w:hAnsi="Arial" w:cs="Arial"/>
          <w:szCs w:val="24"/>
        </w:rPr>
      </w:pPr>
    </w:p>
    <w:bookmarkEnd w:id="10"/>
    <w:p w:rsidR="00F94E0B" w:rsidRDefault="00F94E0B" w:rsidP="00F94E0B">
      <w:pPr>
        <w:pStyle w:val="Assina"/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ARTAGÃO DE MATTOS LEÃO</w:t>
      </w:r>
    </w:p>
    <w:p w:rsidR="00F94E0B" w:rsidRDefault="00F94E0B" w:rsidP="00F94E0B">
      <w:pPr>
        <w:pStyle w:val="Assina"/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Presidente </w:t>
      </w:r>
    </w:p>
    <w:p w:rsidR="00E673C5" w:rsidRDefault="00E673C5">
      <w:bookmarkStart w:id="11" w:name="_GoBack"/>
      <w:bookmarkEnd w:id="11"/>
    </w:p>
    <w:sectPr w:rsidR="00E673C5" w:rsidSect="00F7332D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E0B" w:rsidRDefault="00F94E0B" w:rsidP="00F94E0B">
      <w:pPr>
        <w:spacing w:before="0" w:after="0" w:line="240" w:lineRule="auto"/>
      </w:pPr>
      <w:r>
        <w:separator/>
      </w:r>
    </w:p>
  </w:endnote>
  <w:endnote w:type="continuationSeparator" w:id="0">
    <w:p w:rsidR="00F94E0B" w:rsidRDefault="00F94E0B" w:rsidP="00F94E0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E0B" w:rsidRDefault="00F94E0B" w:rsidP="00F94E0B">
      <w:pPr>
        <w:spacing w:before="0" w:after="0" w:line="240" w:lineRule="auto"/>
      </w:pPr>
      <w:r>
        <w:separator/>
      </w:r>
    </w:p>
  </w:footnote>
  <w:footnote w:type="continuationSeparator" w:id="0">
    <w:p w:rsidR="00F94E0B" w:rsidRDefault="00F94E0B" w:rsidP="00F94E0B">
      <w:pPr>
        <w:spacing w:before="0" w:after="0" w:line="240" w:lineRule="auto"/>
      </w:pPr>
      <w:r>
        <w:continuationSeparator/>
      </w:r>
    </w:p>
  </w:footnote>
  <w:footnote w:id="1">
    <w:p w:rsidR="00F94E0B" w:rsidRDefault="00F94E0B" w:rsidP="00F94E0B">
      <w:pPr>
        <w:pStyle w:val="Textodenotaderodap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18. As pessoas jurídicas de direito privado sem fins lucrativos, qualificadas com base em outros diplomas legais, poderão qualificar-se como Organizações da Sociedade Civil de Interesse Público, desde que atendidos aos requisitos para tanto exigidos, sendo-lhes assegurada a manutenção simultânea dessas qualificações, até cinco anos contados da data de vigência desta Lei. (Redação dada pela Medida Provisória nº 2.216-37, de 2001</w:t>
      </w:r>
      <w:proofErr w:type="gramStart"/>
      <w:r>
        <w:rPr>
          <w:rFonts w:ascii="Arial" w:hAnsi="Arial" w:cs="Arial"/>
          <w:i/>
          <w:iCs/>
          <w:sz w:val="16"/>
          <w:szCs w:val="16"/>
        </w:rPr>
        <w:t>)</w:t>
      </w:r>
      <w:proofErr w:type="gramEnd"/>
    </w:p>
    <w:p w:rsidR="00F94E0B" w:rsidRDefault="00F94E0B" w:rsidP="00F94E0B">
      <w:pPr>
        <w:pStyle w:val="Textodenotaderodap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§ 1o </w:t>
      </w:r>
      <w:r>
        <w:rPr>
          <w:rFonts w:ascii="Arial" w:hAnsi="Arial" w:cs="Arial"/>
          <w:i/>
          <w:iCs/>
          <w:sz w:val="16"/>
          <w:szCs w:val="16"/>
          <w:u w:val="single"/>
        </w:rPr>
        <w:t>Findo o prazo de cinco anos, a pessoa jurídica interessada em manter a qualificação prevista nesta Lei deverá por ela optar, fato que implicará a renúncia automática de suas qualificações anteriores</w:t>
      </w:r>
      <w:r>
        <w:rPr>
          <w:rFonts w:ascii="Arial" w:hAnsi="Arial" w:cs="Arial"/>
          <w:i/>
          <w:iCs/>
          <w:sz w:val="16"/>
          <w:szCs w:val="16"/>
        </w:rPr>
        <w:t>. (Redação dada pela Medida Provisória nº 2.216-37, de 2001</w:t>
      </w:r>
      <w:proofErr w:type="gramStart"/>
      <w:r>
        <w:rPr>
          <w:rFonts w:ascii="Arial" w:hAnsi="Arial" w:cs="Arial"/>
          <w:i/>
          <w:iCs/>
          <w:sz w:val="16"/>
          <w:szCs w:val="16"/>
        </w:rPr>
        <w:t>)</w:t>
      </w:r>
      <w:proofErr w:type="gramEnd"/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§ 2o </w:t>
      </w:r>
      <w:r>
        <w:rPr>
          <w:rFonts w:ascii="Arial" w:hAnsi="Arial" w:cs="Arial"/>
          <w:i/>
          <w:iCs/>
          <w:sz w:val="16"/>
          <w:szCs w:val="16"/>
          <w:u w:val="single"/>
        </w:rPr>
        <w:t>Caso não seja feita a opção prevista no parágrafo anterior, a pessoa jurídica perderá a</w:t>
      </w:r>
      <w:r>
        <w:rPr>
          <w:rFonts w:ascii="Arial" w:hAnsi="Arial" w:cs="Arial"/>
          <w:i/>
          <w:sz w:val="16"/>
          <w:szCs w:val="16"/>
          <w:u w:val="single"/>
        </w:rPr>
        <w:t>utomaticamente a qualificação obtida nos termos desta Lei</w:t>
      </w:r>
      <w:r>
        <w:rPr>
          <w:rFonts w:ascii="Arial" w:hAnsi="Arial" w:cs="Arial"/>
          <w:sz w:val="16"/>
          <w:szCs w:val="16"/>
        </w:rPr>
        <w:t xml:space="preserve"> (grifos nossos).</w:t>
      </w:r>
    </w:p>
  </w:footnote>
  <w:footnote w:id="2"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JUSTEN FILHO, Marçal. </w:t>
      </w:r>
      <w:r>
        <w:rPr>
          <w:rFonts w:ascii="Arial" w:hAnsi="Arial" w:cs="Arial"/>
          <w:b/>
          <w:sz w:val="16"/>
          <w:szCs w:val="16"/>
        </w:rPr>
        <w:t>Curso de Direito Administrativo</w:t>
      </w:r>
      <w:r>
        <w:rPr>
          <w:rFonts w:ascii="Arial" w:hAnsi="Arial" w:cs="Arial"/>
          <w:sz w:val="16"/>
          <w:szCs w:val="16"/>
        </w:rPr>
        <w:t xml:space="preserve">. 9ª ed. rev. atual. </w:t>
      </w:r>
      <w:proofErr w:type="gramStart"/>
      <w:r>
        <w:rPr>
          <w:rFonts w:ascii="Arial" w:hAnsi="Arial" w:cs="Arial"/>
          <w:sz w:val="16"/>
          <w:szCs w:val="16"/>
        </w:rPr>
        <w:t>e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ampl</w:t>
      </w:r>
      <w:proofErr w:type="spellEnd"/>
      <w:r>
        <w:rPr>
          <w:rFonts w:ascii="Arial" w:hAnsi="Arial" w:cs="Arial"/>
          <w:sz w:val="16"/>
          <w:szCs w:val="16"/>
        </w:rPr>
        <w:t xml:space="preserve">. São Paulo: Editora Revista dos Tribunais, 2013. </w:t>
      </w:r>
      <w:proofErr w:type="gramStart"/>
      <w:r>
        <w:rPr>
          <w:rFonts w:ascii="Arial" w:hAnsi="Arial" w:cs="Arial"/>
          <w:sz w:val="16"/>
          <w:szCs w:val="16"/>
        </w:rPr>
        <w:t>p.</w:t>
      </w:r>
      <w:proofErr w:type="gramEnd"/>
      <w:r>
        <w:rPr>
          <w:rFonts w:ascii="Arial" w:hAnsi="Arial" w:cs="Arial"/>
          <w:sz w:val="16"/>
          <w:szCs w:val="16"/>
        </w:rPr>
        <w:t xml:space="preserve"> 473.</w:t>
      </w:r>
    </w:p>
  </w:footnote>
  <w:footnote w:id="3">
    <w:p w:rsidR="00F94E0B" w:rsidRDefault="00F94E0B" w:rsidP="00F94E0B">
      <w:pPr>
        <w:pStyle w:val="Textodenotaderodap"/>
        <w:rPr>
          <w:rFonts w:ascii="Arial" w:hAnsi="Arial" w:cs="Arial"/>
          <w:sz w:val="16"/>
          <w:szCs w:val="16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Direito Administrativo. São Paulo: Atlas, 2011, p. 518.</w:t>
      </w:r>
    </w:p>
  </w:footnote>
  <w:footnote w:id="4"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PAES, José Eduardo </w:t>
      </w:r>
      <w:proofErr w:type="spellStart"/>
      <w:r>
        <w:rPr>
          <w:rFonts w:ascii="Arial" w:hAnsi="Arial" w:cs="Arial"/>
          <w:sz w:val="16"/>
          <w:szCs w:val="16"/>
        </w:rPr>
        <w:t>Sabo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b/>
          <w:sz w:val="16"/>
          <w:szCs w:val="16"/>
        </w:rPr>
        <w:t>Fundações, Associações e Entidades de Interesse Social</w:t>
      </w:r>
      <w:r>
        <w:rPr>
          <w:rFonts w:ascii="Arial" w:hAnsi="Arial" w:cs="Arial"/>
          <w:sz w:val="16"/>
          <w:szCs w:val="16"/>
        </w:rPr>
        <w:t xml:space="preserve">: Aspectos jurídicos, administrativos, contábeis, trabalhistas e tributários. 6ª ed. rev. atual. </w:t>
      </w:r>
      <w:proofErr w:type="gramStart"/>
      <w:r>
        <w:rPr>
          <w:rFonts w:ascii="Arial" w:hAnsi="Arial" w:cs="Arial"/>
          <w:sz w:val="16"/>
          <w:szCs w:val="16"/>
        </w:rPr>
        <w:t>e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ampl</w:t>
      </w:r>
      <w:proofErr w:type="spellEnd"/>
      <w:r>
        <w:rPr>
          <w:rFonts w:ascii="Arial" w:hAnsi="Arial" w:cs="Arial"/>
          <w:sz w:val="16"/>
          <w:szCs w:val="16"/>
        </w:rPr>
        <w:t xml:space="preserve">. Brasília: Brasília Jurídica, 2006. </w:t>
      </w:r>
      <w:proofErr w:type="gramStart"/>
      <w:r>
        <w:rPr>
          <w:rFonts w:ascii="Arial" w:hAnsi="Arial" w:cs="Arial"/>
          <w:sz w:val="16"/>
          <w:szCs w:val="16"/>
        </w:rPr>
        <w:t>p.</w:t>
      </w:r>
      <w:proofErr w:type="gramEnd"/>
      <w:r>
        <w:rPr>
          <w:rFonts w:ascii="Arial" w:hAnsi="Arial" w:cs="Arial"/>
          <w:sz w:val="16"/>
          <w:szCs w:val="16"/>
        </w:rPr>
        <w:t xml:space="preserve"> 622.</w:t>
      </w:r>
    </w:p>
  </w:footnote>
  <w:footnote w:id="5"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“</w:t>
      </w:r>
      <w:r>
        <w:rPr>
          <w:rFonts w:ascii="Arial" w:hAnsi="Arial" w:cs="Arial"/>
          <w:i/>
          <w:sz w:val="16"/>
          <w:szCs w:val="16"/>
        </w:rPr>
        <w:t xml:space="preserve">Ação Direta de Inconstitucionalidade nº 1.923/DF. Votos disponíveis em </w:t>
      </w:r>
      <w:hyperlink r:id="rId1" w:history="1">
        <w:r>
          <w:rPr>
            <w:rStyle w:val="Hyperlink"/>
            <w:rFonts w:ascii="Arial" w:hAnsi="Arial" w:cs="Arial"/>
            <w:i/>
            <w:sz w:val="16"/>
            <w:szCs w:val="16"/>
          </w:rPr>
          <w:t>http://www.stf.jus.br/arquivo/cms/noticiaNoticiaStf/anexo/Voto_rel_1923.pdf</w:t>
        </w:r>
      </w:hyperlink>
      <w:r>
        <w:rPr>
          <w:rFonts w:ascii="Arial" w:hAnsi="Arial" w:cs="Arial"/>
          <w:i/>
          <w:sz w:val="16"/>
          <w:szCs w:val="16"/>
        </w:rPr>
        <w:t xml:space="preserve"> e em </w:t>
      </w:r>
      <w:hyperlink r:id="rId2" w:history="1">
        <w:r>
          <w:rPr>
            <w:rStyle w:val="Hyperlink"/>
            <w:rFonts w:ascii="Arial" w:hAnsi="Arial" w:cs="Arial"/>
            <w:i/>
            <w:sz w:val="16"/>
            <w:szCs w:val="16"/>
          </w:rPr>
          <w:t>http://www.stf.jus.br/arquivo/cms/noticiaNoticiaStf/anexo/Voto__ADI1923LF.pdf</w:t>
        </w:r>
      </w:hyperlink>
      <w:r>
        <w:rPr>
          <w:rFonts w:ascii="Arial" w:hAnsi="Arial" w:cs="Arial"/>
          <w:sz w:val="16"/>
          <w:szCs w:val="16"/>
        </w:rPr>
        <w:t>”.</w:t>
      </w:r>
    </w:p>
  </w:footnote>
  <w:footnote w:id="6"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bookmarkStart w:id="1" w:name="art9a"/>
      <w:bookmarkEnd w:id="1"/>
      <w:r>
        <w:rPr>
          <w:rFonts w:ascii="Arial" w:hAnsi="Arial" w:cs="Arial"/>
          <w:sz w:val="16"/>
          <w:szCs w:val="16"/>
        </w:rPr>
        <w:t>Art. 9</w:t>
      </w:r>
      <w:r>
        <w:rPr>
          <w:rFonts w:ascii="Arial" w:hAnsi="Arial" w:cs="Arial"/>
          <w:sz w:val="16"/>
          <w:szCs w:val="16"/>
          <w:u w:val="single"/>
          <w:vertAlign w:val="superscript"/>
        </w:rPr>
        <w:t>o</w:t>
      </w:r>
      <w:r>
        <w:rPr>
          <w:rFonts w:ascii="Arial" w:hAnsi="Arial" w:cs="Arial"/>
          <w:sz w:val="16"/>
          <w:szCs w:val="16"/>
        </w:rPr>
        <w:t xml:space="preserve">-A. É vedada a celebração de Termo de Parceria com Organizações da Sociedade Civil de Interesse Público que </w:t>
      </w:r>
      <w:proofErr w:type="gramStart"/>
      <w:r>
        <w:rPr>
          <w:rFonts w:ascii="Arial" w:hAnsi="Arial" w:cs="Arial"/>
          <w:sz w:val="16"/>
          <w:szCs w:val="16"/>
        </w:rPr>
        <w:t>tenham,</w:t>
      </w:r>
      <w:proofErr w:type="gramEnd"/>
      <w:r>
        <w:rPr>
          <w:rFonts w:ascii="Arial" w:hAnsi="Arial" w:cs="Arial"/>
          <w:sz w:val="16"/>
          <w:szCs w:val="16"/>
        </w:rPr>
        <w:t xml:space="preserve"> em suas relações anteriores com a União, incorrido em pelo menos uma das seguintes condutas: </w:t>
      </w:r>
      <w:hyperlink r:id="rId3" w:anchor="art4" w:history="1">
        <w:r>
          <w:rPr>
            <w:rStyle w:val="Hyperlink"/>
            <w:rFonts w:ascii="Arial" w:hAnsi="Arial" w:cs="Arial"/>
            <w:sz w:val="16"/>
            <w:szCs w:val="16"/>
          </w:rPr>
          <w:t>(Incluído pelo Decreto nº 7.568, de 2011)</w:t>
        </w:r>
      </w:hyperlink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 - omissão no dever de prestar contas; </w:t>
      </w:r>
      <w:hyperlink r:id="rId4" w:anchor="art4" w:history="1">
        <w:r>
          <w:rPr>
            <w:rStyle w:val="Hyperlink"/>
            <w:rFonts w:ascii="Arial" w:hAnsi="Arial" w:cs="Arial"/>
            <w:sz w:val="16"/>
            <w:szCs w:val="16"/>
          </w:rPr>
          <w:t>(Incluído pelo Decreto nº 7.568, de 2011)</w:t>
        </w:r>
        <w:proofErr w:type="gramStart"/>
      </w:hyperlink>
      <w:proofErr w:type="gramEnd"/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II - descumprimento injustificado do objeto de convênios, contratos de repasse ou termos de parceria; </w:t>
      </w:r>
      <w:hyperlink r:id="rId5" w:anchor="art4" w:history="1">
        <w:r>
          <w:rPr>
            <w:rStyle w:val="Hyperlink"/>
            <w:rFonts w:ascii="Arial" w:hAnsi="Arial" w:cs="Arial"/>
            <w:sz w:val="16"/>
            <w:szCs w:val="16"/>
          </w:rPr>
          <w:t>(Incluído pelo Decreto nº 7.568, de 2011)</w:t>
        </w:r>
        <w:proofErr w:type="gramStart"/>
      </w:hyperlink>
      <w:proofErr w:type="gramEnd"/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III - desvio de finalidade na aplicação dos recursos transferidos; </w:t>
      </w:r>
      <w:hyperlink r:id="rId6" w:anchor="art4" w:history="1">
        <w:r>
          <w:rPr>
            <w:rStyle w:val="Hyperlink"/>
            <w:rFonts w:ascii="Arial" w:hAnsi="Arial" w:cs="Arial"/>
            <w:sz w:val="16"/>
            <w:szCs w:val="16"/>
          </w:rPr>
          <w:t>(Incluído pelo Decreto nº 7.568, de 2011)</w:t>
        </w:r>
        <w:proofErr w:type="gramStart"/>
      </w:hyperlink>
      <w:proofErr w:type="gramEnd"/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IV - ocorrência de dano ao Erário; ou </w:t>
      </w:r>
      <w:hyperlink r:id="rId7" w:anchor="art4" w:history="1">
        <w:r>
          <w:rPr>
            <w:rStyle w:val="Hyperlink"/>
            <w:rFonts w:ascii="Arial" w:hAnsi="Arial" w:cs="Arial"/>
            <w:sz w:val="16"/>
            <w:szCs w:val="16"/>
          </w:rPr>
          <w:t>(Incluído pelo Decreto nº 7.568, de 2011)</w:t>
        </w:r>
        <w:proofErr w:type="gramStart"/>
      </w:hyperlink>
      <w:proofErr w:type="gramEnd"/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 - prática de outros atos ilícitos na execução de convênios, contratos de repasse ou termos de parceria. </w:t>
      </w:r>
      <w:hyperlink r:id="rId8" w:anchor="art4" w:history="1">
        <w:r>
          <w:rPr>
            <w:rStyle w:val="Hyperlink"/>
            <w:rFonts w:ascii="Arial" w:hAnsi="Arial" w:cs="Arial"/>
            <w:sz w:val="16"/>
            <w:szCs w:val="16"/>
          </w:rPr>
          <w:t>(Incluído pelo Decreto nº 7.568, de 2011)</w:t>
        </w:r>
        <w:proofErr w:type="gramStart"/>
      </w:hyperlink>
      <w:proofErr w:type="gramEnd"/>
    </w:p>
    <w:p w:rsidR="00F94E0B" w:rsidRDefault="00F94E0B" w:rsidP="00F94E0B">
      <w:pPr>
        <w:pStyle w:val="Textodenotaderodap"/>
      </w:pPr>
    </w:p>
  </w:footnote>
  <w:footnote w:id="7">
    <w:p w:rsidR="00F94E0B" w:rsidRDefault="00F94E0B" w:rsidP="00F94E0B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bookmarkStart w:id="2" w:name="art260."/>
      <w:bookmarkEnd w:id="2"/>
      <w:r>
        <w:t xml:space="preserve">Art. 260. Os contribuintes poderão efetuar doações aos Fundos dos Direitos da Criança e do Adolescente nacional, distrital, estaduais ou municipais, devidamente comprovadas, sendo </w:t>
      </w:r>
      <w:proofErr w:type="gramStart"/>
      <w:r>
        <w:t>essas integralmente deduzidas do imposto de renda, obedecidos</w:t>
      </w:r>
      <w:proofErr w:type="gramEnd"/>
      <w:r>
        <w:t xml:space="preserve"> os seguintes limites: </w:t>
      </w:r>
    </w:p>
    <w:p w:rsidR="00F94E0B" w:rsidRDefault="00F94E0B" w:rsidP="00F94E0B">
      <w:pPr>
        <w:pStyle w:val="Textodenotaderodap"/>
        <w:jc w:val="both"/>
      </w:pPr>
      <w:r>
        <w:t xml:space="preserve">I - 1% (um por cento) do imposto sobre a renda devido apurado pelas pessoas jurídicas tributadas com base no lucro real; </w:t>
      </w:r>
      <w:proofErr w:type="gramStart"/>
      <w:r>
        <w:t>e</w:t>
      </w:r>
      <w:proofErr w:type="gramEnd"/>
      <w:r>
        <w:t xml:space="preserve"> </w:t>
      </w:r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II - 6% (seis por cento) do imposto sobre a renda apurado pelas pessoas físicas na Declaração de Ajuste Anual, observado o disposto no </w:t>
      </w:r>
      <w:hyperlink r:id="rId9" w:anchor="art22" w:history="1">
        <w:r>
          <w:rPr>
            <w:rStyle w:val="Hyperlink"/>
            <w:rFonts w:ascii="Arial" w:hAnsi="Arial" w:cs="Arial"/>
            <w:sz w:val="16"/>
            <w:szCs w:val="16"/>
          </w:rPr>
          <w:t>art. 22 da Lei n</w:t>
        </w:r>
        <w:r>
          <w:rPr>
            <w:rStyle w:val="Hyperlink"/>
            <w:rFonts w:ascii="Arial" w:hAnsi="Arial" w:cs="Arial"/>
            <w:sz w:val="16"/>
            <w:szCs w:val="16"/>
            <w:vertAlign w:val="superscript"/>
          </w:rPr>
          <w:t>o</w:t>
        </w:r>
        <w:r>
          <w:rPr>
            <w:rStyle w:val="Hyperlink"/>
            <w:rFonts w:ascii="Arial" w:hAnsi="Arial" w:cs="Arial"/>
            <w:sz w:val="16"/>
            <w:szCs w:val="16"/>
          </w:rPr>
          <w:t xml:space="preserve"> 9.532, de 10 de dezembro de 1997</w:t>
        </w:r>
      </w:hyperlink>
      <w:r>
        <w:rPr>
          <w:rFonts w:ascii="Arial" w:hAnsi="Arial" w:cs="Arial"/>
          <w:sz w:val="16"/>
          <w:szCs w:val="16"/>
        </w:rPr>
        <w:t xml:space="preserve">. </w:t>
      </w:r>
      <w:bookmarkStart w:id="3" w:name="art260§1"/>
      <w:bookmarkEnd w:id="3"/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bookmarkStart w:id="4" w:name="art260§1a"/>
      <w:bookmarkEnd w:id="4"/>
      <w:r>
        <w:rPr>
          <w:rFonts w:ascii="Arial" w:hAnsi="Arial" w:cs="Arial"/>
          <w:sz w:val="16"/>
          <w:szCs w:val="16"/>
        </w:rPr>
        <w:t>§ 1</w:t>
      </w:r>
      <w:r>
        <w:rPr>
          <w:rFonts w:ascii="Arial" w:hAnsi="Arial" w:cs="Arial"/>
          <w:sz w:val="16"/>
          <w:szCs w:val="16"/>
          <w:u w:val="single"/>
          <w:vertAlign w:val="superscript"/>
        </w:rPr>
        <w:t>o</w:t>
      </w:r>
      <w:r>
        <w:rPr>
          <w:rFonts w:ascii="Arial" w:hAnsi="Arial" w:cs="Arial"/>
          <w:sz w:val="16"/>
          <w:szCs w:val="16"/>
        </w:rPr>
        <w:t xml:space="preserve">-A. </w:t>
      </w:r>
      <w:r>
        <w:rPr>
          <w:rFonts w:ascii="Arial" w:hAnsi="Arial" w:cs="Arial"/>
          <w:sz w:val="16"/>
          <w:szCs w:val="16"/>
          <w:u w:val="single"/>
        </w:rPr>
        <w:t>Na definição das prioridades a serem atendidas com os recursos captados pelos Fundos Nacional, Estaduais e Municipais dos Direitos da Criança e do Adolescente, serão consideradas as disposições do Plano Nacional de Promoção, Proteção e Defesa dos Direitos de Crianças e Adolescentes à Convivência Familiar, bem como as regras e princípios relativos à garantia do direito à convivência familiar previstos nesta Lei.</w:t>
      </w:r>
      <w:r>
        <w:rPr>
          <w:rFonts w:ascii="Arial" w:hAnsi="Arial" w:cs="Arial"/>
          <w:sz w:val="16"/>
          <w:szCs w:val="16"/>
        </w:rPr>
        <w:t xml:space="preserve"> </w:t>
      </w:r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2º Os Conselhos Municipais, </w:t>
      </w:r>
      <w:proofErr w:type="gramStart"/>
      <w:r>
        <w:rPr>
          <w:rFonts w:ascii="Arial" w:hAnsi="Arial" w:cs="Arial"/>
          <w:sz w:val="16"/>
          <w:szCs w:val="16"/>
        </w:rPr>
        <w:t>Estaduais e Nacional dos Direitos da Criança e do Adolescente</w:t>
      </w:r>
      <w:proofErr w:type="gramEnd"/>
      <w:r>
        <w:rPr>
          <w:rFonts w:ascii="Arial" w:hAnsi="Arial" w:cs="Arial"/>
          <w:sz w:val="16"/>
          <w:szCs w:val="16"/>
        </w:rPr>
        <w:t xml:space="preserve"> fixarão critérios de utilização, através de planos de aplicação das doações subsidiadas e demais receitas, aplicando necessariamente percentual para incentivo ao acolhimento, sob a forma de guarda, de criança ou adolescente, órfãos ou abandonado, na forma do disposto no </w:t>
      </w:r>
      <w:hyperlink r:id="rId10" w:anchor="art227§3vi" w:history="1">
        <w:r>
          <w:rPr>
            <w:rStyle w:val="Hyperlink"/>
            <w:rFonts w:ascii="Arial" w:hAnsi="Arial" w:cs="Arial"/>
            <w:sz w:val="16"/>
            <w:szCs w:val="16"/>
          </w:rPr>
          <w:t>art. 227, § 3º, VI, da Constituição Federal</w:t>
        </w:r>
      </w:hyperlink>
      <w:r>
        <w:rPr>
          <w:rFonts w:ascii="Arial" w:hAnsi="Arial" w:cs="Arial"/>
          <w:sz w:val="16"/>
          <w:szCs w:val="16"/>
        </w:rPr>
        <w:t>.</w:t>
      </w:r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bookmarkStart w:id="5" w:name="art260§3"/>
      <w:bookmarkEnd w:id="5"/>
      <w:r>
        <w:rPr>
          <w:rFonts w:ascii="Arial" w:hAnsi="Arial" w:cs="Arial"/>
          <w:sz w:val="16"/>
          <w:szCs w:val="16"/>
        </w:rPr>
        <w:t>§ 3º O Departamento da Receita Federal, do Ministério da Economia, Fazenda e Planejamento, regulamentará a comprovação das doações feitas aos fundos, nos termos deste artigo</w:t>
      </w:r>
      <w:bookmarkStart w:id="6" w:name="art260§4"/>
      <w:bookmarkEnd w:id="6"/>
      <w:r>
        <w:rPr>
          <w:rFonts w:ascii="Arial" w:hAnsi="Arial" w:cs="Arial"/>
          <w:sz w:val="16"/>
          <w:szCs w:val="16"/>
        </w:rPr>
        <w:t xml:space="preserve">§ 4º O Ministério Público determinará em cada comarca a forma de fiscalização da aplicação, pelo Fundo Municipal dos Direitos da Criança e do Adolescente, dos incentivos fiscais referidos neste artigo. </w:t>
      </w:r>
      <w:hyperlink r:id="rId11" w:anchor="art10" w:history="1">
        <w:r>
          <w:rPr>
            <w:rStyle w:val="Hyperlink"/>
            <w:rFonts w:ascii="Arial" w:hAnsi="Arial" w:cs="Arial"/>
            <w:sz w:val="16"/>
            <w:szCs w:val="16"/>
          </w:rPr>
          <w:t>(Incluído pela Lei nº 8.242, de 12.10.1991)</w:t>
        </w:r>
        <w:proofErr w:type="gramStart"/>
      </w:hyperlink>
      <w:proofErr w:type="gramEnd"/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bookmarkStart w:id="7" w:name="art260§5"/>
      <w:bookmarkStart w:id="8" w:name="art260§5."/>
      <w:bookmarkEnd w:id="7"/>
      <w:bookmarkEnd w:id="8"/>
      <w:r>
        <w:rPr>
          <w:rFonts w:ascii="Arial" w:hAnsi="Arial" w:cs="Arial"/>
          <w:sz w:val="16"/>
          <w:szCs w:val="16"/>
        </w:rPr>
        <w:t>§ 5</w:t>
      </w:r>
      <w:r>
        <w:rPr>
          <w:rFonts w:ascii="Arial" w:hAnsi="Arial" w:cs="Arial"/>
          <w:sz w:val="16"/>
          <w:szCs w:val="16"/>
          <w:u w:val="single"/>
          <w:vertAlign w:val="superscript"/>
        </w:rPr>
        <w:t>o</w:t>
      </w:r>
      <w:r>
        <w:rPr>
          <w:rFonts w:ascii="Arial" w:hAnsi="Arial" w:cs="Arial"/>
          <w:sz w:val="16"/>
          <w:szCs w:val="16"/>
        </w:rPr>
        <w:t xml:space="preserve"> Observado o disposto no </w:t>
      </w:r>
      <w:hyperlink r:id="rId12" w:anchor="art3§4" w:history="1">
        <w:r>
          <w:rPr>
            <w:rStyle w:val="Hyperlink"/>
            <w:rFonts w:ascii="Arial" w:hAnsi="Arial" w:cs="Arial"/>
            <w:sz w:val="16"/>
            <w:szCs w:val="16"/>
          </w:rPr>
          <w:t>§ 4</w:t>
        </w:r>
        <w:r>
          <w:rPr>
            <w:rStyle w:val="Hyperlink"/>
            <w:rFonts w:ascii="Arial" w:hAnsi="Arial" w:cs="Arial"/>
            <w:sz w:val="16"/>
            <w:szCs w:val="16"/>
            <w:vertAlign w:val="superscript"/>
          </w:rPr>
          <w:t>o</w:t>
        </w:r>
        <w:r>
          <w:rPr>
            <w:rStyle w:val="Hyperlink"/>
            <w:rFonts w:ascii="Arial" w:hAnsi="Arial" w:cs="Arial"/>
            <w:sz w:val="16"/>
            <w:szCs w:val="16"/>
          </w:rPr>
          <w:t xml:space="preserve"> do art. 3</w:t>
        </w:r>
        <w:r>
          <w:rPr>
            <w:rStyle w:val="Hyperlink"/>
            <w:rFonts w:ascii="Arial" w:hAnsi="Arial" w:cs="Arial"/>
            <w:sz w:val="16"/>
            <w:szCs w:val="16"/>
            <w:vertAlign w:val="superscript"/>
          </w:rPr>
          <w:t>o</w:t>
        </w:r>
        <w:r>
          <w:rPr>
            <w:rStyle w:val="Hyperlink"/>
            <w:rFonts w:ascii="Arial" w:hAnsi="Arial" w:cs="Arial"/>
            <w:sz w:val="16"/>
            <w:szCs w:val="16"/>
          </w:rPr>
          <w:t xml:space="preserve"> da Lei n</w:t>
        </w:r>
        <w:r>
          <w:rPr>
            <w:rStyle w:val="Hyperlink"/>
            <w:rFonts w:ascii="Arial" w:hAnsi="Arial" w:cs="Arial"/>
            <w:sz w:val="16"/>
            <w:szCs w:val="16"/>
            <w:vertAlign w:val="superscript"/>
          </w:rPr>
          <w:t>o</w:t>
        </w:r>
        <w:r>
          <w:rPr>
            <w:rStyle w:val="Hyperlink"/>
            <w:rFonts w:ascii="Arial" w:hAnsi="Arial" w:cs="Arial"/>
            <w:sz w:val="16"/>
            <w:szCs w:val="16"/>
          </w:rPr>
          <w:t xml:space="preserve"> 9.249, de 26 de dezembro de 1995</w:t>
        </w:r>
      </w:hyperlink>
      <w:r>
        <w:rPr>
          <w:rFonts w:ascii="Arial" w:hAnsi="Arial" w:cs="Arial"/>
          <w:sz w:val="16"/>
          <w:szCs w:val="16"/>
        </w:rPr>
        <w:t xml:space="preserve">, a dedução de que trata o inciso I do </w:t>
      </w:r>
      <w:r>
        <w:rPr>
          <w:rFonts w:ascii="Arial" w:hAnsi="Arial" w:cs="Arial"/>
          <w:b/>
          <w:bCs/>
          <w:sz w:val="16"/>
          <w:szCs w:val="16"/>
        </w:rPr>
        <w:t>caput</w:t>
      </w:r>
      <w:r>
        <w:rPr>
          <w:rFonts w:ascii="Arial" w:hAnsi="Arial" w:cs="Arial"/>
          <w:sz w:val="16"/>
          <w:szCs w:val="16"/>
        </w:rPr>
        <w:t xml:space="preserve">: </w:t>
      </w:r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 - será considerada isoladamente, não se submetendo a limite em conjunto com outras deduções do imposto; </w:t>
      </w:r>
      <w:proofErr w:type="gramStart"/>
      <w:r>
        <w:rPr>
          <w:rFonts w:ascii="Arial" w:hAnsi="Arial" w:cs="Arial"/>
          <w:sz w:val="16"/>
          <w:szCs w:val="16"/>
        </w:rPr>
        <w:t>e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II - não poderá ser computada como despesa operacional na apuração do lucro real. (sem destaque no original)</w:t>
      </w:r>
    </w:p>
  </w:footnote>
  <w:footnote w:id="8">
    <w:p w:rsidR="00F94E0B" w:rsidRDefault="00F94E0B" w:rsidP="00F94E0B">
      <w:pPr>
        <w:pStyle w:val="Textodenotaderodap"/>
        <w:jc w:val="both"/>
        <w:rPr>
          <w:rFonts w:ascii="Arial" w:hAnsi="Arial" w:cs="Arial"/>
          <w:sz w:val="16"/>
          <w:szCs w:val="16"/>
        </w:rPr>
      </w:pPr>
      <w:r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Dentre outros dispositivos, merece especial atenção o art. 21 dessa Instrução Normativa, que prevê os casos de vedação na utilização dos recursos.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D7A40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B5F1217"/>
    <w:multiLevelType w:val="hybridMultilevel"/>
    <w:tmpl w:val="BBB4A104"/>
    <w:lvl w:ilvl="0" w:tplc="B0F0689C">
      <w:start w:val="1"/>
      <w:numFmt w:val="decimal"/>
      <w:lvlText w:val="%1."/>
      <w:lvlJc w:val="left"/>
      <w:pPr>
        <w:ind w:left="1770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2490" w:hanging="360"/>
      </w:pPr>
    </w:lvl>
    <w:lvl w:ilvl="2" w:tplc="0416001B">
      <w:start w:val="1"/>
      <w:numFmt w:val="lowerRoman"/>
      <w:lvlText w:val="%3."/>
      <w:lvlJc w:val="right"/>
      <w:pPr>
        <w:ind w:left="3210" w:hanging="180"/>
      </w:pPr>
    </w:lvl>
    <w:lvl w:ilvl="3" w:tplc="0416000F">
      <w:start w:val="1"/>
      <w:numFmt w:val="decimal"/>
      <w:lvlText w:val="%4."/>
      <w:lvlJc w:val="left"/>
      <w:pPr>
        <w:ind w:left="3930" w:hanging="360"/>
      </w:pPr>
    </w:lvl>
    <w:lvl w:ilvl="4" w:tplc="04160019">
      <w:start w:val="1"/>
      <w:numFmt w:val="lowerLetter"/>
      <w:lvlText w:val="%5."/>
      <w:lvlJc w:val="left"/>
      <w:pPr>
        <w:ind w:left="4650" w:hanging="360"/>
      </w:pPr>
    </w:lvl>
    <w:lvl w:ilvl="5" w:tplc="0416001B">
      <w:start w:val="1"/>
      <w:numFmt w:val="lowerRoman"/>
      <w:lvlText w:val="%6."/>
      <w:lvlJc w:val="right"/>
      <w:pPr>
        <w:ind w:left="5370" w:hanging="180"/>
      </w:pPr>
    </w:lvl>
    <w:lvl w:ilvl="6" w:tplc="0416000F">
      <w:start w:val="1"/>
      <w:numFmt w:val="decimal"/>
      <w:lvlText w:val="%7."/>
      <w:lvlJc w:val="left"/>
      <w:pPr>
        <w:ind w:left="6090" w:hanging="360"/>
      </w:pPr>
    </w:lvl>
    <w:lvl w:ilvl="7" w:tplc="04160019">
      <w:start w:val="1"/>
      <w:numFmt w:val="lowerLetter"/>
      <w:lvlText w:val="%8."/>
      <w:lvlJc w:val="left"/>
      <w:pPr>
        <w:ind w:left="6810" w:hanging="360"/>
      </w:pPr>
    </w:lvl>
    <w:lvl w:ilvl="8" w:tplc="0416001B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5519715D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7313F2D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46215E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0B"/>
    <w:rsid w:val="00290E2F"/>
    <w:rsid w:val="00C90D73"/>
    <w:rsid w:val="00E673C5"/>
    <w:rsid w:val="00F7332D"/>
    <w:rsid w:val="00F9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E0B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unhideWhenUsed/>
    <w:rsid w:val="00F94E0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4E0B"/>
    <w:pPr>
      <w:autoSpaceDE/>
      <w:autoSpaceDN/>
      <w:spacing w:before="0" w:after="0" w:line="240" w:lineRule="auto"/>
      <w:ind w:firstLine="0"/>
      <w:jc w:val="left"/>
    </w:pPr>
    <w:rPr>
      <w:rFonts w:ascii="Calibri" w:eastAsia="Calibri" w:hAnsi="Calibri"/>
      <w:sz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4E0B"/>
    <w:rPr>
      <w:rFonts w:ascii="Calibri" w:eastAsia="Calibri" w:hAnsi="Calibri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94E0B"/>
    <w:pPr>
      <w:autoSpaceDE/>
      <w:autoSpaceDN/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umAto">
    <w:name w:val="NumAto"/>
    <w:basedOn w:val="Normal"/>
    <w:rsid w:val="00F94E0B"/>
    <w:pPr>
      <w:ind w:firstLine="0"/>
      <w:jc w:val="center"/>
    </w:pPr>
    <w:rPr>
      <w:b/>
    </w:rPr>
  </w:style>
  <w:style w:type="paragraph" w:customStyle="1" w:styleId="Tpico">
    <w:name w:val="Tópico"/>
    <w:basedOn w:val="Normal"/>
    <w:rsid w:val="00F94E0B"/>
    <w:pPr>
      <w:ind w:firstLine="0"/>
      <w:jc w:val="left"/>
    </w:pPr>
    <w:rPr>
      <w:b/>
    </w:rPr>
  </w:style>
  <w:style w:type="paragraph" w:customStyle="1" w:styleId="Assina">
    <w:name w:val="Assina"/>
    <w:basedOn w:val="Normal"/>
    <w:rsid w:val="00F94E0B"/>
    <w:pPr>
      <w:ind w:firstLine="0"/>
      <w:jc w:val="center"/>
    </w:pPr>
  </w:style>
  <w:style w:type="character" w:styleId="Refdenotaderodap">
    <w:name w:val="footnote reference"/>
    <w:uiPriority w:val="99"/>
    <w:semiHidden/>
    <w:unhideWhenUsed/>
    <w:rsid w:val="00F94E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E0B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unhideWhenUsed/>
    <w:rsid w:val="00F94E0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4E0B"/>
    <w:pPr>
      <w:autoSpaceDE/>
      <w:autoSpaceDN/>
      <w:spacing w:before="0" w:after="0" w:line="240" w:lineRule="auto"/>
      <w:ind w:firstLine="0"/>
      <w:jc w:val="left"/>
    </w:pPr>
    <w:rPr>
      <w:rFonts w:ascii="Calibri" w:eastAsia="Calibri" w:hAnsi="Calibri"/>
      <w:sz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4E0B"/>
    <w:rPr>
      <w:rFonts w:ascii="Calibri" w:eastAsia="Calibri" w:hAnsi="Calibri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94E0B"/>
    <w:pPr>
      <w:autoSpaceDE/>
      <w:autoSpaceDN/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NumAto">
    <w:name w:val="NumAto"/>
    <w:basedOn w:val="Normal"/>
    <w:rsid w:val="00F94E0B"/>
    <w:pPr>
      <w:ind w:firstLine="0"/>
      <w:jc w:val="center"/>
    </w:pPr>
    <w:rPr>
      <w:b/>
    </w:rPr>
  </w:style>
  <w:style w:type="paragraph" w:customStyle="1" w:styleId="Tpico">
    <w:name w:val="Tópico"/>
    <w:basedOn w:val="Normal"/>
    <w:rsid w:val="00F94E0B"/>
    <w:pPr>
      <w:ind w:firstLine="0"/>
      <w:jc w:val="left"/>
    </w:pPr>
    <w:rPr>
      <w:b/>
    </w:rPr>
  </w:style>
  <w:style w:type="paragraph" w:customStyle="1" w:styleId="Assina">
    <w:name w:val="Assina"/>
    <w:basedOn w:val="Normal"/>
    <w:rsid w:val="00F94E0B"/>
    <w:pPr>
      <w:ind w:firstLine="0"/>
      <w:jc w:val="center"/>
    </w:pPr>
  </w:style>
  <w:style w:type="character" w:styleId="Refdenotaderodap">
    <w:name w:val="footnote reference"/>
    <w:uiPriority w:val="99"/>
    <w:semiHidden/>
    <w:unhideWhenUsed/>
    <w:rsid w:val="00F94E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6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1-2014/2011/Decreto/D7568.htm" TargetMode="External"/><Relationship Id="rId3" Type="http://schemas.openxmlformats.org/officeDocument/2006/relationships/hyperlink" Target="http://www.planalto.gov.br/ccivil_03/_Ato2011-2014/2011/Decreto/D7568.htm" TargetMode="External"/><Relationship Id="rId7" Type="http://schemas.openxmlformats.org/officeDocument/2006/relationships/hyperlink" Target="http://www.planalto.gov.br/ccivil_03/_Ato2011-2014/2011/Decreto/D7568.htm" TargetMode="External"/><Relationship Id="rId12" Type="http://schemas.openxmlformats.org/officeDocument/2006/relationships/hyperlink" Target="http://www.planalto.gov.br/ccivil_03/leis/L9249.htm" TargetMode="External"/><Relationship Id="rId2" Type="http://schemas.openxmlformats.org/officeDocument/2006/relationships/hyperlink" Target="http://www.stf.jus.br/arquivo/cms/noticiaNoticiaStf/anexo/Voto__ADI1923LF.pdf" TargetMode="External"/><Relationship Id="rId1" Type="http://schemas.openxmlformats.org/officeDocument/2006/relationships/hyperlink" Target="http://www.stf.jus.br/arquivo/cms/noticiaNoticiaStf/anexo/Voto_rel_1923.pdf" TargetMode="External"/><Relationship Id="rId6" Type="http://schemas.openxmlformats.org/officeDocument/2006/relationships/hyperlink" Target="http://www.planalto.gov.br/ccivil_03/_Ato2011-2014/2011/Decreto/D7568.htm" TargetMode="External"/><Relationship Id="rId11" Type="http://schemas.openxmlformats.org/officeDocument/2006/relationships/hyperlink" Target="http://www.planalto.gov.br/ccivil_03/leis/L8242.htm" TargetMode="External"/><Relationship Id="rId5" Type="http://schemas.openxmlformats.org/officeDocument/2006/relationships/hyperlink" Target="http://www.planalto.gov.br/ccivil_03/_Ato2011-2014/2011/Decreto/D7568.htm" TargetMode="Externa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hyperlink" Target="http://www.planalto.gov.br/ccivil_03/_Ato2011-2014/2011/Decreto/D7568.htm" TargetMode="External"/><Relationship Id="rId9" Type="http://schemas.openxmlformats.org/officeDocument/2006/relationships/hyperlink" Target="http://www.planalto.gov.br/ccivil_03/leis/L9532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4890</Words>
  <Characters>26408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tc502731</dc:creator>
  <cp:lastModifiedBy>tc502731</cp:lastModifiedBy>
  <cp:revision>1</cp:revision>
  <dcterms:created xsi:type="dcterms:W3CDTF">2013-10-30T14:52:00Z</dcterms:created>
  <dcterms:modified xsi:type="dcterms:W3CDTF">2013-10-30T14:54:00Z</dcterms:modified>
</cp:coreProperties>
</file>