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5" w:type="dxa"/>
        <w:tblLayout w:type="fixed"/>
        <w:tblCellMar>
          <w:left w:w="70" w:type="dxa"/>
          <w:right w:w="70" w:type="dxa"/>
        </w:tblCellMar>
        <w:tblLook w:val="04A0" w:firstRow="1" w:lastRow="0" w:firstColumn="1" w:lastColumn="0" w:noHBand="0" w:noVBand="1"/>
      </w:tblPr>
      <w:tblGrid>
        <w:gridCol w:w="2051"/>
        <w:gridCol w:w="7384"/>
      </w:tblGrid>
      <w:tr w:rsidR="00FB639C" w:rsidTr="00FB639C">
        <w:tc>
          <w:tcPr>
            <w:tcW w:w="2051" w:type="dxa"/>
            <w:hideMark/>
          </w:tcPr>
          <w:p w:rsidR="00FB639C" w:rsidRDefault="00FB639C">
            <w:pPr>
              <w:autoSpaceDE/>
              <w:spacing w:before="0" w:after="120" w:line="240" w:lineRule="auto"/>
              <w:ind w:right="-495" w:firstLine="0"/>
              <w:jc w:val="left"/>
              <w:rPr>
                <w:rFonts w:ascii="Arial" w:hAnsi="Arial" w:cs="Arial"/>
                <w:szCs w:val="24"/>
              </w:rPr>
            </w:pPr>
            <w:r>
              <w:rPr>
                <w:rFonts w:ascii="Arial" w:hAnsi="Arial" w:cs="Arial"/>
                <w:szCs w:val="24"/>
              </w:rPr>
              <w:t>PROCESSO Nº:</w:t>
            </w:r>
          </w:p>
        </w:tc>
        <w:tc>
          <w:tcPr>
            <w:tcW w:w="7384" w:type="dxa"/>
            <w:vAlign w:val="center"/>
            <w:hideMark/>
          </w:tcPr>
          <w:p w:rsidR="00FB639C" w:rsidRDefault="00FB639C">
            <w:pPr>
              <w:autoSpaceDE/>
              <w:spacing w:before="0" w:after="120" w:line="240" w:lineRule="auto"/>
              <w:ind w:firstLine="0"/>
              <w:jc w:val="left"/>
              <w:rPr>
                <w:rFonts w:ascii="Arial" w:hAnsi="Arial" w:cs="Arial"/>
                <w:b/>
                <w:szCs w:val="24"/>
              </w:rPr>
            </w:pPr>
            <w:r>
              <w:rPr>
                <w:rFonts w:ascii="Arial" w:hAnsi="Arial" w:cs="Arial"/>
                <w:szCs w:val="24"/>
              </w:rPr>
              <w:t>574219/10</w:t>
            </w:r>
          </w:p>
        </w:tc>
      </w:tr>
      <w:tr w:rsidR="00FB639C" w:rsidTr="00FB639C">
        <w:tc>
          <w:tcPr>
            <w:tcW w:w="2051" w:type="dxa"/>
            <w:hideMark/>
          </w:tcPr>
          <w:p w:rsidR="00FB639C" w:rsidRDefault="00FB639C">
            <w:pPr>
              <w:autoSpaceDE/>
              <w:spacing w:before="0" w:after="120" w:line="240" w:lineRule="auto"/>
              <w:ind w:right="-495" w:firstLine="0"/>
              <w:jc w:val="left"/>
              <w:rPr>
                <w:rFonts w:ascii="Arial" w:hAnsi="Arial" w:cs="Arial"/>
                <w:szCs w:val="24"/>
              </w:rPr>
            </w:pPr>
            <w:r>
              <w:rPr>
                <w:rFonts w:ascii="Arial" w:hAnsi="Arial" w:cs="Arial"/>
                <w:szCs w:val="24"/>
              </w:rPr>
              <w:t>ASSUNTO:</w:t>
            </w:r>
          </w:p>
        </w:tc>
        <w:tc>
          <w:tcPr>
            <w:tcW w:w="7384" w:type="dxa"/>
            <w:vAlign w:val="center"/>
            <w:hideMark/>
          </w:tcPr>
          <w:p w:rsidR="00FB639C" w:rsidRDefault="00FB639C">
            <w:pPr>
              <w:autoSpaceDE/>
              <w:spacing w:before="0" w:after="120" w:line="240" w:lineRule="auto"/>
              <w:ind w:firstLine="0"/>
              <w:jc w:val="left"/>
              <w:rPr>
                <w:rFonts w:ascii="Arial" w:hAnsi="Arial" w:cs="Arial"/>
                <w:b/>
                <w:szCs w:val="24"/>
              </w:rPr>
            </w:pPr>
            <w:r>
              <w:rPr>
                <w:rFonts w:ascii="Arial" w:hAnsi="Arial" w:cs="Arial"/>
                <w:szCs w:val="24"/>
              </w:rPr>
              <w:t>CONSULTA</w:t>
            </w:r>
          </w:p>
        </w:tc>
      </w:tr>
      <w:tr w:rsidR="00FB639C" w:rsidTr="00FB639C">
        <w:tc>
          <w:tcPr>
            <w:tcW w:w="2051" w:type="dxa"/>
            <w:hideMark/>
          </w:tcPr>
          <w:p w:rsidR="00FB639C" w:rsidRDefault="00FB639C">
            <w:pPr>
              <w:autoSpaceDE/>
              <w:spacing w:before="0" w:after="120" w:line="240" w:lineRule="auto"/>
              <w:ind w:right="-495" w:firstLine="0"/>
              <w:jc w:val="left"/>
              <w:rPr>
                <w:rFonts w:ascii="Arial" w:hAnsi="Arial" w:cs="Arial"/>
                <w:szCs w:val="24"/>
              </w:rPr>
            </w:pPr>
            <w:r>
              <w:rPr>
                <w:rFonts w:ascii="Arial" w:hAnsi="Arial" w:cs="Arial"/>
                <w:szCs w:val="24"/>
              </w:rPr>
              <w:t>ENTIDADE:</w:t>
            </w:r>
          </w:p>
        </w:tc>
        <w:tc>
          <w:tcPr>
            <w:tcW w:w="7384" w:type="dxa"/>
            <w:vAlign w:val="center"/>
            <w:hideMark/>
          </w:tcPr>
          <w:p w:rsidR="00FB639C" w:rsidRDefault="00FB639C">
            <w:pPr>
              <w:autoSpaceDE/>
              <w:spacing w:before="0" w:after="120" w:line="240" w:lineRule="auto"/>
              <w:ind w:firstLine="0"/>
              <w:jc w:val="left"/>
              <w:rPr>
                <w:rFonts w:ascii="Arial" w:hAnsi="Arial" w:cs="Arial"/>
                <w:b/>
                <w:szCs w:val="24"/>
              </w:rPr>
            </w:pPr>
            <w:r>
              <w:rPr>
                <w:rFonts w:ascii="Arial" w:hAnsi="Arial" w:cs="Arial"/>
                <w:szCs w:val="24"/>
              </w:rPr>
              <w:t>MUNICÍPIO DE SABÁUDIA</w:t>
            </w:r>
          </w:p>
        </w:tc>
      </w:tr>
      <w:tr w:rsidR="00FB639C" w:rsidTr="00FB639C">
        <w:tc>
          <w:tcPr>
            <w:tcW w:w="2051" w:type="dxa"/>
            <w:hideMark/>
          </w:tcPr>
          <w:p w:rsidR="00FB639C" w:rsidRDefault="00FB639C">
            <w:pPr>
              <w:autoSpaceDE/>
              <w:spacing w:before="0" w:after="120" w:line="240" w:lineRule="auto"/>
              <w:ind w:right="-495" w:firstLine="0"/>
              <w:jc w:val="left"/>
              <w:rPr>
                <w:rFonts w:ascii="Arial" w:hAnsi="Arial" w:cs="Arial"/>
                <w:szCs w:val="24"/>
              </w:rPr>
            </w:pPr>
            <w:r>
              <w:rPr>
                <w:rFonts w:ascii="Arial" w:hAnsi="Arial" w:cs="Arial"/>
                <w:szCs w:val="24"/>
              </w:rPr>
              <w:t>INTERESSADO:</w:t>
            </w:r>
          </w:p>
        </w:tc>
        <w:tc>
          <w:tcPr>
            <w:tcW w:w="7384" w:type="dxa"/>
            <w:vAlign w:val="center"/>
            <w:hideMark/>
          </w:tcPr>
          <w:p w:rsidR="00FB639C" w:rsidRDefault="00FB639C">
            <w:pPr>
              <w:autoSpaceDE/>
              <w:spacing w:before="0" w:after="120" w:line="240" w:lineRule="auto"/>
              <w:ind w:firstLine="0"/>
              <w:jc w:val="left"/>
              <w:rPr>
                <w:rFonts w:ascii="Arial" w:hAnsi="Arial" w:cs="Arial"/>
                <w:b/>
                <w:szCs w:val="24"/>
              </w:rPr>
            </w:pPr>
            <w:r>
              <w:rPr>
                <w:rFonts w:ascii="Arial" w:hAnsi="Arial" w:cs="Arial"/>
                <w:szCs w:val="24"/>
              </w:rPr>
              <w:t>ALMIR BATISTA DOS SANTOS</w:t>
            </w:r>
          </w:p>
        </w:tc>
      </w:tr>
      <w:tr w:rsidR="00FB639C" w:rsidTr="00FB639C">
        <w:tc>
          <w:tcPr>
            <w:tcW w:w="2051" w:type="dxa"/>
            <w:hideMark/>
          </w:tcPr>
          <w:p w:rsidR="00FB639C" w:rsidRDefault="00FB639C">
            <w:pPr>
              <w:autoSpaceDE/>
              <w:spacing w:before="0" w:after="120" w:line="240" w:lineRule="auto"/>
              <w:ind w:right="-495" w:firstLine="0"/>
              <w:jc w:val="left"/>
              <w:rPr>
                <w:rFonts w:ascii="Arial" w:hAnsi="Arial" w:cs="Arial"/>
                <w:szCs w:val="24"/>
              </w:rPr>
            </w:pPr>
            <w:r>
              <w:rPr>
                <w:rFonts w:ascii="Arial" w:hAnsi="Arial" w:cs="Arial"/>
                <w:szCs w:val="24"/>
              </w:rPr>
              <w:t>RELATOR:</w:t>
            </w:r>
          </w:p>
        </w:tc>
        <w:tc>
          <w:tcPr>
            <w:tcW w:w="7384" w:type="dxa"/>
            <w:vAlign w:val="center"/>
            <w:hideMark/>
          </w:tcPr>
          <w:p w:rsidR="00FB639C" w:rsidRDefault="00FB639C">
            <w:pPr>
              <w:autoSpaceDE/>
              <w:spacing w:before="0" w:after="120" w:line="240" w:lineRule="auto"/>
              <w:ind w:firstLine="0"/>
              <w:jc w:val="left"/>
              <w:rPr>
                <w:rFonts w:ascii="Arial" w:hAnsi="Arial" w:cs="Arial"/>
                <w:szCs w:val="24"/>
              </w:rPr>
            </w:pPr>
            <w:proofErr w:type="gramStart"/>
            <w:r>
              <w:rPr>
                <w:rFonts w:ascii="Arial" w:hAnsi="Arial" w:cs="Arial"/>
                <w:szCs w:val="24"/>
              </w:rPr>
              <w:t>CONSELHEIRO HERMAS</w:t>
            </w:r>
            <w:proofErr w:type="gramEnd"/>
            <w:r>
              <w:rPr>
                <w:rFonts w:ascii="Arial" w:hAnsi="Arial" w:cs="Arial"/>
                <w:szCs w:val="24"/>
              </w:rPr>
              <w:t xml:space="preserve"> EURIDES BRANDÃO</w:t>
            </w:r>
          </w:p>
        </w:tc>
      </w:tr>
    </w:tbl>
    <w:p w:rsidR="00FB639C" w:rsidRDefault="00FB639C" w:rsidP="00FB639C">
      <w:pPr>
        <w:ind w:firstLine="0"/>
        <w:jc w:val="center"/>
        <w:rPr>
          <w:rFonts w:ascii="Arial" w:hAnsi="Arial" w:cs="Arial"/>
          <w:szCs w:val="24"/>
        </w:rPr>
      </w:pPr>
    </w:p>
    <w:p w:rsidR="00FB639C" w:rsidRDefault="00FB639C" w:rsidP="00FB639C">
      <w:pPr>
        <w:pStyle w:val="NumAto"/>
        <w:ind w:right="-993"/>
        <w:rPr>
          <w:rFonts w:ascii="Arial" w:hAnsi="Arial" w:cs="Arial"/>
          <w:szCs w:val="24"/>
        </w:rPr>
      </w:pPr>
      <w:r>
        <w:rPr>
          <w:rFonts w:ascii="Arial" w:hAnsi="Arial" w:cs="Arial"/>
          <w:szCs w:val="24"/>
        </w:rPr>
        <w:t>ACÓRDÃO Nº 293/13 - Tribunal Pleno</w:t>
      </w:r>
    </w:p>
    <w:p w:rsidR="00FB639C" w:rsidRDefault="00FB639C" w:rsidP="00FB639C">
      <w:pPr>
        <w:spacing w:line="240" w:lineRule="auto"/>
        <w:ind w:left="3402" w:firstLine="0"/>
        <w:rPr>
          <w:rFonts w:ascii="Arial" w:hAnsi="Arial" w:cs="Arial"/>
          <w:sz w:val="20"/>
        </w:rPr>
      </w:pPr>
      <w:r>
        <w:rPr>
          <w:rFonts w:ascii="Arial" w:hAnsi="Arial" w:cs="Arial"/>
          <w:sz w:val="20"/>
        </w:rPr>
        <w:t>EMENTA. Incorporação de gratificação de função e verbas transitórias aos proventos de aposentadoria. Incompatibilidade da legislação municipal à Constituição da República (art. 40, 2º e § 3º, da Constituição). Necessidade de adequação da legislação municipal à Constituição e à Lei nº 10.887/2004 e observância do caráter contributivo e solidário do sistema.</w:t>
      </w:r>
    </w:p>
    <w:p w:rsidR="00FB639C" w:rsidRDefault="00FB639C" w:rsidP="00FB639C">
      <w:pPr>
        <w:ind w:left="2835"/>
        <w:jc w:val="center"/>
        <w:rPr>
          <w:rFonts w:ascii="Arial" w:hAnsi="Arial" w:cs="Arial"/>
          <w:szCs w:val="24"/>
        </w:rPr>
      </w:pPr>
    </w:p>
    <w:p w:rsidR="00FB639C" w:rsidRDefault="00FB639C" w:rsidP="00FB639C">
      <w:pPr>
        <w:numPr>
          <w:ilvl w:val="0"/>
          <w:numId w:val="1"/>
        </w:numPr>
        <w:spacing w:before="0" w:after="0"/>
        <w:ind w:left="426" w:hanging="426"/>
        <w:rPr>
          <w:rFonts w:ascii="Arial" w:hAnsi="Arial" w:cs="Arial"/>
          <w:b/>
          <w:szCs w:val="24"/>
        </w:rPr>
      </w:pPr>
      <w:r>
        <w:rPr>
          <w:rFonts w:ascii="Arial" w:hAnsi="Arial" w:cs="Arial"/>
          <w:b/>
          <w:szCs w:val="24"/>
        </w:rPr>
        <w:t>DA CONSULTA</w:t>
      </w:r>
    </w:p>
    <w:p w:rsidR="00FB639C" w:rsidRDefault="00FB639C" w:rsidP="00FB639C">
      <w:pPr>
        <w:rPr>
          <w:rFonts w:ascii="Arial" w:hAnsi="Arial" w:cs="Arial"/>
          <w:szCs w:val="24"/>
        </w:rPr>
      </w:pPr>
      <w:r>
        <w:rPr>
          <w:rFonts w:ascii="Arial" w:hAnsi="Arial" w:cs="Arial"/>
          <w:szCs w:val="24"/>
        </w:rPr>
        <w:t xml:space="preserve">Trata-se de consulta formulada pelo digníssimo Prefeito do Município de </w:t>
      </w:r>
      <w:proofErr w:type="spellStart"/>
      <w:r>
        <w:rPr>
          <w:rFonts w:ascii="Arial" w:hAnsi="Arial" w:cs="Arial"/>
          <w:szCs w:val="24"/>
        </w:rPr>
        <w:t>Sabaudia</w:t>
      </w:r>
      <w:proofErr w:type="spellEnd"/>
      <w:r>
        <w:rPr>
          <w:rFonts w:ascii="Arial" w:hAnsi="Arial" w:cs="Arial"/>
          <w:szCs w:val="24"/>
        </w:rPr>
        <w:t>, Sr. Almir Batista dos Santos, que indaga sobre a possibilidade de incorporação de gratificações às aposentadorias de seus servidores.</w:t>
      </w:r>
    </w:p>
    <w:p w:rsidR="00FB639C" w:rsidRDefault="00FB639C" w:rsidP="00FB639C">
      <w:pPr>
        <w:rPr>
          <w:rFonts w:ascii="Arial" w:hAnsi="Arial" w:cs="Arial"/>
          <w:szCs w:val="24"/>
        </w:rPr>
      </w:pPr>
      <w:r>
        <w:rPr>
          <w:rFonts w:ascii="Arial" w:hAnsi="Arial" w:cs="Arial"/>
          <w:szCs w:val="24"/>
        </w:rPr>
        <w:t>Informa que por meio da Lei Municipal nº 09/2003, de 23/05/2003, foi reduzida de 10 para 05 anos o tempo de exercício de função gratificada (contínuos ou não) para que esta possa ser incorporada aos proventos.</w:t>
      </w:r>
    </w:p>
    <w:p w:rsidR="00FB639C" w:rsidRDefault="00FB639C" w:rsidP="00FB639C">
      <w:pPr>
        <w:rPr>
          <w:rFonts w:ascii="Arial" w:hAnsi="Arial" w:cs="Arial"/>
          <w:szCs w:val="24"/>
        </w:rPr>
      </w:pPr>
      <w:r>
        <w:rPr>
          <w:rFonts w:ascii="Arial" w:hAnsi="Arial" w:cs="Arial"/>
          <w:szCs w:val="24"/>
        </w:rPr>
        <w:t>A função gratificada varia entre 20% e 100% do vencimento do cargo de provimento efetivo do servidor designado, conforme art. 2º, da Lei Municipal nº 006/99.</w:t>
      </w:r>
    </w:p>
    <w:p w:rsidR="00FB639C" w:rsidRDefault="00FB639C" w:rsidP="00FB639C">
      <w:pPr>
        <w:rPr>
          <w:rFonts w:ascii="Arial" w:hAnsi="Arial" w:cs="Arial"/>
          <w:szCs w:val="24"/>
        </w:rPr>
      </w:pPr>
      <w:r>
        <w:rPr>
          <w:rFonts w:ascii="Arial" w:hAnsi="Arial" w:cs="Arial"/>
          <w:szCs w:val="24"/>
        </w:rPr>
        <w:t xml:space="preserve">Destaca o </w:t>
      </w:r>
      <w:proofErr w:type="gramStart"/>
      <w:r>
        <w:rPr>
          <w:rFonts w:ascii="Arial" w:hAnsi="Arial" w:cs="Arial"/>
          <w:szCs w:val="24"/>
        </w:rPr>
        <w:t>Sr.</w:t>
      </w:r>
      <w:proofErr w:type="gramEnd"/>
      <w:r>
        <w:rPr>
          <w:rFonts w:ascii="Arial" w:hAnsi="Arial" w:cs="Arial"/>
          <w:szCs w:val="24"/>
        </w:rPr>
        <w:t xml:space="preserve"> Prefeito Municipal que o Procurador Jurídico do Município entende que há colisão entre a legislação municipal e a Constituição da República porque a gratificação de função tem caráter transitório ou precária e que após a Emenda Constitucional nº 20/98, de 16/12/1998, não mais é possível incorporar essas gratificações aos proventos.</w:t>
      </w:r>
    </w:p>
    <w:p w:rsidR="00FB639C" w:rsidRDefault="00FB639C" w:rsidP="00FB639C">
      <w:pPr>
        <w:rPr>
          <w:rFonts w:ascii="Arial" w:hAnsi="Arial" w:cs="Arial"/>
          <w:szCs w:val="24"/>
        </w:rPr>
      </w:pPr>
      <w:r>
        <w:rPr>
          <w:rFonts w:ascii="Arial" w:hAnsi="Arial" w:cs="Arial"/>
          <w:szCs w:val="24"/>
        </w:rPr>
        <w:t>Dessa maneira, indaga se é ou não possível incorporar a gratificação de função aos proventos e se a legislação do Município que a permite padece de ilegalidade/inconstitucionalidade.</w:t>
      </w:r>
    </w:p>
    <w:p w:rsidR="00FB639C" w:rsidRDefault="00FB639C" w:rsidP="00FB639C">
      <w:pPr>
        <w:rPr>
          <w:rFonts w:ascii="Arial" w:hAnsi="Arial" w:cs="Arial"/>
          <w:szCs w:val="24"/>
        </w:rPr>
      </w:pPr>
      <w:r>
        <w:rPr>
          <w:rFonts w:ascii="Arial" w:hAnsi="Arial" w:cs="Arial"/>
          <w:szCs w:val="24"/>
        </w:rPr>
        <w:lastRenderedPageBreak/>
        <w:t>Juntou-se o Parecer da Procuradoria Jurídica do Município, motivada por pedido de servidor público daquele Município que exerceu função gratificada (gerente de transporte escolar) por 05 anos. A Lei Municipal o contempla com o adicional de 20% sobre seus vencimentos, passando posteriormente a ocupar o cargo de gerente da frota municipal de ônibus, em que o adicional é de 40%.</w:t>
      </w:r>
    </w:p>
    <w:p w:rsidR="00FB639C" w:rsidRDefault="00FB639C" w:rsidP="00FB639C">
      <w:pPr>
        <w:rPr>
          <w:rFonts w:ascii="Arial" w:hAnsi="Arial" w:cs="Arial"/>
          <w:szCs w:val="24"/>
        </w:rPr>
      </w:pPr>
      <w:r>
        <w:rPr>
          <w:rFonts w:ascii="Arial" w:hAnsi="Arial" w:cs="Arial"/>
          <w:szCs w:val="24"/>
        </w:rPr>
        <w:t>Enfatiza o digníssimo Procurador do Município que a matéria é regulamentada pela Lei Municipal nº 32/93-E (Estatuto dos Servidores Públicos do Município), alterada pela Lei nº 09/2003, que reduziu o tempo de exercício da função gratificada de 10 para 05 anos para que a gratificação fosse incorporada aos vencimentos (art. 159, § 1º, da Lei nº 32/93-E e Lei nº 06/99, de 22/06/99).</w:t>
      </w:r>
    </w:p>
    <w:p w:rsidR="00FB639C" w:rsidRDefault="00FB639C" w:rsidP="00FB639C">
      <w:pPr>
        <w:rPr>
          <w:rFonts w:ascii="Arial" w:hAnsi="Arial" w:cs="Arial"/>
          <w:szCs w:val="24"/>
        </w:rPr>
      </w:pPr>
      <w:r>
        <w:rPr>
          <w:rFonts w:ascii="Arial" w:hAnsi="Arial" w:cs="Arial"/>
          <w:szCs w:val="24"/>
        </w:rPr>
        <w:t xml:space="preserve">Observa, porém, o </w:t>
      </w:r>
      <w:proofErr w:type="gramStart"/>
      <w:r>
        <w:rPr>
          <w:rFonts w:ascii="Arial" w:hAnsi="Arial" w:cs="Arial"/>
          <w:szCs w:val="24"/>
        </w:rPr>
        <w:t>Sr.</w:t>
      </w:r>
      <w:proofErr w:type="gramEnd"/>
      <w:r>
        <w:rPr>
          <w:rFonts w:ascii="Arial" w:hAnsi="Arial" w:cs="Arial"/>
          <w:szCs w:val="24"/>
        </w:rPr>
        <w:t xml:space="preserve"> Procurador Municipal que após as Emendas Constitucionais </w:t>
      </w:r>
      <w:proofErr w:type="spellStart"/>
      <w:r>
        <w:rPr>
          <w:rFonts w:ascii="Arial" w:hAnsi="Arial" w:cs="Arial"/>
          <w:szCs w:val="24"/>
        </w:rPr>
        <w:t>nºs</w:t>
      </w:r>
      <w:proofErr w:type="spellEnd"/>
      <w:r>
        <w:rPr>
          <w:rFonts w:ascii="Arial" w:hAnsi="Arial" w:cs="Arial"/>
          <w:szCs w:val="24"/>
        </w:rPr>
        <w:t xml:space="preserve"> 20/98, 41/03, 47/05, o art. 40, da Constituição da República sofreu significativas mudanças, alterando substancialmente o regime de incorporação das gratificações aos vencimentos e proventos.</w:t>
      </w:r>
    </w:p>
    <w:p w:rsidR="00FB639C" w:rsidRDefault="00FB639C" w:rsidP="00FB639C">
      <w:pPr>
        <w:rPr>
          <w:rFonts w:ascii="Arial" w:hAnsi="Arial" w:cs="Arial"/>
          <w:szCs w:val="24"/>
        </w:rPr>
      </w:pPr>
      <w:r>
        <w:rPr>
          <w:rFonts w:ascii="Arial" w:hAnsi="Arial" w:cs="Arial"/>
          <w:szCs w:val="24"/>
        </w:rPr>
        <w:t xml:space="preserve">Destaca que após essas emendas constitucionais, os regimes previdenciários de todas as esferas de governo (federal, estadual e municipal) ganharam caráter contributivo e solidário, </w:t>
      </w:r>
      <w:proofErr w:type="gramStart"/>
      <w:r>
        <w:rPr>
          <w:rFonts w:ascii="Arial" w:hAnsi="Arial" w:cs="Arial"/>
          <w:szCs w:val="24"/>
        </w:rPr>
        <w:t>novas</w:t>
      </w:r>
      <w:proofErr w:type="gramEnd"/>
      <w:r>
        <w:rPr>
          <w:rFonts w:ascii="Arial" w:hAnsi="Arial" w:cs="Arial"/>
          <w:szCs w:val="24"/>
        </w:rPr>
        <w:t xml:space="preserve"> regras de cálculo e critérios para a concessão de benefícios, visando maior equilíbrio financeiro e atuarial do sistema.</w:t>
      </w:r>
    </w:p>
    <w:p w:rsidR="00FB639C" w:rsidRDefault="00FB639C" w:rsidP="00FB639C">
      <w:pPr>
        <w:rPr>
          <w:rFonts w:ascii="Arial" w:hAnsi="Arial" w:cs="Arial"/>
          <w:szCs w:val="24"/>
        </w:rPr>
      </w:pPr>
      <w:r>
        <w:rPr>
          <w:rFonts w:ascii="Arial" w:hAnsi="Arial" w:cs="Arial"/>
          <w:szCs w:val="24"/>
        </w:rPr>
        <w:t>Conclui o Procurador do Município que essas incorporações não são permitidas pela Constituição e que estão revogadas pelas emendas constitucionais mencionadas, especialmente pela Emenda Constitucional nº 20/98.</w:t>
      </w:r>
    </w:p>
    <w:p w:rsidR="00FB639C" w:rsidRDefault="00FB639C" w:rsidP="00FB639C">
      <w:pPr>
        <w:rPr>
          <w:rFonts w:ascii="Arial" w:hAnsi="Arial" w:cs="Arial"/>
          <w:szCs w:val="24"/>
        </w:rPr>
      </w:pPr>
      <w:r>
        <w:rPr>
          <w:rFonts w:ascii="Arial" w:hAnsi="Arial" w:cs="Arial"/>
          <w:szCs w:val="24"/>
        </w:rPr>
        <w:t xml:space="preserve">Colacionou a decisão proferida pelo Supremo Tribunal Federal, proferida na ADI nº 2.871-PI, em que por meio de agravo regimental, se suscitou o conflito entre os </w:t>
      </w:r>
      <w:proofErr w:type="spellStart"/>
      <w:r>
        <w:rPr>
          <w:rFonts w:ascii="Arial" w:hAnsi="Arial" w:cs="Arial"/>
          <w:szCs w:val="24"/>
        </w:rPr>
        <w:t>arts</w:t>
      </w:r>
      <w:proofErr w:type="spellEnd"/>
      <w:r>
        <w:rPr>
          <w:rFonts w:ascii="Arial" w:hAnsi="Arial" w:cs="Arial"/>
          <w:szCs w:val="24"/>
        </w:rPr>
        <w:t>. 136, da Lei Complementar nº 13/94 e art. 254, da Constituição do Piauí e o parágrafo § 2º, do art. 40, da Constituição, com a alteração trazida pela EC 20/98.</w:t>
      </w:r>
    </w:p>
    <w:p w:rsidR="00FB639C" w:rsidRDefault="00FB639C" w:rsidP="00FB639C">
      <w:pPr>
        <w:rPr>
          <w:rFonts w:ascii="Arial" w:hAnsi="Arial" w:cs="Arial"/>
          <w:szCs w:val="24"/>
        </w:rPr>
      </w:pPr>
      <w:r>
        <w:rPr>
          <w:rFonts w:ascii="Arial" w:hAnsi="Arial" w:cs="Arial"/>
          <w:szCs w:val="24"/>
        </w:rPr>
        <w:t xml:space="preserve">Pela conclusão do </w:t>
      </w:r>
      <w:proofErr w:type="gramStart"/>
      <w:r>
        <w:rPr>
          <w:rFonts w:ascii="Arial" w:hAnsi="Arial" w:cs="Arial"/>
          <w:szCs w:val="24"/>
        </w:rPr>
        <w:t>Sr.</w:t>
      </w:r>
      <w:proofErr w:type="gramEnd"/>
      <w:r>
        <w:rPr>
          <w:rFonts w:ascii="Arial" w:hAnsi="Arial" w:cs="Arial"/>
          <w:szCs w:val="24"/>
        </w:rPr>
        <w:t xml:space="preserve"> Procurador Municipal, a partir da Emenda Constitucional nº 20/98, não é mais possível a incorporação das </w:t>
      </w:r>
      <w:r>
        <w:rPr>
          <w:rFonts w:ascii="Arial" w:hAnsi="Arial" w:cs="Arial"/>
          <w:szCs w:val="24"/>
        </w:rPr>
        <w:lastRenderedPageBreak/>
        <w:t>referidas gratificações, respeitado por óbvio o direito adquirido até a data da Emenda (16/12/1998).</w:t>
      </w:r>
    </w:p>
    <w:p w:rsidR="00FB639C" w:rsidRDefault="00FB639C" w:rsidP="00FB639C">
      <w:pPr>
        <w:rPr>
          <w:rFonts w:ascii="Arial" w:hAnsi="Arial" w:cs="Arial"/>
          <w:szCs w:val="24"/>
        </w:rPr>
      </w:pPr>
      <w:r>
        <w:rPr>
          <w:rFonts w:ascii="Arial" w:hAnsi="Arial" w:cs="Arial"/>
          <w:szCs w:val="24"/>
        </w:rPr>
        <w:t xml:space="preserve">Assinalou o </w:t>
      </w:r>
      <w:proofErr w:type="gramStart"/>
      <w:r>
        <w:rPr>
          <w:rFonts w:ascii="Arial" w:hAnsi="Arial" w:cs="Arial"/>
          <w:szCs w:val="24"/>
        </w:rPr>
        <w:t>Sr.</w:t>
      </w:r>
      <w:proofErr w:type="gramEnd"/>
      <w:r>
        <w:rPr>
          <w:rFonts w:ascii="Arial" w:hAnsi="Arial" w:cs="Arial"/>
          <w:szCs w:val="24"/>
        </w:rPr>
        <w:t xml:space="preserve"> Procurador Municipal que como essas parcelas não integram o salário de contribuição do servidor, não poderão agregar aos proventos essas vantagens, pois inexistiria o equilíbrio entre o recolhimento da contribuição (que não incidiu sobre as vantagens) e os proventos que a incorporariam.</w:t>
      </w:r>
    </w:p>
    <w:p w:rsidR="00FB639C" w:rsidRDefault="00FB639C" w:rsidP="00FB639C">
      <w:pPr>
        <w:rPr>
          <w:rFonts w:ascii="Arial" w:hAnsi="Arial" w:cs="Arial"/>
          <w:szCs w:val="24"/>
        </w:rPr>
      </w:pPr>
      <w:r>
        <w:rPr>
          <w:rFonts w:ascii="Arial" w:hAnsi="Arial" w:cs="Arial"/>
          <w:szCs w:val="24"/>
        </w:rPr>
        <w:t xml:space="preserve">Opinou o eminente Procurador pelo indeferimento do pedido do servidor, por violação à Constituição e pediu providências para que se levantasse se existia ou não casos de servidores que estavam recebendo proventos </w:t>
      </w:r>
      <w:proofErr w:type="gramStart"/>
      <w:r>
        <w:rPr>
          <w:rFonts w:ascii="Arial" w:hAnsi="Arial" w:cs="Arial"/>
          <w:szCs w:val="24"/>
        </w:rPr>
        <w:t>ilegais/inconstitucionais</w:t>
      </w:r>
      <w:proofErr w:type="gramEnd"/>
      <w:r>
        <w:rPr>
          <w:rFonts w:ascii="Arial" w:hAnsi="Arial" w:cs="Arial"/>
          <w:szCs w:val="24"/>
        </w:rPr>
        <w:t>, instaurando-se procedimento administrativo, caso constatado casos da espécie e exclusão desses benefícios, precedido do contraditório e da ampla defesa aos servidores por ela afetados.</w:t>
      </w:r>
    </w:p>
    <w:p w:rsidR="00FB639C" w:rsidRDefault="00FB639C" w:rsidP="00FB639C">
      <w:pPr>
        <w:rPr>
          <w:rFonts w:ascii="Arial" w:hAnsi="Arial" w:cs="Arial"/>
          <w:szCs w:val="24"/>
        </w:rPr>
      </w:pPr>
      <w:r>
        <w:rPr>
          <w:rFonts w:ascii="Arial" w:hAnsi="Arial" w:cs="Arial"/>
          <w:szCs w:val="24"/>
        </w:rPr>
        <w:t xml:space="preserve">Também recomendou à administração a elaboração de Projeto de Lei para ‘conformar’ a legislação municipal à Constituição, dada </w:t>
      </w:r>
      <w:proofErr w:type="gramStart"/>
      <w:r>
        <w:rPr>
          <w:rFonts w:ascii="Arial" w:hAnsi="Arial" w:cs="Arial"/>
          <w:szCs w:val="24"/>
        </w:rPr>
        <w:t>a</w:t>
      </w:r>
      <w:proofErr w:type="gramEnd"/>
      <w:r>
        <w:rPr>
          <w:rFonts w:ascii="Arial" w:hAnsi="Arial" w:cs="Arial"/>
          <w:szCs w:val="24"/>
        </w:rPr>
        <w:t xml:space="preserve"> revogação dessas leis, por contraste direto com a Constituição.</w:t>
      </w:r>
    </w:p>
    <w:p w:rsidR="00FB639C" w:rsidRDefault="00FB639C" w:rsidP="00FB639C">
      <w:pPr>
        <w:rPr>
          <w:rFonts w:ascii="Arial" w:hAnsi="Arial" w:cs="Arial"/>
          <w:szCs w:val="24"/>
        </w:rPr>
      </w:pPr>
      <w:r>
        <w:rPr>
          <w:rFonts w:ascii="Arial" w:hAnsi="Arial" w:cs="Arial"/>
          <w:szCs w:val="24"/>
        </w:rPr>
        <w:t>É o Relatório.</w:t>
      </w:r>
    </w:p>
    <w:p w:rsidR="00FB639C" w:rsidRDefault="00FB639C" w:rsidP="00FB639C">
      <w:pPr>
        <w:ind w:firstLine="709"/>
        <w:rPr>
          <w:rFonts w:ascii="Arial" w:hAnsi="Arial" w:cs="Arial"/>
          <w:szCs w:val="24"/>
        </w:rPr>
      </w:pPr>
    </w:p>
    <w:p w:rsidR="00FB639C" w:rsidRDefault="00FB639C" w:rsidP="00FB639C">
      <w:pPr>
        <w:numPr>
          <w:ilvl w:val="0"/>
          <w:numId w:val="1"/>
        </w:numPr>
        <w:spacing w:before="0" w:after="0"/>
        <w:ind w:left="426" w:hanging="426"/>
        <w:rPr>
          <w:rFonts w:ascii="Arial" w:hAnsi="Arial" w:cs="Arial"/>
          <w:b/>
          <w:szCs w:val="24"/>
        </w:rPr>
      </w:pPr>
      <w:r>
        <w:rPr>
          <w:rFonts w:ascii="Arial" w:hAnsi="Arial" w:cs="Arial"/>
          <w:b/>
          <w:szCs w:val="24"/>
        </w:rPr>
        <w:t>DA FUNDAMENTAÇÃO JURÍDICA</w:t>
      </w:r>
    </w:p>
    <w:p w:rsidR="00FB639C" w:rsidRDefault="00FB639C" w:rsidP="00FB639C">
      <w:pPr>
        <w:rPr>
          <w:rFonts w:ascii="Arial" w:hAnsi="Arial" w:cs="Arial"/>
          <w:szCs w:val="24"/>
        </w:rPr>
      </w:pPr>
      <w:r>
        <w:rPr>
          <w:rFonts w:ascii="Arial" w:hAnsi="Arial" w:cs="Arial"/>
          <w:szCs w:val="24"/>
        </w:rPr>
        <w:t xml:space="preserve">A Coordenadoria de Jurisprudência e Biblioteca deste Tribunal apontou que nos Acórdãos </w:t>
      </w:r>
      <w:proofErr w:type="spellStart"/>
      <w:r>
        <w:rPr>
          <w:rFonts w:ascii="Arial" w:hAnsi="Arial" w:cs="Arial"/>
          <w:szCs w:val="24"/>
        </w:rPr>
        <w:t>nºs</w:t>
      </w:r>
      <w:proofErr w:type="spellEnd"/>
      <w:r>
        <w:rPr>
          <w:rFonts w:ascii="Arial" w:hAnsi="Arial" w:cs="Arial"/>
          <w:szCs w:val="24"/>
        </w:rPr>
        <w:t xml:space="preserve"> 1550/08 (protocolo nº 171826/07), Acórdão 389/06 </w:t>
      </w:r>
      <w:proofErr w:type="gramStart"/>
      <w:r>
        <w:rPr>
          <w:rFonts w:ascii="Arial" w:hAnsi="Arial" w:cs="Arial"/>
          <w:szCs w:val="24"/>
        </w:rPr>
        <w:t>(protocolo nº 363329/05, Resolução nº 12.381/01 (protocolo nº 374799/00), este Tribunal firmou entendimento de que a incorporação é possível tão-somente até o advento da Emenda Constitucional nº 20/98 (16/12/1998), ou seja, seria possível a incorporação se o direito adquirido estava presente até a data da Emenda Constitucional.</w:t>
      </w:r>
      <w:proofErr w:type="gramEnd"/>
    </w:p>
    <w:p w:rsidR="00FB639C" w:rsidRDefault="00FB639C" w:rsidP="00FB639C">
      <w:pPr>
        <w:rPr>
          <w:rFonts w:ascii="Arial" w:hAnsi="Arial" w:cs="Arial"/>
          <w:szCs w:val="24"/>
        </w:rPr>
      </w:pPr>
      <w:r>
        <w:rPr>
          <w:rFonts w:ascii="Arial" w:hAnsi="Arial" w:cs="Arial"/>
          <w:szCs w:val="24"/>
        </w:rPr>
        <w:t xml:space="preserve">Colaciona a CJB-TC que por meio da Resolução nº 3877/05-TC, o Tribunal de Contas ratificou esse posicionamento, permitindo a incorporação das vantagens permanentes e, para as transitórias, desde que </w:t>
      </w:r>
      <w:proofErr w:type="gramStart"/>
      <w:r>
        <w:rPr>
          <w:rFonts w:ascii="Arial" w:hAnsi="Arial" w:cs="Arial"/>
          <w:szCs w:val="24"/>
        </w:rPr>
        <w:t>implementados</w:t>
      </w:r>
      <w:proofErr w:type="gramEnd"/>
      <w:r>
        <w:rPr>
          <w:rFonts w:ascii="Arial" w:hAnsi="Arial" w:cs="Arial"/>
          <w:szCs w:val="24"/>
        </w:rPr>
        <w:t xml:space="preserve"> os requisitos da lei incorporadora antes da data de entrada em vigor da EC 20/98.</w:t>
      </w:r>
    </w:p>
    <w:p w:rsidR="00FB639C" w:rsidRDefault="00FB639C" w:rsidP="00FB639C">
      <w:pPr>
        <w:rPr>
          <w:rFonts w:ascii="Arial" w:hAnsi="Arial" w:cs="Arial"/>
          <w:szCs w:val="24"/>
        </w:rPr>
      </w:pPr>
      <w:r>
        <w:rPr>
          <w:rFonts w:ascii="Arial" w:hAnsi="Arial" w:cs="Arial"/>
          <w:szCs w:val="24"/>
        </w:rPr>
        <w:lastRenderedPageBreak/>
        <w:t xml:space="preserve">Também mencionou o conteúdo da Resolução nº 12381/01, que não discrepa do posicionamento supra, em que também se firmou posicionamento no sentido de que para a incorporação da função gratificada ou cargo em comissão seria necessário aferir a </w:t>
      </w:r>
      <w:proofErr w:type="gramStart"/>
      <w:r>
        <w:rPr>
          <w:rFonts w:ascii="Arial" w:hAnsi="Arial" w:cs="Arial"/>
          <w:szCs w:val="24"/>
        </w:rPr>
        <w:t>implementação</w:t>
      </w:r>
      <w:proofErr w:type="gramEnd"/>
      <w:r>
        <w:rPr>
          <w:rFonts w:ascii="Arial" w:hAnsi="Arial" w:cs="Arial"/>
          <w:szCs w:val="24"/>
        </w:rPr>
        <w:t xml:space="preserve"> dos requisitos da legislação local e adequação desta ao ordenamento constitucional da época da implementação do tempo de serviço necessário à inativação.</w:t>
      </w:r>
    </w:p>
    <w:p w:rsidR="00FB639C" w:rsidRDefault="00FB639C" w:rsidP="00FB639C">
      <w:pPr>
        <w:rPr>
          <w:rFonts w:ascii="Arial" w:hAnsi="Arial" w:cs="Arial"/>
          <w:szCs w:val="24"/>
        </w:rPr>
      </w:pPr>
      <w:r>
        <w:rPr>
          <w:rFonts w:ascii="Arial" w:hAnsi="Arial" w:cs="Arial"/>
          <w:szCs w:val="24"/>
        </w:rPr>
        <w:t xml:space="preserve">O Parecer nº 13.714/10, da Diretoria Jurídica deste Tribunal, verificou as condições de legitimidade processual do consulente, constatando que, nos termos capitulados no art. 312, II, do Regimento Interno, o </w:t>
      </w:r>
      <w:proofErr w:type="gramStart"/>
      <w:r>
        <w:rPr>
          <w:rFonts w:ascii="Arial" w:hAnsi="Arial" w:cs="Arial"/>
          <w:szCs w:val="24"/>
        </w:rPr>
        <w:t>Sr.</w:t>
      </w:r>
      <w:proofErr w:type="gramEnd"/>
      <w:r>
        <w:rPr>
          <w:rFonts w:ascii="Arial" w:hAnsi="Arial" w:cs="Arial"/>
          <w:szCs w:val="24"/>
        </w:rPr>
        <w:t xml:space="preserve"> Prefeito Municipal é parte legítima para formulá-la.</w:t>
      </w:r>
    </w:p>
    <w:p w:rsidR="00FB639C" w:rsidRDefault="00FB639C" w:rsidP="00FB639C">
      <w:pPr>
        <w:rPr>
          <w:rFonts w:ascii="Arial" w:hAnsi="Arial" w:cs="Arial"/>
          <w:szCs w:val="24"/>
        </w:rPr>
      </w:pPr>
      <w:r>
        <w:rPr>
          <w:rFonts w:ascii="Arial" w:hAnsi="Arial" w:cs="Arial"/>
          <w:szCs w:val="24"/>
        </w:rPr>
        <w:t>O núcleo da consulta versa sobre a aplicação do art. 40, § 2º e 3º, da Constituição da República, em que, dada sua relevância, transcrevo:</w:t>
      </w:r>
    </w:p>
    <w:p w:rsidR="00FB639C" w:rsidRDefault="00FB639C" w:rsidP="00FB639C">
      <w:pPr>
        <w:ind w:left="1701"/>
        <w:rPr>
          <w:rFonts w:ascii="Arial" w:hAnsi="Arial" w:cs="Arial"/>
          <w:szCs w:val="24"/>
        </w:rPr>
      </w:pPr>
      <w:r>
        <w:rPr>
          <w:rFonts w:ascii="Arial" w:hAnsi="Arial" w:cs="Arial"/>
          <w:szCs w:val="24"/>
        </w:rPr>
        <w:t xml:space="preserve">“Art. 40. Aos servidores titulares de cargos efetivos da União, dos Estados, do Distrito Federal e dos Municípios, incluídas suas autarquias e fundações, </w:t>
      </w:r>
      <w:proofErr w:type="gramStart"/>
      <w:r>
        <w:rPr>
          <w:rFonts w:ascii="Arial" w:hAnsi="Arial" w:cs="Arial"/>
          <w:szCs w:val="24"/>
        </w:rPr>
        <w:t xml:space="preserve">é </w:t>
      </w:r>
      <w:r>
        <w:rPr>
          <w:rFonts w:ascii="Arial" w:hAnsi="Arial" w:cs="Arial"/>
          <w:b/>
          <w:szCs w:val="24"/>
        </w:rPr>
        <w:t>assegurado</w:t>
      </w:r>
      <w:proofErr w:type="gramEnd"/>
      <w:r>
        <w:rPr>
          <w:rFonts w:ascii="Arial" w:hAnsi="Arial" w:cs="Arial"/>
          <w:b/>
          <w:szCs w:val="24"/>
        </w:rPr>
        <w:t xml:space="preserve"> o regime de previdência de caráter contributivo e solidário</w:t>
      </w:r>
      <w:r>
        <w:rPr>
          <w:rFonts w:ascii="Arial" w:hAnsi="Arial" w:cs="Arial"/>
          <w:szCs w:val="24"/>
        </w:rPr>
        <w:t>, mediante contribuição do respectivo ente público, dos servidores ativos e inativos e dos pensionistas, observados critérios que preservem o equilíbrio financeiro e atuarial disposto neste artigo. Grifo meu.</w:t>
      </w:r>
    </w:p>
    <w:p w:rsidR="00FB639C" w:rsidRDefault="00FB639C" w:rsidP="00FB639C">
      <w:pPr>
        <w:ind w:left="1701"/>
        <w:rPr>
          <w:rFonts w:ascii="Arial" w:hAnsi="Arial" w:cs="Arial"/>
          <w:szCs w:val="24"/>
        </w:rPr>
      </w:pPr>
      <w:r>
        <w:rPr>
          <w:rFonts w:ascii="Arial" w:hAnsi="Arial" w:cs="Arial"/>
          <w:szCs w:val="24"/>
        </w:rPr>
        <w:t xml:space="preserve">§ 1º. </w:t>
      </w:r>
      <w:proofErr w:type="spellStart"/>
      <w:r>
        <w:rPr>
          <w:rFonts w:ascii="Arial" w:hAnsi="Arial" w:cs="Arial"/>
          <w:szCs w:val="24"/>
        </w:rPr>
        <w:t>Omissis</w:t>
      </w:r>
      <w:proofErr w:type="spellEnd"/>
      <w:r>
        <w:rPr>
          <w:rFonts w:ascii="Arial" w:hAnsi="Arial" w:cs="Arial"/>
          <w:szCs w:val="24"/>
        </w:rPr>
        <w:t>.</w:t>
      </w:r>
    </w:p>
    <w:p w:rsidR="00FB639C" w:rsidRDefault="00FB639C" w:rsidP="00FB639C">
      <w:pPr>
        <w:ind w:left="1701"/>
        <w:rPr>
          <w:rFonts w:ascii="Arial" w:hAnsi="Arial" w:cs="Arial"/>
          <w:szCs w:val="24"/>
        </w:rPr>
      </w:pPr>
      <w:r>
        <w:rPr>
          <w:rFonts w:ascii="Arial" w:hAnsi="Arial" w:cs="Arial"/>
          <w:szCs w:val="24"/>
        </w:rPr>
        <w:t>§ 2º. Os proventos de aposentadoria e as pensões, por ocasião de sua concessão, não poderão exceder a remuneração do respectivo servidor, no cargo efetivo em que se deu a aposentadoria ou que serviu de referência para a concessão da pensão. Grifo meu.</w:t>
      </w:r>
    </w:p>
    <w:p w:rsidR="00FB639C" w:rsidRDefault="00FB639C" w:rsidP="00FB639C">
      <w:pPr>
        <w:ind w:left="1701"/>
        <w:rPr>
          <w:rFonts w:ascii="Arial" w:hAnsi="Arial" w:cs="Arial"/>
          <w:szCs w:val="24"/>
        </w:rPr>
      </w:pPr>
      <w:r>
        <w:rPr>
          <w:rFonts w:ascii="Arial" w:hAnsi="Arial" w:cs="Arial"/>
          <w:szCs w:val="24"/>
        </w:rPr>
        <w:t xml:space="preserve">§ 3º. </w:t>
      </w:r>
      <w:proofErr w:type="gramStart"/>
      <w:r>
        <w:rPr>
          <w:rFonts w:ascii="Arial" w:hAnsi="Arial" w:cs="Arial"/>
          <w:szCs w:val="24"/>
        </w:rPr>
        <w:t>Para o cálculo dos proventos de aposentadoria, por ocasião de sua concessão, serão consideradas as remunerações utilizadas como base para as contribuições do servidor aos regimes de previdência de que tratam este artigo e o art. 201, na forma da lei”</w:t>
      </w:r>
      <w:proofErr w:type="gramEnd"/>
      <w:r>
        <w:rPr>
          <w:rFonts w:ascii="Arial" w:hAnsi="Arial" w:cs="Arial"/>
          <w:szCs w:val="24"/>
        </w:rPr>
        <w:t>. Grifo meu.</w:t>
      </w:r>
    </w:p>
    <w:p w:rsidR="00FB639C" w:rsidRDefault="00FB639C" w:rsidP="00FB639C">
      <w:pPr>
        <w:ind w:left="1701"/>
        <w:rPr>
          <w:rFonts w:ascii="Arial" w:hAnsi="Arial" w:cs="Arial"/>
          <w:szCs w:val="24"/>
        </w:rPr>
      </w:pPr>
    </w:p>
    <w:p w:rsidR="00FB639C" w:rsidRDefault="00FB639C" w:rsidP="00FB639C">
      <w:pPr>
        <w:rPr>
          <w:rFonts w:ascii="Arial" w:hAnsi="Arial" w:cs="Arial"/>
          <w:szCs w:val="24"/>
        </w:rPr>
      </w:pPr>
      <w:r>
        <w:rPr>
          <w:rFonts w:ascii="Arial" w:hAnsi="Arial" w:cs="Arial"/>
          <w:szCs w:val="24"/>
        </w:rPr>
        <w:lastRenderedPageBreak/>
        <w:t xml:space="preserve">A Diretoria Jurídica também informa que por meio da Emenda Constitucional nº 41/03, regulamentada por meio da Lei nº 10.887/2004, foi modificada a forma de cálculo dos proventos, passando a considerar-se a média de 80% das maiores remunerações utilizadas como base para as contribuições do servidor aos </w:t>
      </w:r>
      <w:proofErr w:type="gramStart"/>
      <w:r>
        <w:rPr>
          <w:rFonts w:ascii="Arial" w:hAnsi="Arial" w:cs="Arial"/>
          <w:szCs w:val="24"/>
        </w:rPr>
        <w:t>regimes de previdência a que esteja vinculado</w:t>
      </w:r>
      <w:proofErr w:type="gramEnd"/>
      <w:r>
        <w:rPr>
          <w:rFonts w:ascii="Arial" w:hAnsi="Arial" w:cs="Arial"/>
          <w:szCs w:val="24"/>
        </w:rPr>
        <w:t>.</w:t>
      </w:r>
    </w:p>
    <w:p w:rsidR="00FB639C" w:rsidRDefault="00FB639C" w:rsidP="00FB639C">
      <w:pPr>
        <w:rPr>
          <w:rFonts w:ascii="Arial" w:hAnsi="Arial" w:cs="Arial"/>
          <w:szCs w:val="24"/>
        </w:rPr>
      </w:pPr>
      <w:r>
        <w:rPr>
          <w:rFonts w:ascii="Arial" w:hAnsi="Arial" w:cs="Arial"/>
          <w:szCs w:val="24"/>
        </w:rPr>
        <w:t>Observou que o art. 4º, § 1º, da Lei nº 10.887/2004, definiu como base de contribuição o vencimento do cargo efetivo, acrescido das vantagens pecuniárias permanentes estabelecidas em lei, os adicionais de caráter individual ou quaisquer outras vantagens, excluindo as percebidas em decorrência do exercício de cargo em comissão ou de função de confiança.</w:t>
      </w:r>
    </w:p>
    <w:p w:rsidR="00FB639C" w:rsidRDefault="00FB639C" w:rsidP="00FB639C">
      <w:pPr>
        <w:rPr>
          <w:rFonts w:ascii="Arial" w:hAnsi="Arial" w:cs="Arial"/>
          <w:szCs w:val="24"/>
        </w:rPr>
      </w:pPr>
      <w:r>
        <w:rPr>
          <w:rFonts w:ascii="Arial" w:hAnsi="Arial" w:cs="Arial"/>
          <w:szCs w:val="24"/>
        </w:rPr>
        <w:t xml:space="preserve"> Fez, no entanto menção à possibilidade de incorporação de parcelas recebidas em decorrência de local de trabalho, exercício de cargo em comissão ou de função de confiança, se respeitada </w:t>
      </w:r>
      <w:proofErr w:type="gramStart"/>
      <w:r>
        <w:rPr>
          <w:rFonts w:ascii="Arial" w:hAnsi="Arial" w:cs="Arial"/>
          <w:szCs w:val="24"/>
        </w:rPr>
        <w:t>a</w:t>
      </w:r>
      <w:proofErr w:type="gramEnd"/>
      <w:r>
        <w:rPr>
          <w:rFonts w:ascii="Arial" w:hAnsi="Arial" w:cs="Arial"/>
          <w:szCs w:val="24"/>
        </w:rPr>
        <w:t xml:space="preserve"> limitação estabelecida no art. 40, § 2º, da Constituição.</w:t>
      </w:r>
    </w:p>
    <w:p w:rsidR="00FB639C" w:rsidRDefault="00FB639C" w:rsidP="00FB639C">
      <w:pPr>
        <w:rPr>
          <w:rFonts w:ascii="Arial" w:hAnsi="Arial" w:cs="Arial"/>
          <w:szCs w:val="24"/>
        </w:rPr>
      </w:pPr>
      <w:r>
        <w:rPr>
          <w:rFonts w:ascii="Arial" w:hAnsi="Arial" w:cs="Arial"/>
          <w:szCs w:val="24"/>
        </w:rPr>
        <w:t>A Secretaria de Políticas de Previdência Social, por meio na Normativa MPS/SPS nº 02/2009, em seu art. 29, considera legal a incorporação de parcelas pagas em decorrência do local de trabalho, função de confiança ou cargo em comissão ou de outras parcelas temporárias de remuneração, mediante opção expressa do servidor.</w:t>
      </w:r>
    </w:p>
    <w:p w:rsidR="00FB639C" w:rsidRDefault="00FB639C" w:rsidP="00FB639C">
      <w:pPr>
        <w:rPr>
          <w:rFonts w:ascii="Arial" w:hAnsi="Arial" w:cs="Arial"/>
          <w:szCs w:val="24"/>
        </w:rPr>
      </w:pPr>
      <w:r>
        <w:rPr>
          <w:rFonts w:ascii="Arial" w:hAnsi="Arial" w:cs="Arial"/>
          <w:szCs w:val="24"/>
        </w:rPr>
        <w:t>Também mencionou a Diretoria Jurídica que o STF, por meio do Agravo de Instrumento nº 710.361-</w:t>
      </w:r>
      <w:proofErr w:type="gramStart"/>
      <w:r>
        <w:rPr>
          <w:rFonts w:ascii="Arial" w:hAnsi="Arial" w:cs="Arial"/>
          <w:szCs w:val="24"/>
        </w:rPr>
        <w:t>AgR</w:t>
      </w:r>
      <w:proofErr w:type="gramEnd"/>
      <w:r>
        <w:rPr>
          <w:rFonts w:ascii="Arial" w:hAnsi="Arial" w:cs="Arial"/>
          <w:szCs w:val="24"/>
        </w:rPr>
        <w:t>, Rel. Ministra Carmen Lúcia, 1ª Turma, julgado em 07/04/2009, DJE de 08/05/2009, posicionou-se no sentido se as parcelas transitórias serviram de base para a incidência da contribuição previdenciária, elas devem ser incorporadas aos proventos.</w:t>
      </w:r>
    </w:p>
    <w:p w:rsidR="00FB639C" w:rsidRDefault="00FB639C" w:rsidP="00FB639C">
      <w:pPr>
        <w:rPr>
          <w:rFonts w:ascii="Arial" w:hAnsi="Arial" w:cs="Arial"/>
          <w:szCs w:val="24"/>
        </w:rPr>
      </w:pPr>
      <w:r>
        <w:rPr>
          <w:rFonts w:ascii="Arial" w:hAnsi="Arial" w:cs="Arial"/>
          <w:szCs w:val="24"/>
        </w:rPr>
        <w:t>Menciona a Diretoria Jurídica deste Tribunal que a partir da EC 41/2003, foi implantado o sistema de caráter contributivo e que a percepção da gratificação de função por somente 05 anos feriria o princípio da economicidade e razoabilidade e fragilizaria o sistema de previdência.</w:t>
      </w:r>
    </w:p>
    <w:p w:rsidR="00FB639C" w:rsidRDefault="00FB639C" w:rsidP="00FB639C">
      <w:pPr>
        <w:rPr>
          <w:rFonts w:ascii="Arial" w:hAnsi="Arial" w:cs="Arial"/>
          <w:szCs w:val="24"/>
        </w:rPr>
      </w:pPr>
      <w:r>
        <w:rPr>
          <w:rFonts w:ascii="Arial" w:hAnsi="Arial" w:cs="Arial"/>
          <w:szCs w:val="24"/>
        </w:rPr>
        <w:t xml:space="preserve">Concluiu a Diretoria Jurídica no Parecer nº 13.714/10: </w:t>
      </w:r>
    </w:p>
    <w:p w:rsidR="00FB639C" w:rsidRDefault="00FB639C" w:rsidP="00FB639C">
      <w:pPr>
        <w:numPr>
          <w:ilvl w:val="0"/>
          <w:numId w:val="2"/>
        </w:numPr>
        <w:spacing w:before="0" w:after="0"/>
        <w:rPr>
          <w:rFonts w:ascii="Arial" w:hAnsi="Arial" w:cs="Arial"/>
          <w:szCs w:val="24"/>
        </w:rPr>
      </w:pPr>
      <w:proofErr w:type="gramStart"/>
      <w:r>
        <w:rPr>
          <w:rFonts w:ascii="Arial" w:hAnsi="Arial" w:cs="Arial"/>
          <w:szCs w:val="24"/>
        </w:rPr>
        <w:t>pela</w:t>
      </w:r>
      <w:proofErr w:type="gramEnd"/>
      <w:r>
        <w:rPr>
          <w:rFonts w:ascii="Arial" w:hAnsi="Arial" w:cs="Arial"/>
          <w:szCs w:val="24"/>
        </w:rPr>
        <w:t xml:space="preserve"> possibilidade de incorporação das gratificações de caráter transitório, desde que implementados os requisitos da lei incorporadora antes da data de entrada em vigor da Emenda Constitucional nº 20/98 e Resolução nº 3877/05; </w:t>
      </w:r>
    </w:p>
    <w:p w:rsidR="00FB639C" w:rsidRDefault="00FB639C" w:rsidP="00FB639C">
      <w:pPr>
        <w:rPr>
          <w:rFonts w:ascii="Arial" w:hAnsi="Arial" w:cs="Arial"/>
          <w:szCs w:val="24"/>
        </w:rPr>
      </w:pPr>
    </w:p>
    <w:p w:rsidR="00FB639C" w:rsidRDefault="00FB639C" w:rsidP="00FB639C">
      <w:pPr>
        <w:numPr>
          <w:ilvl w:val="0"/>
          <w:numId w:val="2"/>
        </w:numPr>
        <w:spacing w:before="0" w:after="0"/>
        <w:rPr>
          <w:rFonts w:ascii="Arial" w:hAnsi="Arial" w:cs="Arial"/>
          <w:szCs w:val="24"/>
        </w:rPr>
      </w:pPr>
      <w:proofErr w:type="gramStart"/>
      <w:r>
        <w:rPr>
          <w:rFonts w:ascii="Arial" w:hAnsi="Arial" w:cs="Arial"/>
          <w:szCs w:val="24"/>
        </w:rPr>
        <w:t>que</w:t>
      </w:r>
      <w:proofErr w:type="gramEnd"/>
      <w:r>
        <w:rPr>
          <w:rFonts w:ascii="Arial" w:hAnsi="Arial" w:cs="Arial"/>
          <w:szCs w:val="24"/>
        </w:rPr>
        <w:t xml:space="preserve"> a partir da entrada em vigor da Emenda Constitucional nº 41/03, é possível a incorporação dos proventos de parcelas pagas em decorrência do local de trabalho, de função de confiança, de cargo em comissão, ou de outras vantagens temporárias, desde que haja a opção expressa do servidor e previsão legal;</w:t>
      </w:r>
    </w:p>
    <w:p w:rsidR="00FB639C" w:rsidRDefault="00FB639C" w:rsidP="00FB639C">
      <w:pPr>
        <w:pStyle w:val="PargrafodaLista"/>
        <w:rPr>
          <w:rFonts w:ascii="Arial" w:hAnsi="Arial" w:cs="Arial"/>
          <w:sz w:val="24"/>
          <w:szCs w:val="24"/>
        </w:rPr>
      </w:pPr>
    </w:p>
    <w:p w:rsidR="00FB639C" w:rsidRDefault="00FB639C" w:rsidP="00FB639C">
      <w:pPr>
        <w:numPr>
          <w:ilvl w:val="0"/>
          <w:numId w:val="2"/>
        </w:numPr>
        <w:spacing w:before="0" w:after="0"/>
        <w:rPr>
          <w:rFonts w:ascii="Arial" w:hAnsi="Arial" w:cs="Arial"/>
          <w:szCs w:val="24"/>
        </w:rPr>
      </w:pPr>
      <w:proofErr w:type="gramStart"/>
      <w:r>
        <w:rPr>
          <w:rFonts w:ascii="Arial" w:hAnsi="Arial" w:cs="Arial"/>
          <w:szCs w:val="24"/>
        </w:rPr>
        <w:t>que</w:t>
      </w:r>
      <w:proofErr w:type="gramEnd"/>
      <w:r>
        <w:rPr>
          <w:rFonts w:ascii="Arial" w:hAnsi="Arial" w:cs="Arial"/>
          <w:szCs w:val="24"/>
        </w:rPr>
        <w:t xml:space="preserve"> em atendimento ao princípio contributivo do sistema previdenciário, a legislação municipal deveria ser adequada para que fosse considerada a proporcionalidade na incorporação das gratificações aos proventos.</w:t>
      </w:r>
    </w:p>
    <w:p w:rsidR="00FB639C" w:rsidRDefault="00FB639C" w:rsidP="00FB639C">
      <w:pPr>
        <w:rPr>
          <w:rFonts w:ascii="Arial" w:hAnsi="Arial" w:cs="Arial"/>
          <w:szCs w:val="24"/>
        </w:rPr>
      </w:pPr>
    </w:p>
    <w:p w:rsidR="00FB639C" w:rsidRDefault="00FB639C" w:rsidP="00FB639C">
      <w:pPr>
        <w:rPr>
          <w:rFonts w:ascii="Arial" w:hAnsi="Arial" w:cs="Arial"/>
          <w:szCs w:val="24"/>
        </w:rPr>
      </w:pPr>
      <w:r>
        <w:rPr>
          <w:rFonts w:ascii="Arial" w:hAnsi="Arial" w:cs="Arial"/>
          <w:szCs w:val="24"/>
        </w:rPr>
        <w:t>O Ministério Público de Contas, por meio de Parecer nº 13.194/12, de 21/08/2012, após opor obstáculos de natureza processual quanto à impossibilidade do Tribunal atuar consultivamente e que a consulta estaria vedada pelo contido no art. 313, § 4º, do Regimento Interno</w:t>
      </w:r>
      <w:r>
        <w:rPr>
          <w:rStyle w:val="Refdenotaderodap"/>
          <w:rFonts w:ascii="Arial" w:hAnsi="Arial" w:cs="Arial"/>
          <w:szCs w:val="24"/>
        </w:rPr>
        <w:footnoteReference w:id="1"/>
      </w:r>
      <w:r>
        <w:rPr>
          <w:rFonts w:ascii="Arial" w:hAnsi="Arial" w:cs="Arial"/>
          <w:szCs w:val="24"/>
        </w:rPr>
        <w:t xml:space="preserve">, informou que por meio dos Acórdãos </w:t>
      </w:r>
      <w:proofErr w:type="spellStart"/>
      <w:r>
        <w:rPr>
          <w:rFonts w:ascii="Arial" w:hAnsi="Arial" w:cs="Arial"/>
          <w:szCs w:val="24"/>
        </w:rPr>
        <w:t>nºs</w:t>
      </w:r>
      <w:proofErr w:type="spellEnd"/>
      <w:r>
        <w:rPr>
          <w:rFonts w:ascii="Arial" w:hAnsi="Arial" w:cs="Arial"/>
          <w:szCs w:val="24"/>
        </w:rPr>
        <w:t xml:space="preserve"> 1966/06 (protocolo nº 425000/06) e 475/12 (protocolo nº 644900/10) já havia se pronunciado sobre o tema consultado, inclusive com caráter normativo, concluindo que com a alteração provocada pela Emenda Constitucional nº 41/03, que alterou o art. 40, § 3º, da Constituição, não é mais possível </w:t>
      </w:r>
      <w:proofErr w:type="gramStart"/>
      <w:r>
        <w:rPr>
          <w:rFonts w:ascii="Arial" w:hAnsi="Arial" w:cs="Arial"/>
          <w:szCs w:val="24"/>
        </w:rPr>
        <w:t>a</w:t>
      </w:r>
      <w:proofErr w:type="gramEnd"/>
      <w:r>
        <w:rPr>
          <w:rFonts w:ascii="Arial" w:hAnsi="Arial" w:cs="Arial"/>
          <w:szCs w:val="24"/>
        </w:rPr>
        <w:t xml:space="preserve"> incorporação de gratificações transitórias como as colacionadas pelo consulente e que a assessoria jurídica do município está correta ao apontar a sucessão normativa e sua adequação à jurisprudência do Supremo Tribunal Federal.</w:t>
      </w:r>
    </w:p>
    <w:p w:rsidR="00FB639C" w:rsidRDefault="00FB639C" w:rsidP="00FB639C">
      <w:pPr>
        <w:rPr>
          <w:rFonts w:ascii="Arial" w:hAnsi="Arial" w:cs="Arial"/>
          <w:szCs w:val="24"/>
        </w:rPr>
      </w:pPr>
      <w:r>
        <w:rPr>
          <w:rFonts w:ascii="Arial" w:hAnsi="Arial" w:cs="Arial"/>
          <w:szCs w:val="24"/>
        </w:rPr>
        <w:t xml:space="preserve">Conclui assim o Ministério Público que a lei municipal deve atender às Emendas Constitucionais 20/98 e 41/03, destacando-se que por </w:t>
      </w:r>
      <w:proofErr w:type="gramStart"/>
      <w:r>
        <w:rPr>
          <w:rFonts w:ascii="Arial" w:hAnsi="Arial" w:cs="Arial"/>
          <w:szCs w:val="24"/>
        </w:rPr>
        <w:t>esta (EC 41/03) e pela regulamentação feita pela Lei nº</w:t>
      </w:r>
      <w:proofErr w:type="gramEnd"/>
      <w:r>
        <w:rPr>
          <w:rFonts w:ascii="Arial" w:hAnsi="Arial" w:cs="Arial"/>
          <w:szCs w:val="24"/>
        </w:rPr>
        <w:t xml:space="preserve"> 10.887/2004, é possível a inclusão de parcelas transitórias, desde que o servidor opte por essa inclusão e sobre elas incida a contribuição previdenciária, com observância, porém, do teto de remuneração do servidor efetivo constante do art. 40, § 2º e 3º, da Constituição.</w:t>
      </w:r>
    </w:p>
    <w:p w:rsidR="00FB639C" w:rsidRDefault="00FB639C" w:rsidP="00FB639C">
      <w:pPr>
        <w:rPr>
          <w:rFonts w:ascii="Arial" w:hAnsi="Arial" w:cs="Arial"/>
          <w:szCs w:val="24"/>
        </w:rPr>
      </w:pPr>
      <w:r>
        <w:rPr>
          <w:rFonts w:ascii="Arial" w:hAnsi="Arial" w:cs="Arial"/>
          <w:szCs w:val="24"/>
        </w:rPr>
        <w:lastRenderedPageBreak/>
        <w:t>Optou o Ministério Público de Contas pela extinção do processo sem resolução do mérito, em razão da ausência dos requisitos processuais para formulá-la e que, caso o Plenário não acolhesse a preliminar, firmou seu entendimento nos termos acima delineados.</w:t>
      </w:r>
    </w:p>
    <w:p w:rsidR="00FB639C" w:rsidRDefault="00FB639C" w:rsidP="00FB639C">
      <w:pPr>
        <w:ind w:firstLine="709"/>
        <w:rPr>
          <w:rFonts w:ascii="Arial" w:hAnsi="Arial" w:cs="Arial"/>
          <w:szCs w:val="24"/>
        </w:rPr>
      </w:pPr>
    </w:p>
    <w:p w:rsidR="00FB639C" w:rsidRDefault="00FB639C" w:rsidP="00FB639C">
      <w:pPr>
        <w:numPr>
          <w:ilvl w:val="0"/>
          <w:numId w:val="1"/>
        </w:numPr>
        <w:spacing w:before="0" w:after="0"/>
        <w:ind w:left="426" w:hanging="426"/>
        <w:rPr>
          <w:rFonts w:ascii="Arial" w:hAnsi="Arial" w:cs="Arial"/>
          <w:b/>
          <w:szCs w:val="24"/>
        </w:rPr>
      </w:pPr>
      <w:r>
        <w:rPr>
          <w:rFonts w:ascii="Arial" w:hAnsi="Arial" w:cs="Arial"/>
          <w:b/>
          <w:szCs w:val="24"/>
        </w:rPr>
        <w:t xml:space="preserve">VOTO </w:t>
      </w:r>
    </w:p>
    <w:p w:rsidR="00FB639C" w:rsidRDefault="00FB639C" w:rsidP="00FB639C">
      <w:pPr>
        <w:rPr>
          <w:rFonts w:ascii="Arial" w:hAnsi="Arial" w:cs="Arial"/>
          <w:szCs w:val="24"/>
        </w:rPr>
      </w:pPr>
      <w:r>
        <w:rPr>
          <w:rFonts w:ascii="Arial" w:hAnsi="Arial" w:cs="Arial"/>
          <w:szCs w:val="24"/>
        </w:rPr>
        <w:t xml:space="preserve">Entendo que a consulta coloca de forma objetiva o que o </w:t>
      </w:r>
      <w:proofErr w:type="gramStart"/>
      <w:r>
        <w:rPr>
          <w:rFonts w:ascii="Arial" w:hAnsi="Arial" w:cs="Arial"/>
          <w:szCs w:val="24"/>
        </w:rPr>
        <w:t>Sr.</w:t>
      </w:r>
      <w:proofErr w:type="gramEnd"/>
      <w:r>
        <w:rPr>
          <w:rFonts w:ascii="Arial" w:hAnsi="Arial" w:cs="Arial"/>
          <w:szCs w:val="24"/>
        </w:rPr>
        <w:t xml:space="preserve"> Prefeito Municipal (consulente) pretende: verificar se a legislação municipal padece de inconstitucionalidade e, diante da inexistência nesta Casa de um padrão objetivo de quesitos que o consulente deve observar, entendo que a formalidade excessiva não pode obstar o conhecimento de matérias de alto impacto na administração e nas finanças municipais.</w:t>
      </w:r>
    </w:p>
    <w:p w:rsidR="00FB639C" w:rsidRDefault="00FB639C" w:rsidP="00FB639C">
      <w:pPr>
        <w:rPr>
          <w:rFonts w:ascii="Arial" w:hAnsi="Arial" w:cs="Arial"/>
          <w:szCs w:val="24"/>
        </w:rPr>
      </w:pPr>
      <w:r>
        <w:rPr>
          <w:rFonts w:ascii="Arial" w:hAnsi="Arial" w:cs="Arial"/>
          <w:szCs w:val="24"/>
        </w:rPr>
        <w:t>Quanto à questão da vedação da consulta sobre caso concreto, a resposta à consulta aqui dada não está vinculada ao servidor que a formulou perante a municipalidade, mas a todos os casos semelhantes, conforme destacou o digníssimo Procurador do Município em determinar inúmeras providências administrativas para que a situação real existente no Município se adeque à conclusão do Supremo Tribunal Federal e deste Tribunal de Contas.</w:t>
      </w:r>
    </w:p>
    <w:p w:rsidR="00FB639C" w:rsidRDefault="00FB639C" w:rsidP="00FB639C">
      <w:pPr>
        <w:rPr>
          <w:rFonts w:ascii="Arial" w:hAnsi="Arial" w:cs="Arial"/>
          <w:szCs w:val="24"/>
        </w:rPr>
      </w:pPr>
      <w:r>
        <w:rPr>
          <w:rFonts w:ascii="Arial" w:hAnsi="Arial" w:cs="Arial"/>
          <w:szCs w:val="24"/>
        </w:rPr>
        <w:t>Dessa forma, entendo que a preliminar há de ser superada, pois cabe a este Tribunal fazer uma interpretação mais aberta no que concerne à objetividade dos quesitos da consulta e deve verificar se sua resposta poderá contribuir de forma decisiva para inúmeros outros casos na municipalidade. Entendo que essas hipóteses estão presentes na consulta, razão pela qual dou por superada a preliminar e conheço da consulta.</w:t>
      </w:r>
    </w:p>
    <w:p w:rsidR="00FB639C" w:rsidRDefault="00FB639C" w:rsidP="00FB639C">
      <w:pPr>
        <w:rPr>
          <w:rFonts w:ascii="Arial" w:hAnsi="Arial" w:cs="Arial"/>
          <w:szCs w:val="24"/>
        </w:rPr>
      </w:pPr>
      <w:r>
        <w:rPr>
          <w:rFonts w:ascii="Arial" w:hAnsi="Arial" w:cs="Arial"/>
          <w:szCs w:val="24"/>
        </w:rPr>
        <w:t xml:space="preserve">O aspecto principal trazido pelas Emendas Constitucionais 20/98 e 41/03 foi o caráter contributivo e solidário do sistema previdenciário, em que se objetiva um equilíbrio entre prestações (aportes de contribuição </w:t>
      </w:r>
      <w:proofErr w:type="gramStart"/>
      <w:r>
        <w:rPr>
          <w:rFonts w:ascii="Arial" w:hAnsi="Arial" w:cs="Arial"/>
          <w:szCs w:val="24"/>
        </w:rPr>
        <w:t>previdenciária realizados pelo servidor e pelo ente público</w:t>
      </w:r>
      <w:proofErr w:type="gramEnd"/>
      <w:r>
        <w:rPr>
          <w:rFonts w:ascii="Arial" w:hAnsi="Arial" w:cs="Arial"/>
          <w:szCs w:val="24"/>
        </w:rPr>
        <w:t>) e contraprestações (pagamento das aposentadorias pelo ente previdenciário aos servidores quando da implementação das condições de aposentação).</w:t>
      </w:r>
    </w:p>
    <w:p w:rsidR="00FB639C" w:rsidRDefault="00FB639C" w:rsidP="00FB639C">
      <w:pPr>
        <w:rPr>
          <w:rFonts w:ascii="Arial" w:hAnsi="Arial" w:cs="Arial"/>
          <w:szCs w:val="24"/>
        </w:rPr>
      </w:pPr>
      <w:r>
        <w:rPr>
          <w:rFonts w:ascii="Arial" w:hAnsi="Arial" w:cs="Arial"/>
          <w:szCs w:val="24"/>
        </w:rPr>
        <w:t xml:space="preserve">Quando esse equilíbrio está ausente e não há um bom regime atuarial, os sistemas previdenciários apresentam déficits que demandam o </w:t>
      </w:r>
      <w:r>
        <w:rPr>
          <w:rFonts w:ascii="Arial" w:hAnsi="Arial" w:cs="Arial"/>
          <w:szCs w:val="24"/>
        </w:rPr>
        <w:lastRenderedPageBreak/>
        <w:t xml:space="preserve">aporte de recursos do Tesouro para que o sistema não </w:t>
      </w:r>
      <w:proofErr w:type="gramStart"/>
      <w:r>
        <w:rPr>
          <w:rFonts w:ascii="Arial" w:hAnsi="Arial" w:cs="Arial"/>
          <w:szCs w:val="24"/>
        </w:rPr>
        <w:t>quebre,</w:t>
      </w:r>
      <w:proofErr w:type="gramEnd"/>
      <w:r>
        <w:rPr>
          <w:rFonts w:ascii="Arial" w:hAnsi="Arial" w:cs="Arial"/>
          <w:szCs w:val="24"/>
        </w:rPr>
        <w:t xml:space="preserve"> situação esta que não se coaduna com as exigências constitucionais e com o equilíbrio das contas públicas.</w:t>
      </w:r>
    </w:p>
    <w:p w:rsidR="00FB639C" w:rsidRDefault="00FB639C" w:rsidP="00FB639C">
      <w:pPr>
        <w:rPr>
          <w:rFonts w:ascii="Arial" w:hAnsi="Arial" w:cs="Arial"/>
          <w:szCs w:val="24"/>
        </w:rPr>
      </w:pPr>
      <w:r>
        <w:rPr>
          <w:rFonts w:ascii="Arial" w:hAnsi="Arial" w:cs="Arial"/>
          <w:szCs w:val="24"/>
        </w:rPr>
        <w:t xml:space="preserve">Por outro lado, não é possível que incida a contribuição previdenciária sobre a gratificação de função e parcelas transitórias sem uma contraprestação (beneficio previdenciário) do ente público, pois tal situação implicaria em enriquecimento ilícito da administração pública </w:t>
      </w:r>
      <w:proofErr w:type="gramStart"/>
      <w:r>
        <w:rPr>
          <w:rFonts w:ascii="Arial" w:hAnsi="Arial" w:cs="Arial"/>
          <w:szCs w:val="24"/>
        </w:rPr>
        <w:t>às custas</w:t>
      </w:r>
      <w:proofErr w:type="gramEnd"/>
      <w:r>
        <w:rPr>
          <w:rFonts w:ascii="Arial" w:hAnsi="Arial" w:cs="Arial"/>
          <w:szCs w:val="24"/>
        </w:rPr>
        <w:t xml:space="preserve"> do servidor (inteligência do art. 884, do Código Civil), que não devolveria esses recursos na forma de proventos.</w:t>
      </w:r>
    </w:p>
    <w:p w:rsidR="00FB639C" w:rsidRDefault="00FB639C" w:rsidP="00FB639C">
      <w:pPr>
        <w:rPr>
          <w:rFonts w:ascii="Arial" w:hAnsi="Arial" w:cs="Arial"/>
          <w:szCs w:val="24"/>
        </w:rPr>
      </w:pPr>
      <w:r>
        <w:rPr>
          <w:rFonts w:ascii="Arial" w:hAnsi="Arial" w:cs="Arial"/>
          <w:szCs w:val="24"/>
        </w:rPr>
        <w:t xml:space="preserve">Dessa forma, acompanho o Parecer do Ministério Público de Contas e da Diretoria Jurídica deste Tribunal, respondendo objetivamente que com a alteração provocada pelas Emendas Constitucionais </w:t>
      </w:r>
      <w:proofErr w:type="spellStart"/>
      <w:r>
        <w:rPr>
          <w:rFonts w:ascii="Arial" w:hAnsi="Arial" w:cs="Arial"/>
          <w:szCs w:val="24"/>
        </w:rPr>
        <w:t>nºs</w:t>
      </w:r>
      <w:proofErr w:type="spellEnd"/>
      <w:r>
        <w:rPr>
          <w:rFonts w:ascii="Arial" w:hAnsi="Arial" w:cs="Arial"/>
          <w:szCs w:val="24"/>
        </w:rPr>
        <w:t xml:space="preserve"> 20/98 e 41/03, que alterou o art. 40, § 2º e 3º, da Constituição, não é mais possível a incorporação de gratificações transitórias, nas condições colacionadas pelo consulente (ausência de incidência de contribuição previdenciária sobre as gratificações pagas) e que a legislação municipal não se coaduna com a Constituição da República, sendo procedentes as cautelas e determinações do digníssimo Procurador do Município de </w:t>
      </w:r>
      <w:proofErr w:type="spellStart"/>
      <w:r>
        <w:rPr>
          <w:rFonts w:ascii="Arial" w:hAnsi="Arial" w:cs="Arial"/>
          <w:szCs w:val="24"/>
        </w:rPr>
        <w:t>Sabáudia</w:t>
      </w:r>
      <w:proofErr w:type="spellEnd"/>
      <w:r>
        <w:rPr>
          <w:rFonts w:ascii="Arial" w:hAnsi="Arial" w:cs="Arial"/>
          <w:szCs w:val="24"/>
        </w:rPr>
        <w:t xml:space="preserve"> ao apontar a sucessão normativa e a necessidade de sua adequação à jurisprudência do Supremo Tribunal Federal, carecendo efetivamente da </w:t>
      </w:r>
      <w:proofErr w:type="gramStart"/>
      <w:r>
        <w:rPr>
          <w:rFonts w:ascii="Arial" w:hAnsi="Arial" w:cs="Arial"/>
          <w:szCs w:val="24"/>
        </w:rPr>
        <w:t>implementação</w:t>
      </w:r>
      <w:proofErr w:type="gramEnd"/>
      <w:r>
        <w:rPr>
          <w:rFonts w:ascii="Arial" w:hAnsi="Arial" w:cs="Arial"/>
          <w:szCs w:val="24"/>
        </w:rPr>
        <w:t xml:space="preserve"> das recomendações por ele realizadas para que a legislação do Município não padeça de inconstitucionalidades.</w:t>
      </w:r>
    </w:p>
    <w:p w:rsidR="00FB639C" w:rsidRDefault="00FB639C" w:rsidP="00FB639C">
      <w:pPr>
        <w:rPr>
          <w:rFonts w:ascii="Arial" w:hAnsi="Arial" w:cs="Arial"/>
          <w:szCs w:val="24"/>
        </w:rPr>
      </w:pPr>
      <w:r>
        <w:rPr>
          <w:rFonts w:ascii="Arial" w:hAnsi="Arial" w:cs="Arial"/>
          <w:szCs w:val="24"/>
        </w:rPr>
        <w:t>Dessa forma, a legislação municipal deve atender às Emendas Constitucionais 20/98, 41/03 e 47/05, Lei nº 10.887/2004 e demais normas que efetivam o caráter contributivo e solidário do sistema, sendo possível a inclusão de parcelas transitórias, desde que o servidor opte por essa inclusão e sobre elas incida ou tenha incidido a contribuição previdenciária, com observância, porém, do teto de remuneração do servidor efetivo constante do art. 40, § 2º e 3º, da Constituição, mantendo-se assim o equilíbrio que um bom sistema previdenciário exige.</w:t>
      </w:r>
    </w:p>
    <w:p w:rsidR="00FB639C" w:rsidRDefault="00FB639C" w:rsidP="00FB639C">
      <w:pPr>
        <w:jc w:val="center"/>
        <w:rPr>
          <w:rFonts w:ascii="Arial" w:hAnsi="Arial" w:cs="Arial"/>
          <w:szCs w:val="24"/>
        </w:rPr>
      </w:pPr>
    </w:p>
    <w:p w:rsidR="00FB639C" w:rsidRDefault="00FB639C" w:rsidP="00FB639C">
      <w:pPr>
        <w:rPr>
          <w:rFonts w:ascii="Arial" w:hAnsi="Arial" w:cs="Arial"/>
          <w:szCs w:val="24"/>
        </w:rPr>
      </w:pPr>
      <w:r>
        <w:rPr>
          <w:rFonts w:ascii="Arial" w:hAnsi="Arial" w:cs="Arial"/>
          <w:b/>
          <w:szCs w:val="24"/>
        </w:rPr>
        <w:t xml:space="preserve">VISTOS, relatados e discutidos, </w:t>
      </w:r>
    </w:p>
    <w:p w:rsidR="00FB639C" w:rsidRDefault="00FB639C" w:rsidP="00FB639C">
      <w:pPr>
        <w:pStyle w:val="Tpico"/>
        <w:spacing w:before="360"/>
        <w:jc w:val="center"/>
        <w:rPr>
          <w:rFonts w:ascii="Arial" w:hAnsi="Arial" w:cs="Arial"/>
          <w:sz w:val="28"/>
          <w:szCs w:val="28"/>
        </w:rPr>
      </w:pPr>
      <w:r>
        <w:rPr>
          <w:rFonts w:ascii="Arial" w:hAnsi="Arial" w:cs="Arial"/>
          <w:sz w:val="28"/>
          <w:szCs w:val="28"/>
        </w:rPr>
        <w:lastRenderedPageBreak/>
        <w:t>ACORDAM</w:t>
      </w:r>
    </w:p>
    <w:p w:rsidR="00FB639C" w:rsidRDefault="00FB639C" w:rsidP="00FB639C">
      <w:pPr>
        <w:spacing w:line="240" w:lineRule="auto"/>
        <w:rPr>
          <w:rFonts w:ascii="Arial" w:hAnsi="Arial" w:cs="Arial"/>
          <w:szCs w:val="24"/>
        </w:rPr>
      </w:pPr>
    </w:p>
    <w:p w:rsidR="00FB639C" w:rsidRDefault="00FB639C" w:rsidP="00FB639C">
      <w:pPr>
        <w:spacing w:line="240" w:lineRule="auto"/>
        <w:rPr>
          <w:rFonts w:ascii="Arial" w:hAnsi="Arial" w:cs="Arial"/>
          <w:szCs w:val="24"/>
          <w:u w:val="single"/>
        </w:rPr>
      </w:pPr>
      <w:r>
        <w:rPr>
          <w:rFonts w:ascii="Arial" w:hAnsi="Arial" w:cs="Arial"/>
          <w:szCs w:val="24"/>
        </w:rPr>
        <w:t xml:space="preserve">OS MEMBROS DO TRIBUNAL PLENO do TRIBUNAL DE CONTAS DO ESTADO DO PARANÁ, nos termos do voto do Relator, Conselheiro </w:t>
      </w:r>
      <w:bookmarkStart w:id="0" w:name="TipoVotacao"/>
      <w:r>
        <w:rPr>
          <w:rFonts w:ascii="Arial" w:hAnsi="Arial" w:cs="Arial"/>
          <w:szCs w:val="24"/>
        </w:rPr>
        <w:t xml:space="preserve">HERMAS EURIDES BRANDÃO, </w:t>
      </w:r>
      <w:bookmarkEnd w:id="0"/>
      <w:r>
        <w:rPr>
          <w:rFonts w:ascii="Arial" w:hAnsi="Arial" w:cs="Arial"/>
          <w:szCs w:val="24"/>
        </w:rPr>
        <w:t>por unanimidade, em:</w:t>
      </w:r>
    </w:p>
    <w:p w:rsidR="00FB639C" w:rsidRDefault="00FB639C" w:rsidP="00FB639C">
      <w:pPr>
        <w:spacing w:before="240" w:line="240" w:lineRule="auto"/>
        <w:rPr>
          <w:rFonts w:ascii="Arial" w:hAnsi="Arial" w:cs="Arial"/>
          <w:szCs w:val="24"/>
        </w:rPr>
      </w:pPr>
      <w:r>
        <w:rPr>
          <w:rFonts w:ascii="Arial" w:hAnsi="Arial" w:cs="Arial"/>
          <w:szCs w:val="24"/>
        </w:rPr>
        <w:t xml:space="preserve">Responder </w:t>
      </w:r>
      <w:proofErr w:type="gramStart"/>
      <w:r>
        <w:rPr>
          <w:rFonts w:ascii="Arial" w:hAnsi="Arial" w:cs="Arial"/>
          <w:szCs w:val="24"/>
        </w:rPr>
        <w:t>a presente</w:t>
      </w:r>
      <w:proofErr w:type="gramEnd"/>
      <w:r>
        <w:rPr>
          <w:rFonts w:ascii="Arial" w:hAnsi="Arial" w:cs="Arial"/>
          <w:szCs w:val="24"/>
        </w:rPr>
        <w:t xml:space="preserve"> consulta nos exatos termos do voto.</w:t>
      </w:r>
    </w:p>
    <w:p w:rsidR="00FB639C" w:rsidRDefault="00FB639C" w:rsidP="00FB639C">
      <w:pPr>
        <w:spacing w:before="480" w:after="0" w:line="240" w:lineRule="auto"/>
        <w:rPr>
          <w:rFonts w:ascii="Arial" w:hAnsi="Arial" w:cs="Arial"/>
          <w:szCs w:val="24"/>
        </w:rPr>
      </w:pPr>
      <w:r>
        <w:rPr>
          <w:rFonts w:ascii="Arial" w:hAnsi="Arial" w:cs="Arial"/>
          <w:szCs w:val="24"/>
        </w:rPr>
        <w:t xml:space="preserve">Votaram, nos termos acima, os Conselheiros NESTOR BAPTISTA, </w:t>
      </w:r>
      <w:proofErr w:type="gramStart"/>
      <w:r>
        <w:rPr>
          <w:rFonts w:ascii="Arial" w:hAnsi="Arial" w:cs="Arial"/>
          <w:szCs w:val="24"/>
        </w:rPr>
        <w:t>FERNANDO AUGUSTO MELLO GUIMARÃES, CAIO</w:t>
      </w:r>
      <w:proofErr w:type="gramEnd"/>
      <w:r>
        <w:rPr>
          <w:rFonts w:ascii="Arial" w:hAnsi="Arial" w:cs="Arial"/>
          <w:szCs w:val="24"/>
        </w:rPr>
        <w:t xml:space="preserve"> MARCIO NOGUEIRA SOARES, HERMAS EURIDES BRANDÃO, IVAN LELIS BONILHA e JOSE DURVAL MATTOS DO AMARAL.</w:t>
      </w:r>
    </w:p>
    <w:p w:rsidR="00FB639C" w:rsidRDefault="00FB639C" w:rsidP="00FB639C">
      <w:pPr>
        <w:spacing w:before="0" w:after="0" w:line="240" w:lineRule="auto"/>
        <w:rPr>
          <w:rFonts w:ascii="Arial" w:hAnsi="Arial" w:cs="Arial"/>
          <w:szCs w:val="24"/>
        </w:rPr>
      </w:pPr>
      <w:r>
        <w:rPr>
          <w:rFonts w:ascii="Arial" w:hAnsi="Arial" w:cs="Arial"/>
          <w:szCs w:val="24"/>
        </w:rPr>
        <w:t>Presente o Procurador Geral do Ministério Público junto ao Tribunal de Contas, ELIZEU DE MORAES CORREA.</w:t>
      </w:r>
    </w:p>
    <w:p w:rsidR="00FB639C" w:rsidRDefault="00FB639C" w:rsidP="00FB639C">
      <w:pPr>
        <w:pStyle w:val="Assina"/>
        <w:spacing w:before="0" w:after="0"/>
        <w:ind w:firstLine="1701"/>
        <w:jc w:val="both"/>
        <w:rPr>
          <w:rFonts w:ascii="Arial" w:hAnsi="Arial" w:cs="Arial"/>
          <w:szCs w:val="24"/>
        </w:rPr>
      </w:pPr>
      <w:bookmarkStart w:id="1" w:name="PresidenteQuorum"/>
      <w:r>
        <w:rPr>
          <w:rFonts w:ascii="Arial" w:hAnsi="Arial" w:cs="Arial"/>
          <w:szCs w:val="24"/>
        </w:rPr>
        <w:t>Sala das Sessões, 21 de fevereiro de 2013 – Sessão nº 6.</w:t>
      </w:r>
    </w:p>
    <w:p w:rsidR="00FB639C" w:rsidRDefault="00FB639C" w:rsidP="00FB639C">
      <w:pPr>
        <w:pStyle w:val="Assina"/>
        <w:rPr>
          <w:rFonts w:ascii="Arial" w:hAnsi="Arial" w:cs="Arial"/>
          <w:szCs w:val="24"/>
        </w:rPr>
      </w:pPr>
    </w:p>
    <w:p w:rsidR="00FB639C" w:rsidRDefault="00FB639C" w:rsidP="00FB639C">
      <w:pPr>
        <w:pStyle w:val="Assina"/>
        <w:spacing w:before="0" w:after="0" w:line="240" w:lineRule="auto"/>
        <w:rPr>
          <w:rFonts w:ascii="Arial" w:hAnsi="Arial" w:cs="Arial"/>
          <w:szCs w:val="24"/>
        </w:rPr>
      </w:pPr>
      <w:r>
        <w:rPr>
          <w:rFonts w:ascii="Arial" w:hAnsi="Arial" w:cs="Arial"/>
          <w:szCs w:val="24"/>
        </w:rPr>
        <w:t>HERMAS EURIDES BRANDÃO</w:t>
      </w:r>
    </w:p>
    <w:p w:rsidR="00FB639C" w:rsidRDefault="00FB639C" w:rsidP="00FB639C">
      <w:pPr>
        <w:pStyle w:val="Assina"/>
        <w:spacing w:before="0" w:after="0" w:line="240" w:lineRule="auto"/>
        <w:rPr>
          <w:rFonts w:ascii="Arial" w:hAnsi="Arial" w:cs="Arial"/>
          <w:szCs w:val="24"/>
        </w:rPr>
      </w:pPr>
      <w:r>
        <w:rPr>
          <w:rFonts w:ascii="Arial" w:hAnsi="Arial" w:cs="Arial"/>
          <w:szCs w:val="24"/>
        </w:rPr>
        <w:t>Conselheiro Relator</w:t>
      </w:r>
    </w:p>
    <w:p w:rsidR="00FB639C" w:rsidRDefault="00FB639C" w:rsidP="00FB639C">
      <w:pPr>
        <w:rPr>
          <w:rFonts w:ascii="Arial" w:hAnsi="Arial" w:cs="Arial"/>
          <w:szCs w:val="24"/>
        </w:rPr>
      </w:pPr>
    </w:p>
    <w:p w:rsidR="00FB639C" w:rsidRDefault="00FB639C" w:rsidP="00FB639C">
      <w:pPr>
        <w:rPr>
          <w:rFonts w:ascii="Arial" w:hAnsi="Arial" w:cs="Arial"/>
          <w:szCs w:val="24"/>
        </w:rPr>
      </w:pPr>
    </w:p>
    <w:bookmarkEnd w:id="1"/>
    <w:p w:rsidR="00FB639C" w:rsidRDefault="00FB639C" w:rsidP="00FB639C">
      <w:pPr>
        <w:pStyle w:val="Assina"/>
        <w:spacing w:before="0" w:after="0" w:line="240" w:lineRule="auto"/>
        <w:rPr>
          <w:rFonts w:ascii="Arial" w:hAnsi="Arial" w:cs="Arial"/>
          <w:b/>
          <w:szCs w:val="24"/>
        </w:rPr>
      </w:pPr>
      <w:r>
        <w:rPr>
          <w:rFonts w:ascii="Arial" w:hAnsi="Arial" w:cs="Arial"/>
          <w:b/>
          <w:szCs w:val="24"/>
        </w:rPr>
        <w:t>ARTAGÃO DE MATTOS LEÃO</w:t>
      </w:r>
    </w:p>
    <w:p w:rsidR="00FB639C" w:rsidRDefault="00FB639C" w:rsidP="00FB639C">
      <w:pPr>
        <w:pStyle w:val="Assina"/>
        <w:spacing w:before="0" w:after="0" w:line="240" w:lineRule="auto"/>
        <w:rPr>
          <w:rFonts w:ascii="Arial" w:hAnsi="Arial" w:cs="Arial"/>
          <w:szCs w:val="24"/>
        </w:rPr>
      </w:pPr>
      <w:r>
        <w:rPr>
          <w:rFonts w:ascii="Arial" w:hAnsi="Arial" w:cs="Arial"/>
          <w:szCs w:val="24"/>
        </w:rPr>
        <w:t xml:space="preserve">Presidente </w:t>
      </w:r>
    </w:p>
    <w:p w:rsidR="002A7319" w:rsidRDefault="002A7319">
      <w:bookmarkStart w:id="2" w:name="_GoBack"/>
      <w:bookmarkEnd w:id="2"/>
    </w:p>
    <w:sectPr w:rsidR="002A73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39C" w:rsidRDefault="00FB639C" w:rsidP="00FB639C">
      <w:pPr>
        <w:spacing w:before="0" w:after="0" w:line="240" w:lineRule="auto"/>
      </w:pPr>
      <w:r>
        <w:separator/>
      </w:r>
    </w:p>
  </w:endnote>
  <w:endnote w:type="continuationSeparator" w:id="0">
    <w:p w:rsidR="00FB639C" w:rsidRDefault="00FB639C" w:rsidP="00FB63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39C" w:rsidRDefault="00FB639C" w:rsidP="00FB639C">
      <w:pPr>
        <w:spacing w:before="0" w:after="0" w:line="240" w:lineRule="auto"/>
      </w:pPr>
      <w:r>
        <w:separator/>
      </w:r>
    </w:p>
  </w:footnote>
  <w:footnote w:type="continuationSeparator" w:id="0">
    <w:p w:rsidR="00FB639C" w:rsidRDefault="00FB639C" w:rsidP="00FB639C">
      <w:pPr>
        <w:spacing w:before="0" w:after="0" w:line="240" w:lineRule="auto"/>
      </w:pPr>
      <w:r>
        <w:continuationSeparator/>
      </w:r>
    </w:p>
  </w:footnote>
  <w:footnote w:id="1">
    <w:p w:rsidR="00FB639C" w:rsidRDefault="00FB639C" w:rsidP="00FB639C">
      <w:pPr>
        <w:pStyle w:val="Textodenotaderodap"/>
        <w:jc w:val="both"/>
      </w:pPr>
      <w:r>
        <w:rPr>
          <w:rStyle w:val="Refdenotaderodap"/>
        </w:rPr>
        <w:footnoteRef/>
      </w:r>
      <w:r>
        <w:t xml:space="preserve"> Os incisos II e IV, do art. 38,</w:t>
      </w:r>
      <w:proofErr w:type="gramStart"/>
      <w:r>
        <w:t xml:space="preserve">  </w:t>
      </w:r>
      <w:proofErr w:type="gramEnd"/>
      <w:r>
        <w:t>da Lei Complementar nº 113/2005 exige apresentação objetiva dos quesitos da consulta e não permite verse ela sobre caso concreto.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C2983"/>
    <w:multiLevelType w:val="hybridMultilevel"/>
    <w:tmpl w:val="5BF677BE"/>
    <w:lvl w:ilvl="0" w:tplc="3878C232">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45DD64EE"/>
    <w:multiLevelType w:val="hybridMultilevel"/>
    <w:tmpl w:val="43D21D7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9C"/>
    <w:rsid w:val="002A7319"/>
    <w:rsid w:val="00FB63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C"/>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FB639C"/>
    <w:pPr>
      <w:spacing w:before="0" w:after="0" w:line="240" w:lineRule="auto"/>
      <w:ind w:firstLine="0"/>
      <w:jc w:val="left"/>
    </w:pPr>
    <w:rPr>
      <w:sz w:val="20"/>
    </w:rPr>
  </w:style>
  <w:style w:type="character" w:customStyle="1" w:styleId="TextodenotaderodapChar">
    <w:name w:val="Texto de nota de rodapé Char"/>
    <w:basedOn w:val="Fontepargpadro"/>
    <w:link w:val="Textodenotaderodap"/>
    <w:semiHidden/>
    <w:rsid w:val="00FB639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B639C"/>
    <w:pPr>
      <w:spacing w:before="0" w:after="0" w:line="240" w:lineRule="auto"/>
      <w:ind w:left="708" w:firstLine="0"/>
      <w:jc w:val="left"/>
    </w:pPr>
    <w:rPr>
      <w:sz w:val="20"/>
    </w:rPr>
  </w:style>
  <w:style w:type="paragraph" w:customStyle="1" w:styleId="NumAto">
    <w:name w:val="NumAto"/>
    <w:basedOn w:val="Normal"/>
    <w:rsid w:val="00FB639C"/>
    <w:pPr>
      <w:ind w:firstLine="0"/>
      <w:jc w:val="center"/>
    </w:pPr>
    <w:rPr>
      <w:b/>
    </w:rPr>
  </w:style>
  <w:style w:type="paragraph" w:customStyle="1" w:styleId="Tpico">
    <w:name w:val="Tópico"/>
    <w:basedOn w:val="Normal"/>
    <w:rsid w:val="00FB639C"/>
    <w:pPr>
      <w:ind w:firstLine="0"/>
      <w:jc w:val="left"/>
    </w:pPr>
    <w:rPr>
      <w:b/>
    </w:rPr>
  </w:style>
  <w:style w:type="paragraph" w:customStyle="1" w:styleId="Assina">
    <w:name w:val="Assina"/>
    <w:basedOn w:val="Normal"/>
    <w:rsid w:val="00FB639C"/>
    <w:pPr>
      <w:ind w:firstLine="0"/>
      <w:jc w:val="center"/>
    </w:pPr>
  </w:style>
  <w:style w:type="character" w:styleId="Refdenotaderodap">
    <w:name w:val="footnote reference"/>
    <w:basedOn w:val="Fontepargpadro"/>
    <w:semiHidden/>
    <w:unhideWhenUsed/>
    <w:rsid w:val="00FB63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C"/>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FB639C"/>
    <w:pPr>
      <w:spacing w:before="0" w:after="0" w:line="240" w:lineRule="auto"/>
      <w:ind w:firstLine="0"/>
      <w:jc w:val="left"/>
    </w:pPr>
    <w:rPr>
      <w:sz w:val="20"/>
    </w:rPr>
  </w:style>
  <w:style w:type="character" w:customStyle="1" w:styleId="TextodenotaderodapChar">
    <w:name w:val="Texto de nota de rodapé Char"/>
    <w:basedOn w:val="Fontepargpadro"/>
    <w:link w:val="Textodenotaderodap"/>
    <w:semiHidden/>
    <w:rsid w:val="00FB639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B639C"/>
    <w:pPr>
      <w:spacing w:before="0" w:after="0" w:line="240" w:lineRule="auto"/>
      <w:ind w:left="708" w:firstLine="0"/>
      <w:jc w:val="left"/>
    </w:pPr>
    <w:rPr>
      <w:sz w:val="20"/>
    </w:rPr>
  </w:style>
  <w:style w:type="paragraph" w:customStyle="1" w:styleId="NumAto">
    <w:name w:val="NumAto"/>
    <w:basedOn w:val="Normal"/>
    <w:rsid w:val="00FB639C"/>
    <w:pPr>
      <w:ind w:firstLine="0"/>
      <w:jc w:val="center"/>
    </w:pPr>
    <w:rPr>
      <w:b/>
    </w:rPr>
  </w:style>
  <w:style w:type="paragraph" w:customStyle="1" w:styleId="Tpico">
    <w:name w:val="Tópico"/>
    <w:basedOn w:val="Normal"/>
    <w:rsid w:val="00FB639C"/>
    <w:pPr>
      <w:ind w:firstLine="0"/>
      <w:jc w:val="left"/>
    </w:pPr>
    <w:rPr>
      <w:b/>
    </w:rPr>
  </w:style>
  <w:style w:type="paragraph" w:customStyle="1" w:styleId="Assina">
    <w:name w:val="Assina"/>
    <w:basedOn w:val="Normal"/>
    <w:rsid w:val="00FB639C"/>
    <w:pPr>
      <w:ind w:firstLine="0"/>
      <w:jc w:val="center"/>
    </w:pPr>
  </w:style>
  <w:style w:type="character" w:styleId="Refdenotaderodap">
    <w:name w:val="footnote reference"/>
    <w:basedOn w:val="Fontepargpadro"/>
    <w:semiHidden/>
    <w:unhideWhenUsed/>
    <w:rsid w:val="00FB6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2512</Words>
  <Characters>13569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tc502731</dc:creator>
  <cp:lastModifiedBy>tc502731</cp:lastModifiedBy>
  <cp:revision>1</cp:revision>
  <dcterms:created xsi:type="dcterms:W3CDTF">2013-04-03T13:06:00Z</dcterms:created>
  <dcterms:modified xsi:type="dcterms:W3CDTF">2013-04-03T13:09:00Z</dcterms:modified>
</cp:coreProperties>
</file>