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E5052" w14:textId="30B5E8EB" w:rsidR="00362451" w:rsidRPr="00B72ED3" w:rsidRDefault="00362451" w:rsidP="00B72ED3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TESES AMBIENTAIS</w:t>
      </w:r>
    </w:p>
    <w:p w14:paraId="72FC24A4" w14:textId="77777777" w:rsidR="00362451" w:rsidRPr="00B72ED3" w:rsidRDefault="00362451" w:rsidP="00B72ED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E169306" w14:textId="4DB54C3F" w:rsidR="00681EC7" w:rsidRPr="00B72ED3" w:rsidRDefault="00F45FE6" w:rsidP="00B72ED3">
      <w:pPr>
        <w:pStyle w:val="Cabealh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 xml:space="preserve">Número </w:t>
      </w:r>
      <w:r w:rsidR="00B72ED3" w:rsidRPr="00B72ED3">
        <w:rPr>
          <w:rFonts w:ascii="Arial" w:hAnsi="Arial" w:cs="Arial"/>
          <w:b/>
          <w:sz w:val="20"/>
          <w:szCs w:val="20"/>
        </w:rPr>
        <w:t>11</w:t>
      </w:r>
    </w:p>
    <w:p w14:paraId="5313394D" w14:textId="77777777" w:rsidR="00D9046A" w:rsidRPr="00B72ED3" w:rsidRDefault="00D9046A" w:rsidP="00B72ED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9C8ED4A" w14:textId="1C372866" w:rsidR="00681EC7" w:rsidRPr="00B72ED3" w:rsidRDefault="00681EC7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>Este Boletim</w:t>
      </w:r>
      <w:r w:rsidR="00362451" w:rsidRPr="00B72ED3">
        <w:rPr>
          <w:rFonts w:ascii="Arial" w:hAnsi="Arial" w:cs="Arial"/>
          <w:sz w:val="20"/>
          <w:szCs w:val="20"/>
        </w:rPr>
        <w:t xml:space="preserve"> </w:t>
      </w:r>
      <w:r w:rsidR="005445E2" w:rsidRPr="00B72ED3">
        <w:rPr>
          <w:rFonts w:ascii="Arial" w:hAnsi="Arial" w:cs="Arial"/>
          <w:sz w:val="20"/>
          <w:szCs w:val="20"/>
        </w:rPr>
        <w:t xml:space="preserve">relaciona as </w:t>
      </w:r>
      <w:r w:rsidRPr="00B72ED3">
        <w:rPr>
          <w:rFonts w:ascii="Arial" w:hAnsi="Arial" w:cs="Arial"/>
          <w:sz w:val="20"/>
          <w:szCs w:val="20"/>
        </w:rPr>
        <w:t xml:space="preserve">teses fixadas em Direito Ambiental pelo Supremo Tribunal Federal - STF, Superior Tribunal de Justiça - STJ, Tribunal de Contas da União </w:t>
      </w:r>
      <w:r w:rsidR="008A1058" w:rsidRPr="00B72ED3">
        <w:rPr>
          <w:rFonts w:ascii="Arial" w:hAnsi="Arial" w:cs="Arial"/>
          <w:sz w:val="20"/>
          <w:szCs w:val="20"/>
        </w:rPr>
        <w:t>–</w:t>
      </w:r>
      <w:r w:rsidRPr="00B72ED3">
        <w:rPr>
          <w:rFonts w:ascii="Arial" w:hAnsi="Arial" w:cs="Arial"/>
          <w:sz w:val="20"/>
          <w:szCs w:val="20"/>
        </w:rPr>
        <w:t xml:space="preserve"> TCU</w:t>
      </w:r>
      <w:r w:rsidR="008A1058" w:rsidRPr="00B72ED3">
        <w:rPr>
          <w:rFonts w:ascii="Arial" w:hAnsi="Arial" w:cs="Arial"/>
          <w:sz w:val="20"/>
          <w:szCs w:val="20"/>
        </w:rPr>
        <w:t xml:space="preserve">, </w:t>
      </w:r>
      <w:r w:rsidRPr="00B72ED3">
        <w:rPr>
          <w:rFonts w:ascii="Arial" w:hAnsi="Arial" w:cs="Arial"/>
          <w:sz w:val="20"/>
          <w:szCs w:val="20"/>
        </w:rPr>
        <w:t>Tribunal de Contas do Paraná - TCE/PR</w:t>
      </w:r>
      <w:r w:rsidR="008A1058" w:rsidRPr="00B72ED3">
        <w:rPr>
          <w:rFonts w:ascii="Arial" w:hAnsi="Arial" w:cs="Arial"/>
          <w:sz w:val="20"/>
          <w:szCs w:val="20"/>
        </w:rPr>
        <w:t xml:space="preserve"> e demais</w:t>
      </w:r>
      <w:r w:rsidR="00427BD4" w:rsidRPr="00B72ED3">
        <w:rPr>
          <w:rFonts w:ascii="Arial" w:hAnsi="Arial" w:cs="Arial"/>
          <w:sz w:val="20"/>
          <w:szCs w:val="20"/>
        </w:rPr>
        <w:t xml:space="preserve"> Tribunais de Contas Estaduais e Municipais </w:t>
      </w:r>
      <w:r w:rsidR="00D20524" w:rsidRPr="00B72ED3">
        <w:rPr>
          <w:rFonts w:ascii="Arial" w:hAnsi="Arial" w:cs="Arial"/>
          <w:sz w:val="20"/>
          <w:szCs w:val="20"/>
        </w:rPr>
        <w:t xml:space="preserve">acerca </w:t>
      </w:r>
      <w:r w:rsidR="005445E2" w:rsidRPr="00B72ED3">
        <w:rPr>
          <w:rFonts w:ascii="Arial" w:hAnsi="Arial" w:cs="Arial"/>
          <w:sz w:val="20"/>
          <w:szCs w:val="20"/>
        </w:rPr>
        <w:t>d</w:t>
      </w:r>
      <w:r w:rsidRPr="00B72ED3">
        <w:rPr>
          <w:rFonts w:ascii="Arial" w:hAnsi="Arial" w:cs="Arial"/>
          <w:sz w:val="20"/>
          <w:szCs w:val="20"/>
        </w:rPr>
        <w:t>o controle externo</w:t>
      </w:r>
      <w:r w:rsidR="008A1058" w:rsidRPr="00B72ED3">
        <w:rPr>
          <w:rFonts w:ascii="Arial" w:hAnsi="Arial" w:cs="Arial"/>
          <w:sz w:val="20"/>
          <w:szCs w:val="20"/>
        </w:rPr>
        <w:t xml:space="preserve"> aplicado à avaliação de uma </w:t>
      </w:r>
      <w:r w:rsidRPr="00B72ED3">
        <w:rPr>
          <w:rFonts w:ascii="Arial" w:hAnsi="Arial" w:cs="Arial"/>
          <w:sz w:val="20"/>
          <w:szCs w:val="20"/>
        </w:rPr>
        <w:t>gestão ambiental eficiente, transparente e propositiva</w:t>
      </w:r>
      <w:r w:rsidR="005445E2" w:rsidRPr="00B72ED3">
        <w:rPr>
          <w:rFonts w:ascii="Arial" w:hAnsi="Arial" w:cs="Arial"/>
          <w:sz w:val="20"/>
          <w:szCs w:val="20"/>
        </w:rPr>
        <w:t>, não representando</w:t>
      </w:r>
      <w:r w:rsidRPr="00B72ED3">
        <w:rPr>
          <w:rFonts w:ascii="Arial" w:hAnsi="Arial" w:cs="Arial"/>
          <w:sz w:val="20"/>
          <w:szCs w:val="20"/>
        </w:rPr>
        <w:t xml:space="preserve"> repositório oficia</w:t>
      </w:r>
      <w:r w:rsidR="00DF6F7F" w:rsidRPr="00B72ED3">
        <w:rPr>
          <w:rFonts w:ascii="Arial" w:hAnsi="Arial" w:cs="Arial"/>
          <w:sz w:val="20"/>
          <w:szCs w:val="20"/>
        </w:rPr>
        <w:t>l</w:t>
      </w:r>
      <w:r w:rsidRPr="00B72ED3">
        <w:rPr>
          <w:rFonts w:ascii="Arial" w:hAnsi="Arial" w:cs="Arial"/>
          <w:sz w:val="20"/>
          <w:szCs w:val="20"/>
        </w:rPr>
        <w:t xml:space="preserve"> de jurisprudência.</w:t>
      </w:r>
    </w:p>
    <w:p w14:paraId="5C4426F1" w14:textId="77777777" w:rsidR="00681EC7" w:rsidRPr="00B72ED3" w:rsidRDefault="00681EC7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96DD71" w14:textId="77777777" w:rsidR="00FE7B14" w:rsidRPr="00B72ED3" w:rsidRDefault="00FE7B14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DCC47" wp14:editId="68427C1C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FBA157C" w14:textId="77777777" w:rsidR="00AE4F42" w:rsidRPr="00B72ED3" w:rsidRDefault="00AE4F42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S</w:t>
      </w:r>
      <w:r w:rsidR="00221D15" w:rsidRPr="00B72ED3">
        <w:rPr>
          <w:rFonts w:ascii="Arial" w:hAnsi="Arial" w:cs="Arial"/>
          <w:b/>
          <w:sz w:val="20"/>
          <w:szCs w:val="20"/>
        </w:rPr>
        <w:t>U</w:t>
      </w:r>
      <w:r w:rsidRPr="00B72ED3">
        <w:rPr>
          <w:rFonts w:ascii="Arial" w:hAnsi="Arial" w:cs="Arial"/>
          <w:b/>
          <w:sz w:val="20"/>
          <w:szCs w:val="20"/>
        </w:rPr>
        <w:t>MÁRIO</w:t>
      </w:r>
    </w:p>
    <w:p w14:paraId="00D7234C" w14:textId="75205644" w:rsidR="00DB721B" w:rsidRPr="00B72ED3" w:rsidRDefault="00DB721B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F3E123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10ABE6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1. </w:t>
      </w:r>
      <w:r w:rsidRPr="00B72ED3">
        <w:rPr>
          <w:rFonts w:ascii="Arial" w:hAnsi="Arial" w:cs="Arial"/>
          <w:b/>
          <w:sz w:val="20"/>
          <w:szCs w:val="20"/>
        </w:rPr>
        <w:t xml:space="preserve">Consulta. Município de MARINGÁ. Questiona sobre hipótese de contratação para tratamento de Resíduos Sólidos Urbanos por processo de inexigibilidade, com o detentor de tecnologia patenteada. Resposta no sentido que a contratação de tratamento de resíduos sólidos urbanos deve, por regra geral, adotar o certame </w:t>
      </w:r>
      <w:proofErr w:type="spellStart"/>
      <w:r w:rsidRPr="00B72ED3">
        <w:rPr>
          <w:rFonts w:ascii="Arial" w:hAnsi="Arial" w:cs="Arial"/>
          <w:b/>
          <w:sz w:val="20"/>
          <w:szCs w:val="20"/>
        </w:rPr>
        <w:t>licitacional</w:t>
      </w:r>
      <w:proofErr w:type="spellEnd"/>
      <w:r w:rsidRPr="00B72ED3">
        <w:rPr>
          <w:rFonts w:ascii="Arial" w:hAnsi="Arial" w:cs="Arial"/>
          <w:b/>
          <w:sz w:val="20"/>
          <w:szCs w:val="20"/>
        </w:rPr>
        <w:t>, mediante a modalidade de Concorrência. No entanto, outras formas de contratação, previstas na legislação que rege a matéria, poderão, conforme o caso concreto se apresentar, serem adotadas, dentre elas a contratação por emergência e a inexigibilidade de licitação, desde que objetivamente satisfeitos os princípios norteadores da atividade ambiental sob comento e os requisitos legais.</w:t>
      </w:r>
    </w:p>
    <w:p w14:paraId="0E9F422B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BA2B27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1642F6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B72ED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2. </w:t>
      </w:r>
      <w:r w:rsidRPr="00B72ED3">
        <w:rPr>
          <w:rFonts w:ascii="Arial" w:hAnsi="Arial" w:cs="Arial"/>
          <w:b/>
          <w:sz w:val="20"/>
          <w:szCs w:val="20"/>
          <w:shd w:val="clear" w:color="auto" w:fill="FFFFFF"/>
        </w:rPr>
        <w:t>Representação. Possíveis irregularidades na aplicação de recursos oriundos da compensação ambiental por parte de órgão do Governo do Estado do Amazonas. Determinações prolatadas por meio do Acórdão 1064/2016-TCU-Plenário. Pedido de reexame. Insubsistência das determinações constantes dos subitens 9.4 e 9.5 do Acórdão 1064/2016-TCU-Plenário ante a superveniência da Lei 13.668/2018. Determinação para que, no cumprimento das determinações dos subitens 9.2 e 9.3, fossem observadas as orientações contidas no voto revisor proferido no recurso. Insubsistência dos subitens 9.2 e 9.3 do Acórdão 1064/2016-TCU-Plenário ante a situação constituída.</w:t>
      </w:r>
    </w:p>
    <w:p w14:paraId="4C1393A6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1412F2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72E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</w:t>
      </w:r>
      <w:r w:rsidRPr="00B72ED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Receita. Recurso vinculado. ICMS ecológico. Atendimento aos objetivos. </w:t>
      </w:r>
    </w:p>
    <w:p w14:paraId="6B27A295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511B5" w14:textId="77777777" w:rsidR="00B72ED3" w:rsidRPr="00B72ED3" w:rsidRDefault="00B72ED3" w:rsidP="00B72ED3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B72ED3">
        <w:rPr>
          <w:rFonts w:ascii="Arial" w:hAnsi="Arial" w:cs="Arial"/>
          <w:color w:val="000000"/>
          <w:shd w:val="clear" w:color="auto" w:fill="FFFFFF"/>
        </w:rPr>
        <w:t xml:space="preserve">4. </w:t>
      </w:r>
      <w:r w:rsidRPr="00B72ED3">
        <w:rPr>
          <w:rFonts w:ascii="Arial" w:hAnsi="Arial" w:cs="Arial"/>
          <w:b/>
        </w:rPr>
        <w:t>Administrativo. Derramamento de óleo na baía de ilha grande. Dano ao meio ambiente. Aplicação de multa pelo município de angra dos reis e pela capitania dos portos. Ação anulatória. Dupla sanção administrativa. Inexistência. Cooperação dos entes federativos. Competência comum. Art. 76 da lei 9.605/1998. Silêncio eloquente do legislador.</w:t>
      </w:r>
    </w:p>
    <w:p w14:paraId="73D53606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868C40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BF47B2" w14:textId="3F3AF4AA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TRIBUNAL DE CONTAS DO ESTADO DO PARANÁ</w:t>
      </w:r>
    </w:p>
    <w:p w14:paraId="362E4657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84D46CE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lastRenderedPageBreak/>
        <w:t xml:space="preserve">1. Consulta. Município de MARINGÁ. Questiona sobre hipótese de contratação para tratamento de Resíduos Sólidos Urbanos por processo de inexigibilidade, com o detentor de tecnologia patenteada. Resposta no sentido que a contratação de tratamento de resíduos sólidos urbanos deve, por regra geral, adotar o certame </w:t>
      </w:r>
      <w:proofErr w:type="spellStart"/>
      <w:r w:rsidRPr="00B72ED3">
        <w:rPr>
          <w:rFonts w:ascii="Arial" w:hAnsi="Arial" w:cs="Arial"/>
          <w:b/>
          <w:sz w:val="20"/>
          <w:szCs w:val="20"/>
        </w:rPr>
        <w:t>licitacional</w:t>
      </w:r>
      <w:proofErr w:type="spellEnd"/>
      <w:r w:rsidRPr="00B72ED3">
        <w:rPr>
          <w:rFonts w:ascii="Arial" w:hAnsi="Arial" w:cs="Arial"/>
          <w:b/>
          <w:sz w:val="20"/>
          <w:szCs w:val="20"/>
        </w:rPr>
        <w:t>, mediante a modalidade de Concorrência. No entanto, outras formas de contratação, previstas na legislação que rege a matéria, poderão, conforme o caso concreto se apresentar, serem adotadas, dentre elas a contratação por emergência e a inexigibilidade de licitação, desde que objetivamente satisfeitos os princípios norteadores da atividade ambiental sob comento e os requisitos legais.</w:t>
      </w:r>
    </w:p>
    <w:p w14:paraId="37A22673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A9ECE8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OS MEMBROS DO TRIBUNAL PLENO, nos termos do voto do Relator, Conselheiro HEINZ GEORG HERWIG, por unanimidade em: I - Conhecer da presente consulta, e, no mérito, responder no sentido de que para a contratação de tratamento de resíduos sólidos urbanos deve-se, por regra geral, adotar o certame </w:t>
      </w:r>
      <w:proofErr w:type="spellStart"/>
      <w:r w:rsidRPr="00B72ED3">
        <w:rPr>
          <w:rFonts w:ascii="Arial" w:hAnsi="Arial" w:cs="Arial"/>
          <w:sz w:val="20"/>
          <w:szCs w:val="20"/>
        </w:rPr>
        <w:t>licitacional</w:t>
      </w:r>
      <w:proofErr w:type="spellEnd"/>
      <w:r w:rsidRPr="00B72ED3">
        <w:rPr>
          <w:rFonts w:ascii="Arial" w:hAnsi="Arial" w:cs="Arial"/>
          <w:sz w:val="20"/>
          <w:szCs w:val="20"/>
        </w:rPr>
        <w:t>, mediante a modalidade de Concorrência. No entanto, outras formas de contratações, previstas na legislação que rege a matéria, poderão, conforme o caso concreto se apresentar, serem adotadas, dentre elas a contratação por emergência e a inexigibilidade de licitação, desde que objetivamente satisfeitos os princípios norteadores da atividade ambiental sob comento e os requisitos legais.</w:t>
      </w:r>
    </w:p>
    <w:p w14:paraId="2BF26609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D413460" w14:textId="77777777" w:rsid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TCE-PR, Processo n.º 67172/08, </w:t>
      </w:r>
      <w:hyperlink r:id="rId8" w:history="1"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Acórdão n.º 9</w:t>
        </w:r>
        <w:bookmarkStart w:id="0" w:name="_GoBack"/>
        <w:bookmarkEnd w:id="0"/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4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0/08 – Tribunal Pleno</w:t>
        </w:r>
      </w:hyperlink>
      <w:r w:rsidRPr="00B72ED3">
        <w:rPr>
          <w:rFonts w:ascii="Arial" w:hAnsi="Arial" w:cs="Arial"/>
          <w:sz w:val="20"/>
          <w:szCs w:val="20"/>
        </w:rPr>
        <w:t xml:space="preserve">, Rel. Cons. Heinz Georg </w:t>
      </w:r>
      <w:proofErr w:type="spellStart"/>
      <w:r w:rsidRPr="00B72ED3">
        <w:rPr>
          <w:rFonts w:ascii="Arial" w:hAnsi="Arial" w:cs="Arial"/>
          <w:sz w:val="20"/>
          <w:szCs w:val="20"/>
        </w:rPr>
        <w:t>Herwig</w:t>
      </w:r>
      <w:proofErr w:type="spellEnd"/>
      <w:r w:rsidRPr="00B72ED3">
        <w:rPr>
          <w:rFonts w:ascii="Arial" w:hAnsi="Arial" w:cs="Arial"/>
          <w:sz w:val="20"/>
          <w:szCs w:val="20"/>
        </w:rPr>
        <w:t>.</w:t>
      </w:r>
    </w:p>
    <w:p w14:paraId="53C8E730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82F6D5" w14:textId="5D59F693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TRIBUNAL DE CONTAS DA UNIÃO</w:t>
      </w:r>
    </w:p>
    <w:p w14:paraId="50440672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B81EAD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72ED3">
        <w:rPr>
          <w:rFonts w:ascii="Arial" w:hAnsi="Arial" w:cs="Arial"/>
          <w:b/>
          <w:sz w:val="20"/>
          <w:szCs w:val="20"/>
          <w:shd w:val="clear" w:color="auto" w:fill="FFFFFF"/>
        </w:rPr>
        <w:t>2. Representação. Possíveis irregularidades na aplicação de recursos oriundos da compensação ambiental por parte de órgão do Governo do Estado do Amazonas. Determinações prolatadas por meio do Acórdão 1064/2016-TCU-Plenário. Pedido de reexame. Insubsistência das determinações constantes dos subitens 9.4 e 9.5 do Acórdão 1064/2016-TCU-Plenário ante a superveniência da Lei 13.668/2018. Determinação para que, no cumprimento das determinações dos subitens 9.2 e 9.3, fossem observadas as orientações contidas no voto revisor proferido no recurso. Insubsistência dos subitens 9.2 e 9.3 do Acórdão 1064/2016-TCU-Plenário ante a situação constituída.</w:t>
      </w:r>
    </w:p>
    <w:p w14:paraId="1E7DB5D5" w14:textId="77777777" w:rsidR="00B72ED3" w:rsidRPr="00B72ED3" w:rsidRDefault="00B72ED3" w:rsidP="00B72ED3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Considere-se, que: 1. </w:t>
      </w:r>
      <w:proofErr w:type="gramStart"/>
      <w:r w:rsidRPr="00B72ED3">
        <w:rPr>
          <w:rFonts w:ascii="Arial" w:hAnsi="Arial" w:cs="Arial"/>
          <w:sz w:val="20"/>
          <w:szCs w:val="20"/>
        </w:rPr>
        <w:t>a</w:t>
      </w:r>
      <w:proofErr w:type="gramEnd"/>
      <w:r w:rsidRPr="00B72ED3">
        <w:rPr>
          <w:rFonts w:ascii="Arial" w:hAnsi="Arial" w:cs="Arial"/>
          <w:sz w:val="20"/>
          <w:szCs w:val="20"/>
        </w:rPr>
        <w:t xml:space="preserve"> entrega de recursos de compensação ambiental pelas empresas a órgãos ambientais, para que estes mesmos realizem as ações de proteção ao meio ambiente a serem custeadas pelos referidos recursos, é legal, de acordo com a Lei 13.668/2018; 2. </w:t>
      </w:r>
      <w:proofErr w:type="gramStart"/>
      <w:r w:rsidRPr="00B72ED3">
        <w:rPr>
          <w:rFonts w:ascii="Arial" w:hAnsi="Arial" w:cs="Arial"/>
          <w:sz w:val="20"/>
          <w:szCs w:val="20"/>
        </w:rPr>
        <w:t>a</w:t>
      </w:r>
      <w:proofErr w:type="gramEnd"/>
      <w:r w:rsidRPr="00B72ED3">
        <w:rPr>
          <w:rFonts w:ascii="Arial" w:hAnsi="Arial" w:cs="Arial"/>
          <w:sz w:val="20"/>
          <w:szCs w:val="20"/>
        </w:rPr>
        <w:t xml:space="preserve"> mesma Lei 13.668/2018 estendeu esta prerrogativa (de receber recursos e utilizá-los) a órgãos ambientais estaduais e municipais, conclui-se, que o Acórdão 1.064/2016-TCU-Plenário, que estava consonante com a legislação ao tempo de sua prolação, tornou-se depois ultrapassado com a nova Lei 13.668/2018. </w:t>
      </w:r>
    </w:p>
    <w:p w14:paraId="57B55DD5" w14:textId="77777777" w:rsidR="00B72ED3" w:rsidRPr="00B72ED3" w:rsidRDefault="00B72ED3" w:rsidP="00B72ED3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As possíveis irregularidades decorrentes da utilização dos recursos de compensação ambiental ocorreram em órgãos estaduais (a SEMA e o IPAAM) , utilizando-se recursos estaduais, visto que, no caso de um licenciamento ambiental conduzido na esfera estadual, em que a compensação ambiental é executada de forma indireta, a jurisdição do Tribunal alcança até o </w:t>
      </w:r>
      <w:r w:rsidRPr="00B72ED3">
        <w:rPr>
          <w:rFonts w:ascii="Arial" w:hAnsi="Arial" w:cs="Arial"/>
          <w:sz w:val="20"/>
          <w:szCs w:val="20"/>
        </w:rPr>
        <w:lastRenderedPageBreak/>
        <w:t>momento em que o empreendedor federal se desonera de suas obrigações, ou seja, até o ato de pagamento dos valores devidos referentes à compensação ambiental, conforme o entendimento do Exmo. Sr. Ministro Bruno Dantas.</w:t>
      </w:r>
    </w:p>
    <w:p w14:paraId="63DD89B8" w14:textId="77777777" w:rsidR="00B72ED3" w:rsidRPr="00B72ED3" w:rsidRDefault="00B72ED3" w:rsidP="00B72ED3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>Conclui-se, portanto, pela necessidade de tornar insubsistentes os itens 9.2 e 9.3 do Acórdão 1064/2016-TCU-Plenário. E de comunicar a decisão ao Tribunal de Contas do Estado do Amazonas, para que tome as providências que julgar cabíveis, já que se trata de questão de sua alçada.</w:t>
      </w:r>
    </w:p>
    <w:p w14:paraId="44F953C6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14:paraId="2C0FBD68" w14:textId="77777777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72ED3">
        <w:rPr>
          <w:rFonts w:ascii="Arial" w:hAnsi="Arial" w:cs="Arial"/>
          <w:b/>
          <w:sz w:val="20"/>
          <w:szCs w:val="20"/>
          <w:lang w:val="pt-BR"/>
        </w:rPr>
        <w:t>TC-023.312/2011-</w:t>
      </w:r>
      <w:r w:rsidRPr="00B72ED3">
        <w:rPr>
          <w:rFonts w:ascii="Arial" w:hAnsi="Arial" w:cs="Arial"/>
          <w:sz w:val="20"/>
          <w:szCs w:val="20"/>
          <w:lang w:val="pt-BR"/>
        </w:rPr>
        <w:t xml:space="preserve">4 – </w:t>
      </w:r>
      <w:hyperlink r:id="rId9" w:anchor="/documento/acordao-completo/*/NUMACORDAO%253A765%2520ANOACORDAO%253A2020%2520COLEGIADO%253A%2522Plen%25C3%25A1rio%2522/DTRELEVANCIA%2520desc/0/sinonimos%253Dfalse" w:history="1">
        <w:r w:rsidRPr="00B72ED3">
          <w:rPr>
            <w:rStyle w:val="Hyperlink"/>
            <w:rFonts w:ascii="Arial" w:hAnsi="Arial" w:cs="Arial"/>
            <w:sz w:val="20"/>
            <w:szCs w:val="20"/>
            <w:lang w:val="pt-BR"/>
          </w:rPr>
          <w:t>Acórdão n.</w:t>
        </w:r>
        <w:r w:rsidRPr="00B72ED3">
          <w:rPr>
            <w:rStyle w:val="Hyperlink"/>
            <w:rFonts w:ascii="Arial" w:hAnsi="Arial" w:cs="Arial"/>
            <w:sz w:val="20"/>
            <w:szCs w:val="20"/>
            <w:lang w:val="pt-BR"/>
          </w:rPr>
          <w:t>º</w:t>
        </w:r>
        <w:r w:rsidRPr="00B72ED3">
          <w:rPr>
            <w:rStyle w:val="Hyperlink"/>
            <w:rFonts w:ascii="Arial" w:hAnsi="Arial" w:cs="Arial"/>
            <w:sz w:val="20"/>
            <w:szCs w:val="20"/>
            <w:lang w:val="pt-BR"/>
          </w:rPr>
          <w:t xml:space="preserve"> 765/202</w:t>
        </w:r>
        <w:r w:rsidRPr="00B72ED3">
          <w:rPr>
            <w:rStyle w:val="Hyperlink"/>
            <w:rFonts w:ascii="Arial" w:hAnsi="Arial" w:cs="Arial"/>
            <w:sz w:val="20"/>
            <w:szCs w:val="20"/>
            <w:lang w:val="pt-BR"/>
          </w:rPr>
          <w:t>0</w:t>
        </w:r>
        <w:r w:rsidRPr="00B72ED3">
          <w:rPr>
            <w:rStyle w:val="Hyperlink"/>
            <w:rFonts w:ascii="Arial" w:hAnsi="Arial" w:cs="Arial"/>
            <w:sz w:val="20"/>
            <w:szCs w:val="20"/>
            <w:lang w:val="pt-BR"/>
          </w:rPr>
          <w:t xml:space="preserve"> - Plenário</w:t>
        </w:r>
      </w:hyperlink>
      <w:r w:rsidRPr="00B72ED3">
        <w:rPr>
          <w:rFonts w:ascii="Arial" w:hAnsi="Arial" w:cs="Arial"/>
          <w:sz w:val="20"/>
          <w:szCs w:val="20"/>
          <w:lang w:val="pt-BR"/>
        </w:rPr>
        <w:t xml:space="preserve"> Representação, Relator Ministro Augusto </w:t>
      </w:r>
      <w:proofErr w:type="spellStart"/>
      <w:r w:rsidRPr="00B72ED3">
        <w:rPr>
          <w:rFonts w:ascii="Arial" w:hAnsi="Arial" w:cs="Arial"/>
          <w:sz w:val="20"/>
          <w:szCs w:val="20"/>
          <w:lang w:val="pt-BR"/>
        </w:rPr>
        <w:t>Sherman</w:t>
      </w:r>
      <w:proofErr w:type="spellEnd"/>
      <w:r w:rsidRPr="00B72ED3">
        <w:rPr>
          <w:rFonts w:ascii="Arial" w:hAnsi="Arial" w:cs="Arial"/>
          <w:sz w:val="20"/>
          <w:szCs w:val="20"/>
          <w:lang w:val="pt-BR"/>
        </w:rPr>
        <w:t xml:space="preserve"> Cavalcanti.</w:t>
      </w:r>
    </w:p>
    <w:p w14:paraId="72E1F686" w14:textId="77777777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1BB7846" w14:textId="77777777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TRIBUNAL DE CONTAS DO ESTADO DO MATO GROSSO</w:t>
      </w:r>
    </w:p>
    <w:p w14:paraId="70021089" w14:textId="77777777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A414252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72ED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3. Receita. Recurso vinculado. ICMS ecológico. Atendimento aos objetivos. </w:t>
      </w:r>
    </w:p>
    <w:p w14:paraId="549A02A7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14:paraId="3364A9B8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72ED3">
        <w:rPr>
          <w:rFonts w:ascii="Arial" w:hAnsi="Arial" w:cs="Arial"/>
          <w:sz w:val="20"/>
          <w:szCs w:val="20"/>
          <w:shd w:val="clear" w:color="auto" w:fill="FFFFFF"/>
        </w:rPr>
        <w:t>Os recursos do ICMS Ecológico deverão ser investidos em projetos ambientais de preservação e conservação da natureza, programas de educação </w:t>
      </w:r>
      <w:r w:rsidRPr="00B72ED3">
        <w:rPr>
          <w:rFonts w:ascii="Arial" w:hAnsi="Arial" w:cs="Arial"/>
          <w:sz w:val="20"/>
          <w:szCs w:val="20"/>
        </w:rPr>
        <w:t>ambiental</w:t>
      </w:r>
      <w:r w:rsidRPr="00B72ED3">
        <w:rPr>
          <w:rFonts w:ascii="Arial" w:hAnsi="Arial" w:cs="Arial"/>
          <w:sz w:val="20"/>
          <w:szCs w:val="20"/>
          <w:shd w:val="clear" w:color="auto" w:fill="FFFFFF"/>
        </w:rPr>
        <w:t>, ações de saneamento básico e solução de problemas de detritos sólidos, entre outros tantos que garantem um elementar direito de todos, o do uso e desfrute de um meio ambiente saudável, urbano ou rural. Estas ações devem ser feitas pelos Poderes Executivo e Legislativo em parceria com a sociedade e os Conselhos Municipais de Meio Ambiente.</w:t>
      </w:r>
    </w:p>
    <w:p w14:paraId="37CFC4A5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8B7CEC0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72ED3">
        <w:rPr>
          <w:rFonts w:ascii="Arial" w:hAnsi="Arial" w:cs="Arial"/>
          <w:sz w:val="20"/>
          <w:szCs w:val="20"/>
        </w:rPr>
        <w:t xml:space="preserve">TCE- MT, Processo n.º 79227/2003, </w:t>
      </w:r>
      <w:hyperlink r:id="rId10" w:history="1"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Acórdão n.º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142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3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/</w:t>
        </w:r>
        <w:r w:rsidRPr="00B72ED3">
          <w:rPr>
            <w:rStyle w:val="Hyperlink"/>
            <w:rFonts w:ascii="Arial" w:hAnsi="Arial" w:cs="Arial"/>
            <w:b/>
            <w:sz w:val="20"/>
            <w:szCs w:val="20"/>
          </w:rPr>
          <w:t>04 – Tribunal Pleno</w:t>
        </w:r>
        <w:r w:rsidRPr="00B72ED3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Pr="00B72ED3">
        <w:rPr>
          <w:rFonts w:ascii="Arial" w:hAnsi="Arial" w:cs="Arial"/>
          <w:sz w:val="20"/>
          <w:szCs w:val="20"/>
        </w:rPr>
        <w:t xml:space="preserve"> Rel. Cons. Waldir Júlio </w:t>
      </w:r>
      <w:proofErr w:type="spellStart"/>
      <w:r w:rsidRPr="00B72ED3">
        <w:rPr>
          <w:rFonts w:ascii="Arial" w:hAnsi="Arial" w:cs="Arial"/>
          <w:sz w:val="20"/>
          <w:szCs w:val="20"/>
        </w:rPr>
        <w:t>Teis</w:t>
      </w:r>
      <w:proofErr w:type="spellEnd"/>
    </w:p>
    <w:p w14:paraId="7E83694C" w14:textId="77777777" w:rsidR="00B72ED3" w:rsidRPr="00B72ED3" w:rsidRDefault="00B72ED3" w:rsidP="00B72ED3">
      <w:pPr>
        <w:spacing w:line="276" w:lineRule="auto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126B88BD" w14:textId="5F5552F2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SUPERIOR TRIBUNAL DE JUSTIÇA</w:t>
      </w:r>
    </w:p>
    <w:p w14:paraId="42698584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D013E96" w14:textId="5A11C884" w:rsidR="00D36071" w:rsidRDefault="00B72ED3" w:rsidP="00D36071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  <w:b/>
        </w:rPr>
      </w:pPr>
      <w:r w:rsidRPr="00B72ED3">
        <w:rPr>
          <w:rFonts w:ascii="Arial" w:hAnsi="Arial" w:cs="Arial"/>
          <w:b/>
          <w:bCs/>
          <w:color w:val="000000" w:themeColor="text1"/>
        </w:rPr>
        <w:t xml:space="preserve">4. </w:t>
      </w:r>
      <w:r w:rsidRPr="00B72ED3">
        <w:rPr>
          <w:rFonts w:ascii="Arial" w:hAnsi="Arial" w:cs="Arial"/>
          <w:b/>
        </w:rPr>
        <w:t xml:space="preserve">Administrativo. Derramamento de óleo na baía de </w:t>
      </w:r>
      <w:r w:rsidR="00360B11">
        <w:rPr>
          <w:rFonts w:ascii="Arial" w:hAnsi="Arial" w:cs="Arial"/>
          <w:b/>
        </w:rPr>
        <w:t>I</w:t>
      </w:r>
      <w:r w:rsidRPr="00B72ED3">
        <w:rPr>
          <w:rFonts w:ascii="Arial" w:hAnsi="Arial" w:cs="Arial"/>
          <w:b/>
        </w:rPr>
        <w:t xml:space="preserve">lha </w:t>
      </w:r>
      <w:r w:rsidR="00360B11">
        <w:rPr>
          <w:rFonts w:ascii="Arial" w:hAnsi="Arial" w:cs="Arial"/>
          <w:b/>
        </w:rPr>
        <w:t>G</w:t>
      </w:r>
      <w:r w:rsidRPr="00B72ED3">
        <w:rPr>
          <w:rFonts w:ascii="Arial" w:hAnsi="Arial" w:cs="Arial"/>
          <w:b/>
        </w:rPr>
        <w:t xml:space="preserve">rande. Dano ao meio ambiente. Aplicação de multa pelo município de </w:t>
      </w:r>
      <w:r w:rsidR="00360B11">
        <w:rPr>
          <w:rFonts w:ascii="Arial" w:hAnsi="Arial" w:cs="Arial"/>
          <w:b/>
        </w:rPr>
        <w:t>A</w:t>
      </w:r>
      <w:r w:rsidRPr="00B72ED3">
        <w:rPr>
          <w:rFonts w:ascii="Arial" w:hAnsi="Arial" w:cs="Arial"/>
          <w:b/>
        </w:rPr>
        <w:t xml:space="preserve">ngra dos </w:t>
      </w:r>
      <w:r w:rsidR="00360B11">
        <w:rPr>
          <w:rFonts w:ascii="Arial" w:hAnsi="Arial" w:cs="Arial"/>
          <w:b/>
        </w:rPr>
        <w:t>R</w:t>
      </w:r>
      <w:r w:rsidRPr="00B72ED3">
        <w:rPr>
          <w:rFonts w:ascii="Arial" w:hAnsi="Arial" w:cs="Arial"/>
          <w:b/>
        </w:rPr>
        <w:t xml:space="preserve">eis e pela </w:t>
      </w:r>
      <w:r w:rsidR="00360B11">
        <w:rPr>
          <w:rFonts w:ascii="Arial" w:hAnsi="Arial" w:cs="Arial"/>
          <w:b/>
        </w:rPr>
        <w:t>C</w:t>
      </w:r>
      <w:r w:rsidRPr="00B72ED3">
        <w:rPr>
          <w:rFonts w:ascii="Arial" w:hAnsi="Arial" w:cs="Arial"/>
          <w:b/>
        </w:rPr>
        <w:t xml:space="preserve">apitania dos </w:t>
      </w:r>
      <w:r w:rsidR="00360B11">
        <w:rPr>
          <w:rFonts w:ascii="Arial" w:hAnsi="Arial" w:cs="Arial"/>
          <w:b/>
        </w:rPr>
        <w:t>P</w:t>
      </w:r>
      <w:r w:rsidRPr="00B72ED3">
        <w:rPr>
          <w:rFonts w:ascii="Arial" w:hAnsi="Arial" w:cs="Arial"/>
          <w:b/>
        </w:rPr>
        <w:t>ortos. Ação anulatória. Dupla sanção administrativa. Inexistência. Cooperação dos entes federativos. Competência comum. Art. 76 da lei 9.605/1998. Silêncio eloquente do legislador.</w:t>
      </w:r>
    </w:p>
    <w:p w14:paraId="69D5ED26" w14:textId="77777777" w:rsidR="00D36071" w:rsidRDefault="00D36071" w:rsidP="00D36071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  <w:b/>
        </w:rPr>
      </w:pPr>
    </w:p>
    <w:p w14:paraId="1392FF7C" w14:textId="13C1FBEF" w:rsidR="00B72ED3" w:rsidRPr="00B72ED3" w:rsidRDefault="00D36071" w:rsidP="00D36071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B72ED3" w:rsidRPr="00B72ED3">
        <w:rPr>
          <w:rFonts w:ascii="Arial" w:hAnsi="Arial" w:cs="Arial"/>
        </w:rPr>
        <w:t xml:space="preserve">Cuida-se, na origem, de Ação Anulatória movida pela Petrobras Transporte S/A </w:t>
      </w:r>
      <w:proofErr w:type="spellStart"/>
      <w:r w:rsidR="00B72ED3" w:rsidRPr="00B72ED3">
        <w:rPr>
          <w:rFonts w:ascii="Arial" w:hAnsi="Arial" w:cs="Arial"/>
        </w:rPr>
        <w:t>Transpetro</w:t>
      </w:r>
      <w:proofErr w:type="spellEnd"/>
      <w:r w:rsidR="00B72ED3" w:rsidRPr="00B72ED3">
        <w:rPr>
          <w:rFonts w:ascii="Arial" w:hAnsi="Arial" w:cs="Arial"/>
        </w:rPr>
        <w:t xml:space="preserve"> contra o Município de Angra dos Reis, com o objetivo de ver desconstituído o Auto de Infração 01/02 (lavrado pela municipalidade em 14/5/2002) e a respectiva multa aplicada, no valor de R$ 10.000.000,00 (dez milhões de reais), pelo fato de a empresa, em 13/5/2002, ter causado dano ambiental decorrente de derramamento de petróleo e derivados na Baía de Ilha Grande, localizada no Município ora recorrente. </w:t>
      </w:r>
      <w:r>
        <w:rPr>
          <w:rFonts w:ascii="Arial" w:hAnsi="Arial" w:cs="Arial"/>
        </w:rPr>
        <w:t xml:space="preserve">2. </w:t>
      </w:r>
      <w:r w:rsidR="00B72ED3" w:rsidRPr="00B72ED3">
        <w:rPr>
          <w:rFonts w:ascii="Arial" w:hAnsi="Arial" w:cs="Arial"/>
        </w:rPr>
        <w:t xml:space="preserve">As instâncias ordinárias julgaram procedente o pedido, sob o fundamento de que a sanção aplicada em momento anterior pela Capitania dos Portos, e já recolhida pela empresa, substitui eventual penalidade pela mesma conduta por parte dos demais entes federativos, a fim de evitar o inaceitável bis in idem. </w:t>
      </w:r>
      <w:r>
        <w:rPr>
          <w:rFonts w:ascii="Arial" w:hAnsi="Arial" w:cs="Arial"/>
        </w:rPr>
        <w:t xml:space="preserve">3. </w:t>
      </w:r>
      <w:r w:rsidR="00B72ED3" w:rsidRPr="00B72ED3">
        <w:rPr>
          <w:rFonts w:ascii="Arial" w:hAnsi="Arial" w:cs="Arial"/>
        </w:rPr>
        <w:t xml:space="preserve">Não se pode conhecer da alegada ofensa aos </w:t>
      </w:r>
      <w:proofErr w:type="spellStart"/>
      <w:r w:rsidR="00B72ED3" w:rsidRPr="00B72ED3">
        <w:rPr>
          <w:rFonts w:ascii="Arial" w:hAnsi="Arial" w:cs="Arial"/>
        </w:rPr>
        <w:t>arts</w:t>
      </w:r>
      <w:proofErr w:type="spellEnd"/>
      <w:r w:rsidR="00B72ED3" w:rsidRPr="00B72ED3">
        <w:rPr>
          <w:rFonts w:ascii="Arial" w:hAnsi="Arial" w:cs="Arial"/>
        </w:rPr>
        <w:t xml:space="preserve">. 23, VI, e 24, VI, da Constituição Federal, porquanto seu exame é de competência exclusiva do Supremo Tribunal Federal, conforme dispõe o art. 102, III, "a", da Carta </w:t>
      </w:r>
      <w:r w:rsidR="00B72ED3" w:rsidRPr="00B72ED3">
        <w:rPr>
          <w:rFonts w:ascii="Arial" w:hAnsi="Arial" w:cs="Arial"/>
        </w:rPr>
        <w:lastRenderedPageBreak/>
        <w:t xml:space="preserve">Magna. </w:t>
      </w:r>
      <w:r>
        <w:rPr>
          <w:rFonts w:ascii="Arial" w:hAnsi="Arial" w:cs="Arial"/>
        </w:rPr>
        <w:t xml:space="preserve">4. </w:t>
      </w:r>
      <w:r w:rsidR="00B72ED3" w:rsidRPr="00B72ED3">
        <w:rPr>
          <w:rFonts w:ascii="Arial" w:hAnsi="Arial" w:cs="Arial"/>
        </w:rPr>
        <w:t xml:space="preserve">Ausente o requisito do prequestionamento, no que se refere ao suposto julgamento extra petita, o que atrai o óbice da Súmula 282/STF: "É inadmissível o recurso extraordinário, quando não ventilada, na decisão recorrida, a questão federal suscitada." </w:t>
      </w:r>
      <w:r>
        <w:rPr>
          <w:rFonts w:ascii="Arial" w:hAnsi="Arial" w:cs="Arial"/>
        </w:rPr>
        <w:t xml:space="preserve">5. </w:t>
      </w:r>
      <w:r w:rsidR="00B72ED3" w:rsidRPr="00B72ED3">
        <w:rPr>
          <w:rFonts w:ascii="Arial" w:hAnsi="Arial" w:cs="Arial"/>
        </w:rPr>
        <w:t xml:space="preserve">É inviável analisar a tese de que não teria sido comprovado o pagamento da sanção imposta pela Capitania dos Portos, pois o conhecimento dessa questão demanda revolvimento fático-probatório (Súmula 7/STJ). </w:t>
      </w:r>
      <w:r>
        <w:rPr>
          <w:rFonts w:ascii="Arial" w:hAnsi="Arial" w:cs="Arial"/>
        </w:rPr>
        <w:t xml:space="preserve">6. </w:t>
      </w:r>
      <w:proofErr w:type="spellStart"/>
      <w:r w:rsidR="00B72ED3" w:rsidRPr="00B72ED3">
        <w:rPr>
          <w:rFonts w:ascii="Arial" w:hAnsi="Arial" w:cs="Arial"/>
        </w:rPr>
        <w:t>Inafastável</w:t>
      </w:r>
      <w:proofErr w:type="spellEnd"/>
      <w:r w:rsidR="00B72ED3" w:rsidRPr="00B72ED3">
        <w:rPr>
          <w:rFonts w:ascii="Arial" w:hAnsi="Arial" w:cs="Arial"/>
        </w:rPr>
        <w:t xml:space="preserve"> a competência municipal para aplicar multa em virtude dos danos ambientais provocados pelo incidente ocorrido na Baía da Ilha Grande, visto que a área é abrangida pelo Município de Angra dos Reis. Impossível deixar de reconhecer a competência da União, exercida pela Marinha do Brasil - Capitania dos Portos, especialmente considerando que a atividade desenvolvida pela Petrobras implica alto risco de causar lesões a seus bens naturais. Nesse sentido: </w:t>
      </w:r>
      <w:proofErr w:type="spellStart"/>
      <w:r w:rsidR="00B72ED3" w:rsidRPr="00B72ED3">
        <w:rPr>
          <w:rFonts w:ascii="Arial" w:hAnsi="Arial" w:cs="Arial"/>
        </w:rPr>
        <w:t>REsp</w:t>
      </w:r>
      <w:proofErr w:type="spellEnd"/>
      <w:r w:rsidR="00B72ED3" w:rsidRPr="00B72ED3">
        <w:rPr>
          <w:rFonts w:ascii="Arial" w:hAnsi="Arial" w:cs="Arial"/>
        </w:rPr>
        <w:t xml:space="preserve"> 673.765/RJ, Relator Ministro Luiz </w:t>
      </w:r>
      <w:proofErr w:type="spellStart"/>
      <w:r w:rsidR="00B72ED3" w:rsidRPr="00B72ED3">
        <w:rPr>
          <w:rFonts w:ascii="Arial" w:hAnsi="Arial" w:cs="Arial"/>
        </w:rPr>
        <w:t>Fux</w:t>
      </w:r>
      <w:proofErr w:type="spellEnd"/>
      <w:r w:rsidR="00B72ED3" w:rsidRPr="00B72ED3">
        <w:rPr>
          <w:rFonts w:ascii="Arial" w:hAnsi="Arial" w:cs="Arial"/>
        </w:rPr>
        <w:t xml:space="preserve">, DJ de 26/9/2005, p. 214. </w:t>
      </w:r>
      <w:r>
        <w:rPr>
          <w:rFonts w:ascii="Arial" w:hAnsi="Arial" w:cs="Arial"/>
        </w:rPr>
        <w:t xml:space="preserve">7. </w:t>
      </w:r>
      <w:r w:rsidR="00B72ED3" w:rsidRPr="00B72ED3">
        <w:rPr>
          <w:rFonts w:ascii="Arial" w:hAnsi="Arial" w:cs="Arial"/>
        </w:rPr>
        <w:t>Recurso Especial parcialmente conhecido e, nessa parte, provido.</w:t>
      </w:r>
    </w:p>
    <w:p w14:paraId="095FF80A" w14:textId="77777777" w:rsidR="00B72ED3" w:rsidRPr="00B72ED3" w:rsidRDefault="00B72ED3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1BB4FC1" w14:textId="77777777" w:rsidR="00B72ED3" w:rsidRDefault="00B72ED3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hyperlink r:id="rId11" w:history="1">
        <w:proofErr w:type="spellStart"/>
        <w:r w:rsidRPr="00B72ED3">
          <w:rPr>
            <w:rStyle w:val="Hyperlink"/>
            <w:rFonts w:ascii="Arial" w:hAnsi="Arial" w:cs="Arial"/>
          </w:rPr>
          <w:t>REsp</w:t>
        </w:r>
        <w:proofErr w:type="spellEnd"/>
        <w:r w:rsidRPr="00B72ED3">
          <w:rPr>
            <w:rStyle w:val="Hyperlink"/>
            <w:rFonts w:ascii="Arial" w:hAnsi="Arial" w:cs="Arial"/>
          </w:rPr>
          <w:t xml:space="preserve"> </w:t>
        </w:r>
        <w:r w:rsidRPr="00B72ED3">
          <w:rPr>
            <w:rStyle w:val="Hyperlink"/>
            <w:rFonts w:ascii="Arial" w:hAnsi="Arial" w:cs="Arial"/>
          </w:rPr>
          <w:t>1</w:t>
        </w:r>
        <w:r w:rsidRPr="00B72ED3">
          <w:rPr>
            <w:rStyle w:val="Hyperlink"/>
            <w:rFonts w:ascii="Arial" w:hAnsi="Arial" w:cs="Arial"/>
          </w:rPr>
          <w:t>1</w:t>
        </w:r>
        <w:r w:rsidRPr="00B72ED3">
          <w:rPr>
            <w:rStyle w:val="Hyperlink"/>
            <w:rFonts w:ascii="Arial" w:hAnsi="Arial" w:cs="Arial"/>
          </w:rPr>
          <w:t>3</w:t>
        </w:r>
        <w:r w:rsidRPr="00B72ED3">
          <w:rPr>
            <w:rStyle w:val="Hyperlink"/>
            <w:rFonts w:ascii="Arial" w:hAnsi="Arial" w:cs="Arial"/>
          </w:rPr>
          <w:t>2</w:t>
        </w:r>
        <w:r w:rsidRPr="00B72ED3">
          <w:rPr>
            <w:rStyle w:val="Hyperlink"/>
            <w:rFonts w:ascii="Arial" w:hAnsi="Arial" w:cs="Arial"/>
          </w:rPr>
          <w:t>682/RJ</w:t>
        </w:r>
      </w:hyperlink>
      <w:r w:rsidRPr="00B72ED3">
        <w:rPr>
          <w:rFonts w:ascii="Arial" w:hAnsi="Arial" w:cs="Arial"/>
          <w:color w:val="000000" w:themeColor="text1"/>
        </w:rPr>
        <w:t>, Rel. Ministro Herman Benjamin, SEGUNDA TURMA, julgado em 13/12/2016</w:t>
      </w:r>
    </w:p>
    <w:p w14:paraId="4F0CC3CC" w14:textId="77777777" w:rsidR="00B72ED3" w:rsidRDefault="00B72ED3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7C04D24" w14:textId="77777777" w:rsidR="00B72ED3" w:rsidRPr="00B72ED3" w:rsidRDefault="00B72ED3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7EBC30A" w14:textId="77777777" w:rsidR="00D255CD" w:rsidRPr="00B72ED3" w:rsidRDefault="00D255CD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4A79721" w14:textId="675BFD2E" w:rsidR="00543DF0" w:rsidRPr="00B72ED3" w:rsidRDefault="00543DF0" w:rsidP="00B72ED3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B72ED3">
        <w:rPr>
          <w:b/>
          <w:sz w:val="20"/>
          <w:szCs w:val="20"/>
        </w:rPr>
        <w:t>Acesse também:</w:t>
      </w:r>
    </w:p>
    <w:p w14:paraId="7C5D90F2" w14:textId="77777777" w:rsidR="0002789E" w:rsidRPr="00B72ED3" w:rsidRDefault="005146DB" w:rsidP="00B72ED3">
      <w:pPr>
        <w:pStyle w:val="Default"/>
        <w:spacing w:line="276" w:lineRule="auto"/>
        <w:jc w:val="center"/>
        <w:rPr>
          <w:rStyle w:val="Hyperlink"/>
          <w:sz w:val="20"/>
          <w:szCs w:val="20"/>
        </w:rPr>
      </w:pPr>
      <w:hyperlink r:id="rId12" w:history="1">
        <w:r w:rsidR="0002789E" w:rsidRPr="00B72ED3">
          <w:rPr>
            <w:rStyle w:val="Hyperlink"/>
            <w:b/>
            <w:sz w:val="20"/>
            <w:szCs w:val="20"/>
          </w:rPr>
          <w:t>Pesquisas Prontas</w:t>
        </w:r>
      </w:hyperlink>
    </w:p>
    <w:p w14:paraId="2C8E8A74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3624566" w14:textId="77777777" w:rsidR="0002789E" w:rsidRPr="00B72ED3" w:rsidRDefault="005146DB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3" w:history="1">
        <w:r w:rsidR="0002789E" w:rsidRPr="00B72ED3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1C0D6247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87FF9F6" w14:textId="77777777" w:rsidR="0002789E" w:rsidRPr="00B72ED3" w:rsidRDefault="005146DB" w:rsidP="00B72ED3">
      <w:pPr>
        <w:pStyle w:val="Default"/>
        <w:spacing w:line="276" w:lineRule="auto"/>
        <w:jc w:val="center"/>
        <w:rPr>
          <w:sz w:val="20"/>
          <w:szCs w:val="20"/>
        </w:rPr>
      </w:pPr>
      <w:hyperlink r:id="rId14" w:history="1">
        <w:proofErr w:type="spellStart"/>
        <w:r w:rsidR="0002789E" w:rsidRPr="00B72ED3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70A526BC" w14:textId="77777777" w:rsidR="0002789E" w:rsidRPr="00B72ED3" w:rsidRDefault="0002789E" w:rsidP="00B72ED3">
      <w:pPr>
        <w:pStyle w:val="Default"/>
        <w:spacing w:line="276" w:lineRule="auto"/>
        <w:jc w:val="center"/>
        <w:rPr>
          <w:sz w:val="20"/>
          <w:szCs w:val="20"/>
        </w:rPr>
      </w:pPr>
    </w:p>
    <w:p w14:paraId="0ACBE85F" w14:textId="77777777" w:rsidR="0002789E" w:rsidRPr="00B72ED3" w:rsidRDefault="005146DB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5" w:history="1">
        <w:r w:rsidR="0002789E" w:rsidRPr="00B72ED3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4B9E318B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0EDF81B5" w14:textId="77777777" w:rsidR="0002789E" w:rsidRPr="00B72ED3" w:rsidRDefault="005146DB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02789E" w:rsidRPr="00B72ED3">
          <w:rPr>
            <w:rStyle w:val="Hyperlink"/>
            <w:b/>
            <w:sz w:val="20"/>
            <w:szCs w:val="20"/>
          </w:rPr>
          <w:t>Súmulas Selecionadas</w:t>
        </w:r>
      </w:hyperlink>
    </w:p>
    <w:p w14:paraId="2F7FB8EC" w14:textId="77777777" w:rsidR="00270E2F" w:rsidRPr="00B72ED3" w:rsidRDefault="00270E2F" w:rsidP="00B72ED3">
      <w:pPr>
        <w:pStyle w:val="TCU-Epgrafe"/>
        <w:spacing w:line="276" w:lineRule="auto"/>
        <w:ind w:left="0"/>
        <w:jc w:val="center"/>
        <w:rPr>
          <w:rFonts w:ascii="Arial" w:hAnsi="Arial" w:cs="Arial"/>
          <w:sz w:val="20"/>
        </w:rPr>
      </w:pPr>
      <w:r w:rsidRPr="00B72ED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935BE1" wp14:editId="0C3872BA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E60A1A" w14:textId="77777777" w:rsidR="00984E8B" w:rsidRPr="00B72ED3" w:rsidRDefault="00984E8B" w:rsidP="00B72ED3">
      <w:pPr>
        <w:spacing w:line="276" w:lineRule="auto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011E7585" w14:textId="77777777" w:rsidR="00DB558E" w:rsidRPr="00B72ED3" w:rsidRDefault="00DB558E" w:rsidP="00B72ED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14:paraId="088F1C47" w14:textId="77777777" w:rsidR="00DB558E" w:rsidRPr="00B72ED3" w:rsidRDefault="00DB558E" w:rsidP="00B72ED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53C82AB" w14:textId="77777777" w:rsidR="00E01524" w:rsidRPr="00B72ED3" w:rsidRDefault="00E01524" w:rsidP="00B72ED3">
      <w:pPr>
        <w:pStyle w:val="TCU-Epgrafe"/>
        <w:spacing w:line="276" w:lineRule="auto"/>
        <w:ind w:left="0"/>
        <w:jc w:val="center"/>
        <w:rPr>
          <w:rFonts w:ascii="Arial" w:hAnsi="Arial" w:cs="Arial"/>
          <w:b/>
          <w:sz w:val="20"/>
        </w:rPr>
      </w:pPr>
    </w:p>
    <w:sectPr w:rsidR="00E01524" w:rsidRPr="00B72ED3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1E92" w14:textId="77777777" w:rsidR="005146DB" w:rsidRDefault="005146DB" w:rsidP="00350CC2">
      <w:r>
        <w:separator/>
      </w:r>
    </w:p>
  </w:endnote>
  <w:endnote w:type="continuationSeparator" w:id="0">
    <w:p w14:paraId="68825255" w14:textId="77777777" w:rsidR="005146DB" w:rsidRDefault="005146DB" w:rsidP="003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4AF15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323DBF1D" wp14:editId="05D98FFC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DAB92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7A6BA1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14:paraId="294BCBF1" w14:textId="77777777" w:rsidR="00375DB6" w:rsidRDefault="00375DB6"/>
  <w:p w14:paraId="5BDBB677" w14:textId="77777777" w:rsidR="00375DB6" w:rsidRDefault="00375DB6"/>
  <w:p w14:paraId="16F3CBE0" w14:textId="77777777" w:rsidR="00375DB6" w:rsidRDefault="00375D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B1915" w14:textId="77777777" w:rsidR="005146DB" w:rsidRDefault="005146DB" w:rsidP="00350CC2">
      <w:r>
        <w:separator/>
      </w:r>
    </w:p>
  </w:footnote>
  <w:footnote w:type="continuationSeparator" w:id="0">
    <w:p w14:paraId="58A07ADA" w14:textId="77777777" w:rsidR="005146DB" w:rsidRDefault="005146DB" w:rsidP="00350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9D407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1117CB5D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A3749B5" wp14:editId="6613827D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6FF">
      <w:rPr>
        <w:noProof/>
        <w:lang w:eastAsia="pt-BR"/>
      </w:rPr>
      <w:drawing>
        <wp:inline distT="0" distB="0" distL="0" distR="0" wp14:anchorId="1581D82B" wp14:editId="314EAC89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74B"/>
    <w:multiLevelType w:val="multilevel"/>
    <w:tmpl w:val="E10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60B5D"/>
    <w:multiLevelType w:val="multilevel"/>
    <w:tmpl w:val="621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7408"/>
    <w:multiLevelType w:val="multilevel"/>
    <w:tmpl w:val="696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1F2C"/>
    <w:multiLevelType w:val="multilevel"/>
    <w:tmpl w:val="2D7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4EA1"/>
    <w:multiLevelType w:val="multilevel"/>
    <w:tmpl w:val="7EE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D384D"/>
    <w:multiLevelType w:val="multilevel"/>
    <w:tmpl w:val="60F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05C"/>
    <w:multiLevelType w:val="multilevel"/>
    <w:tmpl w:val="8C0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523F"/>
    <w:multiLevelType w:val="multilevel"/>
    <w:tmpl w:val="EEC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A12"/>
    <w:multiLevelType w:val="multilevel"/>
    <w:tmpl w:val="801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8BB"/>
    <w:multiLevelType w:val="multilevel"/>
    <w:tmpl w:val="FC8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F341B"/>
    <w:multiLevelType w:val="hybridMultilevel"/>
    <w:tmpl w:val="F04C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5A9E"/>
    <w:multiLevelType w:val="multilevel"/>
    <w:tmpl w:val="36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E5F26"/>
    <w:multiLevelType w:val="multilevel"/>
    <w:tmpl w:val="E5E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23"/>
  </w:num>
  <w:num w:numId="5">
    <w:abstractNumId w:val="24"/>
  </w:num>
  <w:num w:numId="6">
    <w:abstractNumId w:val="17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20"/>
  </w:num>
  <w:num w:numId="17">
    <w:abstractNumId w:val="9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21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1"/>
    <w:rsid w:val="00001F0E"/>
    <w:rsid w:val="00003020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5E26"/>
    <w:rsid w:val="000262AD"/>
    <w:rsid w:val="0002789E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709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5C5"/>
    <w:rsid w:val="000A06BE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5E99"/>
    <w:rsid w:val="00156185"/>
    <w:rsid w:val="00156F74"/>
    <w:rsid w:val="00157806"/>
    <w:rsid w:val="00157D64"/>
    <w:rsid w:val="0016028F"/>
    <w:rsid w:val="00161AA2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90B94"/>
    <w:rsid w:val="001927A5"/>
    <w:rsid w:val="001930D1"/>
    <w:rsid w:val="001942C5"/>
    <w:rsid w:val="00196437"/>
    <w:rsid w:val="001975AB"/>
    <w:rsid w:val="001A16DE"/>
    <w:rsid w:val="001A1F53"/>
    <w:rsid w:val="001A5D2D"/>
    <w:rsid w:val="001A73A2"/>
    <w:rsid w:val="001B096B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38CC"/>
    <w:rsid w:val="001E5F2E"/>
    <w:rsid w:val="001E6CAA"/>
    <w:rsid w:val="001E73FF"/>
    <w:rsid w:val="001E75A7"/>
    <w:rsid w:val="001F0424"/>
    <w:rsid w:val="001F7A25"/>
    <w:rsid w:val="00200A2C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3A0"/>
    <w:rsid w:val="00232878"/>
    <w:rsid w:val="0023318C"/>
    <w:rsid w:val="00234AE0"/>
    <w:rsid w:val="00235F82"/>
    <w:rsid w:val="00236689"/>
    <w:rsid w:val="00237C21"/>
    <w:rsid w:val="0024200E"/>
    <w:rsid w:val="002426C3"/>
    <w:rsid w:val="00243F9F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A365A"/>
    <w:rsid w:val="002B070A"/>
    <w:rsid w:val="002B0F20"/>
    <w:rsid w:val="002B14B7"/>
    <w:rsid w:val="002B297F"/>
    <w:rsid w:val="002B38A8"/>
    <w:rsid w:val="002B5E9F"/>
    <w:rsid w:val="002B69CC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22B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73BA"/>
    <w:rsid w:val="002F7BA5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13733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270E"/>
    <w:rsid w:val="00333875"/>
    <w:rsid w:val="0033604C"/>
    <w:rsid w:val="003407F0"/>
    <w:rsid w:val="00342B5C"/>
    <w:rsid w:val="00343C28"/>
    <w:rsid w:val="00344A3D"/>
    <w:rsid w:val="00344A41"/>
    <w:rsid w:val="0034575E"/>
    <w:rsid w:val="00345C65"/>
    <w:rsid w:val="0035048F"/>
    <w:rsid w:val="00350CC2"/>
    <w:rsid w:val="00351206"/>
    <w:rsid w:val="0035203F"/>
    <w:rsid w:val="003528A1"/>
    <w:rsid w:val="00352A72"/>
    <w:rsid w:val="0035371B"/>
    <w:rsid w:val="00353FEB"/>
    <w:rsid w:val="0035491E"/>
    <w:rsid w:val="00356987"/>
    <w:rsid w:val="00356FB0"/>
    <w:rsid w:val="00360429"/>
    <w:rsid w:val="00360B11"/>
    <w:rsid w:val="00361DA5"/>
    <w:rsid w:val="00361F1D"/>
    <w:rsid w:val="00362451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54BD"/>
    <w:rsid w:val="0038751C"/>
    <w:rsid w:val="0038778B"/>
    <w:rsid w:val="00393AE3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48A6"/>
    <w:rsid w:val="003D650C"/>
    <w:rsid w:val="003D6713"/>
    <w:rsid w:val="003D6E90"/>
    <w:rsid w:val="003D704E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37A"/>
    <w:rsid w:val="00416A72"/>
    <w:rsid w:val="00420AE1"/>
    <w:rsid w:val="00424D0F"/>
    <w:rsid w:val="0042728A"/>
    <w:rsid w:val="004276DC"/>
    <w:rsid w:val="0042779B"/>
    <w:rsid w:val="00427BD4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1CA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8AD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199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C0B99"/>
    <w:rsid w:val="004C11DE"/>
    <w:rsid w:val="004C13DB"/>
    <w:rsid w:val="004C2577"/>
    <w:rsid w:val="004D00EF"/>
    <w:rsid w:val="004D14AD"/>
    <w:rsid w:val="004D376C"/>
    <w:rsid w:val="004D3864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46DB"/>
    <w:rsid w:val="00514A9E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5E2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36"/>
    <w:rsid w:val="0059537A"/>
    <w:rsid w:val="005957D1"/>
    <w:rsid w:val="00597215"/>
    <w:rsid w:val="005A0FD0"/>
    <w:rsid w:val="005A143D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DB7"/>
    <w:rsid w:val="005C5DC8"/>
    <w:rsid w:val="005C661E"/>
    <w:rsid w:val="005C7258"/>
    <w:rsid w:val="005D1E9E"/>
    <w:rsid w:val="005D48C8"/>
    <w:rsid w:val="005D58CE"/>
    <w:rsid w:val="005D6DB4"/>
    <w:rsid w:val="005D7445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4D43"/>
    <w:rsid w:val="00606B1E"/>
    <w:rsid w:val="006105E3"/>
    <w:rsid w:val="006115E2"/>
    <w:rsid w:val="00613D08"/>
    <w:rsid w:val="0061491F"/>
    <w:rsid w:val="00615FC7"/>
    <w:rsid w:val="00620DEF"/>
    <w:rsid w:val="0062204C"/>
    <w:rsid w:val="00622EE0"/>
    <w:rsid w:val="00623188"/>
    <w:rsid w:val="00626DD6"/>
    <w:rsid w:val="0062719D"/>
    <w:rsid w:val="00627FDF"/>
    <w:rsid w:val="00630296"/>
    <w:rsid w:val="006331E3"/>
    <w:rsid w:val="00633776"/>
    <w:rsid w:val="00633C62"/>
    <w:rsid w:val="006359FD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2C29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535"/>
    <w:rsid w:val="00681787"/>
    <w:rsid w:val="00681EC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4C7"/>
    <w:rsid w:val="006D158F"/>
    <w:rsid w:val="006D1B83"/>
    <w:rsid w:val="006D1BE7"/>
    <w:rsid w:val="006D3590"/>
    <w:rsid w:val="006D5C98"/>
    <w:rsid w:val="006D5DB6"/>
    <w:rsid w:val="006D6FCC"/>
    <w:rsid w:val="006E0A9F"/>
    <w:rsid w:val="006E12D5"/>
    <w:rsid w:val="006E1EDC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40240"/>
    <w:rsid w:val="0074037C"/>
    <w:rsid w:val="00742895"/>
    <w:rsid w:val="00742B72"/>
    <w:rsid w:val="00742BC9"/>
    <w:rsid w:val="00743251"/>
    <w:rsid w:val="007436B5"/>
    <w:rsid w:val="007437CA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49B4"/>
    <w:rsid w:val="0079708B"/>
    <w:rsid w:val="0079779E"/>
    <w:rsid w:val="007A6BA1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2162"/>
    <w:rsid w:val="007D2855"/>
    <w:rsid w:val="007D3272"/>
    <w:rsid w:val="007D5A53"/>
    <w:rsid w:val="007D5D8E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D7C"/>
    <w:rsid w:val="0080743C"/>
    <w:rsid w:val="00807854"/>
    <w:rsid w:val="00811012"/>
    <w:rsid w:val="00811A90"/>
    <w:rsid w:val="00813846"/>
    <w:rsid w:val="00814325"/>
    <w:rsid w:val="00815C4F"/>
    <w:rsid w:val="008161C2"/>
    <w:rsid w:val="00816767"/>
    <w:rsid w:val="00816942"/>
    <w:rsid w:val="0081738B"/>
    <w:rsid w:val="0082026A"/>
    <w:rsid w:val="008219BA"/>
    <w:rsid w:val="008237A8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05F"/>
    <w:rsid w:val="008561BF"/>
    <w:rsid w:val="00861DB4"/>
    <w:rsid w:val="00861E25"/>
    <w:rsid w:val="008633B6"/>
    <w:rsid w:val="0086402F"/>
    <w:rsid w:val="00866481"/>
    <w:rsid w:val="0087076A"/>
    <w:rsid w:val="00870853"/>
    <w:rsid w:val="008726DE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058"/>
    <w:rsid w:val="008A1517"/>
    <w:rsid w:val="008A2307"/>
    <w:rsid w:val="008A2B8F"/>
    <w:rsid w:val="008A2BB7"/>
    <w:rsid w:val="008A4000"/>
    <w:rsid w:val="008A4A65"/>
    <w:rsid w:val="008A6621"/>
    <w:rsid w:val="008A70A5"/>
    <w:rsid w:val="008B0E08"/>
    <w:rsid w:val="008B201B"/>
    <w:rsid w:val="008B222E"/>
    <w:rsid w:val="008B2D64"/>
    <w:rsid w:val="008B368E"/>
    <w:rsid w:val="008B38A4"/>
    <w:rsid w:val="008B38EE"/>
    <w:rsid w:val="008B3E8F"/>
    <w:rsid w:val="008B4F2F"/>
    <w:rsid w:val="008B55B4"/>
    <w:rsid w:val="008B6A00"/>
    <w:rsid w:val="008B750A"/>
    <w:rsid w:val="008B7AA1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36D8"/>
    <w:rsid w:val="008E5642"/>
    <w:rsid w:val="008E5CC2"/>
    <w:rsid w:val="008F2E20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49FD"/>
    <w:rsid w:val="00920480"/>
    <w:rsid w:val="00920D01"/>
    <w:rsid w:val="00923B20"/>
    <w:rsid w:val="009263D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577A"/>
    <w:rsid w:val="009470DD"/>
    <w:rsid w:val="009518D9"/>
    <w:rsid w:val="0095236F"/>
    <w:rsid w:val="00952404"/>
    <w:rsid w:val="00953350"/>
    <w:rsid w:val="00955BDA"/>
    <w:rsid w:val="0096328F"/>
    <w:rsid w:val="009646AB"/>
    <w:rsid w:val="00965F52"/>
    <w:rsid w:val="0096737A"/>
    <w:rsid w:val="009674C6"/>
    <w:rsid w:val="00967EE5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5BE"/>
    <w:rsid w:val="009C29C5"/>
    <w:rsid w:val="009C5C75"/>
    <w:rsid w:val="009D1C23"/>
    <w:rsid w:val="009D2A29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514D"/>
    <w:rsid w:val="00A35318"/>
    <w:rsid w:val="00A40F98"/>
    <w:rsid w:val="00A41EF2"/>
    <w:rsid w:val="00A4241A"/>
    <w:rsid w:val="00A42619"/>
    <w:rsid w:val="00A4267D"/>
    <w:rsid w:val="00A427B2"/>
    <w:rsid w:val="00A43DEB"/>
    <w:rsid w:val="00A44DDA"/>
    <w:rsid w:val="00A476D7"/>
    <w:rsid w:val="00A47D62"/>
    <w:rsid w:val="00A53CDD"/>
    <w:rsid w:val="00A53EE6"/>
    <w:rsid w:val="00A54810"/>
    <w:rsid w:val="00A5538A"/>
    <w:rsid w:val="00A564AE"/>
    <w:rsid w:val="00A5710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4ED2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6AFC"/>
    <w:rsid w:val="00AC7830"/>
    <w:rsid w:val="00AD0466"/>
    <w:rsid w:val="00AD155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6BD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9FD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356"/>
    <w:rsid w:val="00B34863"/>
    <w:rsid w:val="00B37580"/>
    <w:rsid w:val="00B4137A"/>
    <w:rsid w:val="00B43DA3"/>
    <w:rsid w:val="00B47C4C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496C"/>
    <w:rsid w:val="00B65962"/>
    <w:rsid w:val="00B66B6C"/>
    <w:rsid w:val="00B7033E"/>
    <w:rsid w:val="00B7071A"/>
    <w:rsid w:val="00B71858"/>
    <w:rsid w:val="00B71A39"/>
    <w:rsid w:val="00B721DC"/>
    <w:rsid w:val="00B72ED3"/>
    <w:rsid w:val="00B74715"/>
    <w:rsid w:val="00B7669D"/>
    <w:rsid w:val="00B766D9"/>
    <w:rsid w:val="00B80A28"/>
    <w:rsid w:val="00B81C42"/>
    <w:rsid w:val="00B82D73"/>
    <w:rsid w:val="00B84A2C"/>
    <w:rsid w:val="00B871D6"/>
    <w:rsid w:val="00B87A02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A673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24966"/>
    <w:rsid w:val="00C30A7D"/>
    <w:rsid w:val="00C31169"/>
    <w:rsid w:val="00C3169F"/>
    <w:rsid w:val="00C318F6"/>
    <w:rsid w:val="00C37522"/>
    <w:rsid w:val="00C42EFD"/>
    <w:rsid w:val="00C4357B"/>
    <w:rsid w:val="00C43D8B"/>
    <w:rsid w:val="00C44042"/>
    <w:rsid w:val="00C46AF0"/>
    <w:rsid w:val="00C525F2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5F4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9733F"/>
    <w:rsid w:val="00CA184E"/>
    <w:rsid w:val="00CA23C4"/>
    <w:rsid w:val="00CA575F"/>
    <w:rsid w:val="00CA5AEC"/>
    <w:rsid w:val="00CA6114"/>
    <w:rsid w:val="00CA704A"/>
    <w:rsid w:val="00CA7D59"/>
    <w:rsid w:val="00CB0797"/>
    <w:rsid w:val="00CB21FF"/>
    <w:rsid w:val="00CB5CAE"/>
    <w:rsid w:val="00CB644C"/>
    <w:rsid w:val="00CB78ED"/>
    <w:rsid w:val="00CC0004"/>
    <w:rsid w:val="00CC4E55"/>
    <w:rsid w:val="00CC4E94"/>
    <w:rsid w:val="00CC550E"/>
    <w:rsid w:val="00CC5AC6"/>
    <w:rsid w:val="00CD0DCE"/>
    <w:rsid w:val="00CD1628"/>
    <w:rsid w:val="00CD1D27"/>
    <w:rsid w:val="00CD27B7"/>
    <w:rsid w:val="00CD3090"/>
    <w:rsid w:val="00CD37A1"/>
    <w:rsid w:val="00CD3807"/>
    <w:rsid w:val="00CD3AE7"/>
    <w:rsid w:val="00CD3C10"/>
    <w:rsid w:val="00CD5194"/>
    <w:rsid w:val="00CD5981"/>
    <w:rsid w:val="00CD5D25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777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0524"/>
    <w:rsid w:val="00D211AE"/>
    <w:rsid w:val="00D21662"/>
    <w:rsid w:val="00D22EE1"/>
    <w:rsid w:val="00D23DE4"/>
    <w:rsid w:val="00D23F50"/>
    <w:rsid w:val="00D24867"/>
    <w:rsid w:val="00D255CD"/>
    <w:rsid w:val="00D318E3"/>
    <w:rsid w:val="00D323A7"/>
    <w:rsid w:val="00D346BF"/>
    <w:rsid w:val="00D34A4B"/>
    <w:rsid w:val="00D36071"/>
    <w:rsid w:val="00D416EB"/>
    <w:rsid w:val="00D41B20"/>
    <w:rsid w:val="00D44615"/>
    <w:rsid w:val="00D45321"/>
    <w:rsid w:val="00D46F57"/>
    <w:rsid w:val="00D50324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661"/>
    <w:rsid w:val="00D70A39"/>
    <w:rsid w:val="00D71A7E"/>
    <w:rsid w:val="00D7643D"/>
    <w:rsid w:val="00D76DE0"/>
    <w:rsid w:val="00D80DF0"/>
    <w:rsid w:val="00D83ED5"/>
    <w:rsid w:val="00D86043"/>
    <w:rsid w:val="00D870D4"/>
    <w:rsid w:val="00D9046A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21B"/>
    <w:rsid w:val="00DB74AF"/>
    <w:rsid w:val="00DC1AB8"/>
    <w:rsid w:val="00DC5C19"/>
    <w:rsid w:val="00DC7068"/>
    <w:rsid w:val="00DD0411"/>
    <w:rsid w:val="00DD265A"/>
    <w:rsid w:val="00DD314C"/>
    <w:rsid w:val="00DD6B9B"/>
    <w:rsid w:val="00DD6CE2"/>
    <w:rsid w:val="00DD6D0C"/>
    <w:rsid w:val="00DE07A1"/>
    <w:rsid w:val="00DE21A2"/>
    <w:rsid w:val="00DE2776"/>
    <w:rsid w:val="00DE3B11"/>
    <w:rsid w:val="00DE4B94"/>
    <w:rsid w:val="00DE6E4E"/>
    <w:rsid w:val="00DE7183"/>
    <w:rsid w:val="00DF1DAC"/>
    <w:rsid w:val="00DF2165"/>
    <w:rsid w:val="00DF5A24"/>
    <w:rsid w:val="00DF60E6"/>
    <w:rsid w:val="00DF6105"/>
    <w:rsid w:val="00DF659E"/>
    <w:rsid w:val="00DF6F7F"/>
    <w:rsid w:val="00E01524"/>
    <w:rsid w:val="00E06816"/>
    <w:rsid w:val="00E07C16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5435"/>
    <w:rsid w:val="00E37194"/>
    <w:rsid w:val="00E3788B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542"/>
    <w:rsid w:val="00E56A7A"/>
    <w:rsid w:val="00E60419"/>
    <w:rsid w:val="00E60E01"/>
    <w:rsid w:val="00E617D3"/>
    <w:rsid w:val="00E61E36"/>
    <w:rsid w:val="00E633C1"/>
    <w:rsid w:val="00E65C68"/>
    <w:rsid w:val="00E667B0"/>
    <w:rsid w:val="00E67390"/>
    <w:rsid w:val="00E71365"/>
    <w:rsid w:val="00E74904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4D1A"/>
    <w:rsid w:val="00E9531E"/>
    <w:rsid w:val="00E95A8E"/>
    <w:rsid w:val="00E95E41"/>
    <w:rsid w:val="00E95E4C"/>
    <w:rsid w:val="00E977CE"/>
    <w:rsid w:val="00E97E05"/>
    <w:rsid w:val="00EA1370"/>
    <w:rsid w:val="00EA198C"/>
    <w:rsid w:val="00EA34E2"/>
    <w:rsid w:val="00EA52D1"/>
    <w:rsid w:val="00EA703E"/>
    <w:rsid w:val="00EA791F"/>
    <w:rsid w:val="00EB671F"/>
    <w:rsid w:val="00EB6D0B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6FF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5410"/>
    <w:rsid w:val="00F2601A"/>
    <w:rsid w:val="00F26701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5FE6"/>
    <w:rsid w:val="00F469B9"/>
    <w:rsid w:val="00F46AC0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5D6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C7478"/>
    <w:rsid w:val="00FD0A26"/>
    <w:rsid w:val="00FD118C"/>
    <w:rsid w:val="00FD2A7C"/>
    <w:rsid w:val="00FD332F"/>
    <w:rsid w:val="00FD7395"/>
    <w:rsid w:val="00FE1CC1"/>
    <w:rsid w:val="00FE385E"/>
    <w:rsid w:val="00FE3CE2"/>
    <w:rsid w:val="00FE542E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4ED1F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ind w:left="100" w:right="3120"/>
      <w:outlineLvl w:val="0"/>
    </w:pPr>
    <w:rPr>
      <w:rFonts w:ascii="Calibri" w:eastAsia="Calibri" w:hAnsi="Calibri" w:cs="Calibri"/>
      <w:b/>
      <w:bCs/>
      <w:sz w:val="40"/>
      <w:szCs w:val="40"/>
      <w:lang w:val="en-US" w:eastAsia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/>
      <w:ind w:left="1824" w:right="322"/>
      <w:outlineLvl w:val="1"/>
    </w:pPr>
    <w:rPr>
      <w:rFonts w:ascii="Calibri" w:eastAsia="Calibri" w:hAnsi="Calibri" w:cs="Calibri"/>
      <w:b/>
      <w:bCs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85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48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/>
      <w:ind w:left="100"/>
    </w:pPr>
    <w:rPr>
      <w:rFonts w:ascii="Arial Narrow" w:eastAsia="Arial Narrow" w:hAnsi="Arial Narrow" w:cs="Arial Narrow"/>
      <w:sz w:val="18"/>
      <w:szCs w:val="18"/>
      <w:lang w:val="en-US"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</w:pPr>
    <w:rPr>
      <w:rFonts w:ascii="Arial Narrow" w:eastAsia="Arial Narrow" w:hAnsi="Arial Narrow" w:cs="Arial Narrow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ind w:left="2835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tion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after="200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D2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270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A35D6"/>
  </w:style>
  <w:style w:type="character" w:customStyle="1" w:styleId="Ttulo4Char">
    <w:name w:val="Título 4 Char"/>
    <w:basedOn w:val="Fontepargpadro"/>
    <w:link w:val="Ttulo4"/>
    <w:uiPriority w:val="9"/>
    <w:semiHidden/>
    <w:rsid w:val="003504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ostratitulonota">
    <w:name w:val="mostratitulonota"/>
    <w:basedOn w:val="Normal"/>
    <w:rsid w:val="0035048F"/>
    <w:pPr>
      <w:spacing w:before="100" w:beforeAutospacing="1" w:after="100" w:afterAutospacing="1"/>
    </w:pPr>
  </w:style>
  <w:style w:type="character" w:customStyle="1" w:styleId="lista-resultadotitulo">
    <w:name w:val="lista-resultado__titulo"/>
    <w:basedOn w:val="Fontepargpadro"/>
    <w:rsid w:val="0086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7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3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5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2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479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6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0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9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27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56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2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540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0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23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4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4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79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20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7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2576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4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1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19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16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11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3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38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95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92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50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75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65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6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9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17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3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03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06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53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1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5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49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21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317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8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08/7/pdf/00028051.pdf" TargetMode="External"/><Relationship Id="rId13" Type="http://schemas.openxmlformats.org/officeDocument/2006/relationships/hyperlink" Target="http://www1.tce.pr.gov.br/conteudo/boletim-informativo-de-jurisprudencia/280400/area/24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esquisas-prontas/308475/area/24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sumulas-selecionadas/316602/area/2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2.stj.jus.br/processo/revista/documento/mediado/?componente=ITA&amp;sequencial=1020563&amp;num_registro=200900626550&amp;data=20200312&amp;formato=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repercussao-geral-no-stf-e-os-tribunais-de-contas/307026/area/249" TargetMode="External"/><Relationship Id="rId10" Type="http://schemas.openxmlformats.org/officeDocument/2006/relationships/hyperlink" Target="https://www.tce.mt.gov.br/protocolo/detalhe/num/79227/ano/20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squisa.apps.tcu.gov.br/" TargetMode="External"/><Relationship Id="rId14" Type="http://schemas.openxmlformats.org/officeDocument/2006/relationships/hyperlink" Target="http://www1.tce.pr.gov.br/conteudo/boletim-de-jurisprudencia-internacional/316601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F797-9CC4-49A3-9F93-8C6110EF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1652</Words>
  <Characters>8924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Lucimare</cp:lastModifiedBy>
  <cp:revision>6</cp:revision>
  <cp:lastPrinted>2019-04-01T19:45:00Z</cp:lastPrinted>
  <dcterms:created xsi:type="dcterms:W3CDTF">2020-04-22T20:02:00Z</dcterms:created>
  <dcterms:modified xsi:type="dcterms:W3CDTF">2020-04-22T20:15:00Z</dcterms:modified>
</cp:coreProperties>
</file>