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674104" w:rsidRDefault="00000000" w14:paraId="18A9500D" w14:textId="77777777">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rsidR="00674104" w:rsidRDefault="00674104" w14:paraId="3270AF62" w14:textId="77777777">
      <w:pPr>
        <w:jc w:val="center"/>
        <w:rPr>
          <w:rFonts w:ascii="Arial" w:hAnsi="Arial" w:cs="Arial"/>
          <w:b/>
          <w:sz w:val="20"/>
          <w:szCs w:val="20"/>
        </w:rPr>
      </w:pPr>
    </w:p>
    <w:p w:rsidR="00674104" w:rsidRDefault="00000000" w14:paraId="2804FFF8" w14:textId="5F5D1FB9">
      <w:pPr>
        <w:jc w:val="center"/>
        <w:rPr>
          <w:rFonts w:ascii="Arial" w:hAnsi="Arial" w:cs="Arial"/>
          <w:b/>
          <w:sz w:val="20"/>
          <w:szCs w:val="20"/>
        </w:rPr>
      </w:pPr>
      <w:r>
        <w:rPr>
          <w:rFonts w:ascii="Arial" w:hAnsi="Arial" w:cs="Arial"/>
          <w:b/>
          <w:sz w:val="20"/>
          <w:szCs w:val="20"/>
        </w:rPr>
        <w:t>Número 2</w:t>
      </w:r>
      <w:r w:rsidR="005E0B12">
        <w:rPr>
          <w:rFonts w:ascii="Arial" w:hAnsi="Arial" w:cs="Arial"/>
          <w:b/>
          <w:sz w:val="20"/>
          <w:szCs w:val="20"/>
        </w:rPr>
        <w:t>3</w:t>
      </w:r>
    </w:p>
    <w:p w:rsidR="00674104" w:rsidRDefault="00674104" w14:paraId="62DC9DDD" w14:textId="77777777">
      <w:pPr>
        <w:jc w:val="center"/>
        <w:rPr>
          <w:rFonts w:ascii="Arial" w:hAnsi="Arial" w:cs="Arial"/>
          <w:b/>
          <w:sz w:val="20"/>
          <w:szCs w:val="20"/>
        </w:rPr>
      </w:pPr>
    </w:p>
    <w:p w:rsidR="00674104" w:rsidRDefault="00000000" w14:paraId="44A12025" w14:textId="2D78B9F0">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 evidenciando sobretudo o vetor axiológico da sustentabilidade.</w:t>
      </w:r>
    </w:p>
    <w:p w:rsidR="00674104" w:rsidRDefault="00000000" w14:paraId="745B04C1" w14:textId="77777777">
      <w:pPr>
        <w:jc w:val="both"/>
        <w:rPr>
          <w:rFonts w:ascii="Arial" w:hAnsi="Arial" w:cs="Arial"/>
          <w:sz w:val="20"/>
          <w:szCs w:val="20"/>
        </w:rPr>
      </w:pPr>
      <w:r>
        <w:rPr>
          <w:rFonts w:ascii="Arial" w:hAnsi="Arial" w:cs="Arial"/>
          <w:sz w:val="20"/>
          <w:szCs w:val="20"/>
        </w:rPr>
        <w:t xml:space="preserve"> </w:t>
      </w:r>
    </w:p>
    <w:p w:rsidR="00674104" w:rsidRDefault="00000000" w14:paraId="62D24DBB" w14:textId="77777777">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rsidR="00674104" w:rsidRDefault="00674104" w14:paraId="38FCF53F" w14:textId="77777777">
      <w:pPr>
        <w:jc w:val="both"/>
        <w:rPr>
          <w:rFonts w:ascii="Arial" w:hAnsi="Arial" w:cs="Arial"/>
          <w:sz w:val="20"/>
          <w:szCs w:val="20"/>
        </w:rPr>
      </w:pPr>
    </w:p>
    <w:p w:rsidR="00674104" w:rsidRDefault="00000000" w14:paraId="5B594475" w14:textId="77777777">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rsidR="00674104" w:rsidRDefault="00674104" w14:paraId="0AA41CCA" w14:textId="77777777">
      <w:pPr>
        <w:jc w:val="both"/>
        <w:rPr>
          <w:rFonts w:ascii="Arial" w:hAnsi="Arial" w:cs="Arial"/>
          <w:sz w:val="20"/>
          <w:szCs w:val="20"/>
        </w:rPr>
      </w:pPr>
    </w:p>
    <w:p w:rsidR="00674104" w:rsidRDefault="00000000" w14:paraId="54F13485" w14:textId="77777777">
      <w:pPr>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60800" behindDoc="0" locked="0" layoutInCell="1" allowOverlap="1" wp14:anchorId="59835C21" wp14:editId="1F723F06">
                <wp:simplePos x="0" y="0"/>
                <wp:positionH relativeFrom="margin">
                  <wp:posOffset>-635</wp:posOffset>
                </wp:positionH>
                <wp:positionV relativeFrom="paragraph">
                  <wp:posOffset>29845</wp:posOffset>
                </wp:positionV>
                <wp:extent cx="5397500" cy="0"/>
                <wp:effectExtent l="0" t="0" r="12700" b="57150"/>
                <wp:wrapNone/>
                <wp:docPr id="4" name="Conector reto 1"/>
                <wp:cNvGraphicFramePr/>
                <a:graphic xmlns:a="http://schemas.openxmlformats.org/drawingml/2006/main">
                  <a:graphicData uri="http://schemas.microsoft.com/office/word/2010/wordprocessingShape">
                    <wps:wsp>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F7E03A1">
              <v:shape id="shape 3" style="position:absolute;mso-wrap-distance-left:9.0pt;mso-wrap-distance-top:0.0pt;mso-wrap-distance-right:9.0pt;mso-wrap-distance-bottom:0.0pt;z-index:251660800;o:allowoverlap:true;o:allowincell:true;mso-position-horizontal-relative:margin;margin-left:-0.0pt;mso-position-horizontal:absolute;mso-position-vertical-relative:text;margin-top:2.4pt;mso-position-vertical:absolute;width:425.0pt;height:0.0pt;" coordsize="100000,100000" o:spid="_x0000_s3" filled="f" strokecolor="#000000" strokeweight="2.00pt" o:spt="20" path="">
                <v:path textboxrect="0,0,0,0"/>
              </v:shape>
            </w:pict>
          </mc:Fallback>
        </mc:AlternateContent>
      </w:r>
    </w:p>
    <w:p w:rsidR="00674104" w:rsidRDefault="00000000" w14:paraId="4478A291" w14:textId="77777777">
      <w:pPr>
        <w:shd w:val="clear" w:color="EEECE1" w:themeColor="background2" w:fill="EEECE1" w:themeFill="background2"/>
        <w:spacing w:line="276" w:lineRule="auto"/>
        <w:jc w:val="center"/>
        <w:rPr>
          <w:rFonts w:ascii="Arial" w:hAnsi="Arial" w:eastAsia="Arial" w:cs="Arial"/>
          <w:b/>
          <w:sz w:val="20"/>
          <w:szCs w:val="20"/>
        </w:rPr>
      </w:pPr>
      <w:r>
        <w:rPr>
          <w:rFonts w:ascii="Arial" w:hAnsi="Arial" w:eastAsia="Arial" w:cs="Arial"/>
          <w:b/>
          <w:sz w:val="20"/>
          <w:szCs w:val="20"/>
        </w:rPr>
        <w:t>SUMÁRIO</w:t>
      </w:r>
    </w:p>
    <w:p w:rsidR="00674104" w:rsidRDefault="00674104" w14:paraId="63015CC1" w14:textId="77777777">
      <w:pPr>
        <w:spacing w:line="276" w:lineRule="auto"/>
        <w:jc w:val="both"/>
        <w:rPr>
          <w:rFonts w:ascii="Arial" w:hAnsi="Arial" w:eastAsia="Arial" w:cs="Arial"/>
          <w:sz w:val="20"/>
          <w:szCs w:val="20"/>
        </w:rPr>
      </w:pPr>
    </w:p>
    <w:p w:rsidRPr="00F0599E" w:rsidR="00F0599E" w:rsidP="00F0599E" w:rsidRDefault="00F0599E" w14:paraId="05E00BD9" w14:textId="568FC4F0">
      <w:pPr>
        <w:spacing w:line="276" w:lineRule="auto"/>
        <w:jc w:val="both"/>
        <w:rPr>
          <w:rFonts w:ascii="Arial" w:hAnsi="Arial" w:eastAsia="Arial" w:cs="Arial"/>
          <w:sz w:val="20"/>
          <w:szCs w:val="20"/>
        </w:rPr>
      </w:pPr>
      <w:r w:rsidRPr="00F0599E">
        <w:rPr>
          <w:rFonts w:ascii="Arial" w:hAnsi="Arial" w:eastAsia="Arial" w:cs="Arial"/>
          <w:sz w:val="20"/>
          <w:szCs w:val="20"/>
        </w:rPr>
        <w:t>1. 1ª etapa de acompanhamento das ações de implementação do novo marco legal de saneamento básico trazido pela lei 14.026/2020. Atuação satisfatória dos órgãos federais envolvidos. Ciência. Recomendação. Remessa de cópias. Restituição dos autos à unidade técnica para prosseguimento dos trabalhos.</w:t>
      </w:r>
    </w:p>
    <w:p w:rsidR="00674104" w:rsidRDefault="00674104" w14:paraId="11D7BE6E" w14:textId="77777777">
      <w:pPr>
        <w:spacing w:line="276" w:lineRule="auto"/>
        <w:jc w:val="both"/>
        <w:rPr>
          <w:rFonts w:ascii="Arial" w:hAnsi="Arial" w:eastAsia="Arial" w:cs="Arial"/>
          <w:sz w:val="20"/>
          <w:szCs w:val="20"/>
        </w:rPr>
      </w:pPr>
    </w:p>
    <w:p w:rsidRPr="00F0599E" w:rsidR="00F0599E" w:rsidP="00F0599E" w:rsidRDefault="00F0599E" w14:paraId="15F2FAFD" w14:textId="75823C93">
      <w:pPr>
        <w:spacing w:line="276" w:lineRule="auto"/>
        <w:jc w:val="both"/>
        <w:rPr>
          <w:rFonts w:ascii="Arial" w:hAnsi="Arial" w:eastAsia="Arial" w:cs="Arial"/>
          <w:bCs/>
          <w:color w:val="000000"/>
          <w:sz w:val="20"/>
          <w:szCs w:val="20"/>
        </w:rPr>
      </w:pPr>
      <w:r w:rsidRPr="00F0599E">
        <w:rPr>
          <w:rFonts w:ascii="Arial" w:hAnsi="Arial" w:eastAsia="Arial" w:cs="Arial"/>
          <w:bCs/>
          <w:color w:val="000000"/>
          <w:sz w:val="20"/>
          <w:szCs w:val="20"/>
        </w:rPr>
        <w:t xml:space="preserve">2. </w:t>
      </w:r>
      <w:proofErr w:type="spellStart"/>
      <w:r w:rsidRPr="00F0599E">
        <w:rPr>
          <w:rFonts w:ascii="Arial" w:hAnsi="Arial" w:eastAsia="Arial" w:cs="Arial"/>
          <w:bCs/>
          <w:color w:val="000000"/>
          <w:sz w:val="20"/>
          <w:szCs w:val="20"/>
        </w:rPr>
        <w:t>Representação</w:t>
      </w:r>
      <w:proofErr w:type="spellEnd"/>
      <w:r w:rsidRPr="00F0599E">
        <w:rPr>
          <w:rFonts w:ascii="Arial" w:hAnsi="Arial" w:eastAsia="Arial" w:cs="Arial"/>
          <w:bCs/>
          <w:color w:val="000000"/>
          <w:sz w:val="20"/>
          <w:szCs w:val="20"/>
        </w:rPr>
        <w:t xml:space="preserve"> da lei n.º 8.666/1993. </w:t>
      </w:r>
      <w:proofErr w:type="spellStart"/>
      <w:r w:rsidRPr="00F0599E">
        <w:rPr>
          <w:rFonts w:ascii="Arial" w:hAnsi="Arial" w:eastAsia="Arial" w:cs="Arial"/>
          <w:bCs/>
          <w:color w:val="000000"/>
          <w:sz w:val="20"/>
          <w:szCs w:val="20"/>
        </w:rPr>
        <w:t>Pregão</w:t>
      </w:r>
      <w:proofErr w:type="spellEnd"/>
      <w:r w:rsidRPr="00F0599E">
        <w:rPr>
          <w:rFonts w:ascii="Arial" w:hAnsi="Arial" w:eastAsia="Arial" w:cs="Arial"/>
          <w:bCs/>
          <w:color w:val="000000"/>
          <w:sz w:val="20"/>
          <w:szCs w:val="20"/>
        </w:rPr>
        <w:t xml:space="preserve"> </w:t>
      </w:r>
      <w:proofErr w:type="spellStart"/>
      <w:r>
        <w:rPr>
          <w:rFonts w:ascii="Arial" w:hAnsi="Arial" w:eastAsia="Arial" w:cs="Arial"/>
          <w:bCs/>
          <w:color w:val="000000"/>
          <w:sz w:val="20"/>
          <w:szCs w:val="20"/>
        </w:rPr>
        <w:t>E</w:t>
      </w:r>
      <w:r w:rsidRPr="00F0599E">
        <w:rPr>
          <w:rFonts w:ascii="Arial" w:hAnsi="Arial" w:eastAsia="Arial" w:cs="Arial"/>
          <w:bCs/>
          <w:color w:val="000000"/>
          <w:sz w:val="20"/>
          <w:szCs w:val="20"/>
        </w:rPr>
        <w:t>letrônico</w:t>
      </w:r>
      <w:proofErr w:type="spellEnd"/>
      <w:r w:rsidRPr="00F0599E">
        <w:rPr>
          <w:rFonts w:ascii="Arial" w:hAnsi="Arial" w:eastAsia="Arial" w:cs="Arial"/>
          <w:bCs/>
          <w:color w:val="000000"/>
          <w:sz w:val="20"/>
          <w:szCs w:val="20"/>
        </w:rPr>
        <w:t xml:space="preserve">. Certificado do IBAMA em nome do fabricante. Irregularidade. </w:t>
      </w:r>
      <w:proofErr w:type="spellStart"/>
      <w:r w:rsidRPr="00F0599E">
        <w:rPr>
          <w:rFonts w:ascii="Arial" w:hAnsi="Arial" w:eastAsia="Arial" w:cs="Arial"/>
          <w:bCs/>
          <w:color w:val="000000"/>
          <w:sz w:val="20"/>
          <w:szCs w:val="20"/>
        </w:rPr>
        <w:t>Procedência</w:t>
      </w:r>
      <w:proofErr w:type="spellEnd"/>
      <w:r w:rsidRPr="00F0599E">
        <w:rPr>
          <w:rFonts w:ascii="Arial" w:hAnsi="Arial" w:eastAsia="Arial" w:cs="Arial"/>
          <w:bCs/>
          <w:color w:val="000000"/>
          <w:sz w:val="20"/>
          <w:szCs w:val="20"/>
        </w:rPr>
        <w:t xml:space="preserve">. </w:t>
      </w:r>
      <w:proofErr w:type="spellStart"/>
      <w:r w:rsidRPr="00F0599E">
        <w:rPr>
          <w:rFonts w:ascii="Arial" w:hAnsi="Arial" w:eastAsia="Arial" w:cs="Arial"/>
          <w:bCs/>
          <w:color w:val="000000"/>
          <w:sz w:val="20"/>
          <w:szCs w:val="20"/>
        </w:rPr>
        <w:t>Determinação</w:t>
      </w:r>
      <w:proofErr w:type="spellEnd"/>
      <w:r w:rsidRPr="00F0599E">
        <w:rPr>
          <w:rFonts w:ascii="Arial" w:hAnsi="Arial" w:eastAsia="Arial" w:cs="Arial"/>
          <w:bCs/>
          <w:color w:val="000000"/>
          <w:sz w:val="20"/>
          <w:szCs w:val="20"/>
        </w:rPr>
        <w:t xml:space="preserve">. </w:t>
      </w:r>
    </w:p>
    <w:p w:rsidR="00674104" w:rsidRDefault="00674104" w14:paraId="578F4203" w14:textId="77777777">
      <w:pPr>
        <w:spacing w:line="276" w:lineRule="auto"/>
        <w:jc w:val="both"/>
        <w:rPr>
          <w:rFonts w:ascii="Arial" w:hAnsi="Arial" w:eastAsia="Arial" w:cs="Arial"/>
          <w:sz w:val="20"/>
        </w:rPr>
      </w:pPr>
    </w:p>
    <w:p w:rsidRPr="00F0599E" w:rsidR="00F0599E" w:rsidP="00F0599E" w:rsidRDefault="00F0599E" w14:paraId="688CC295" w14:textId="312B7AB4">
      <w:pPr>
        <w:spacing w:line="276" w:lineRule="auto"/>
        <w:jc w:val="both"/>
        <w:rPr>
          <w:rFonts w:ascii="Arial" w:hAnsi="Arial" w:eastAsia="Arial" w:cs="Arial"/>
          <w:bCs/>
          <w:sz w:val="20"/>
        </w:rPr>
      </w:pPr>
      <w:r w:rsidRPr="00F0599E">
        <w:rPr>
          <w:rFonts w:ascii="Arial" w:hAnsi="Arial" w:eastAsia="Arial" w:cs="Arial"/>
          <w:bCs/>
          <w:sz w:val="20"/>
        </w:rPr>
        <w:t xml:space="preserve">3. </w:t>
      </w:r>
      <w:proofErr w:type="spellStart"/>
      <w:r w:rsidRPr="00F0599E">
        <w:rPr>
          <w:rFonts w:ascii="Arial" w:hAnsi="Arial" w:eastAsia="Arial" w:cs="Arial"/>
          <w:bCs/>
          <w:sz w:val="20"/>
        </w:rPr>
        <w:t>Representação</w:t>
      </w:r>
      <w:proofErr w:type="spellEnd"/>
      <w:r w:rsidRPr="00F0599E">
        <w:rPr>
          <w:rFonts w:ascii="Arial" w:hAnsi="Arial" w:eastAsia="Arial" w:cs="Arial"/>
          <w:bCs/>
          <w:sz w:val="20"/>
        </w:rPr>
        <w:t xml:space="preserve"> com medida cautelar – </w:t>
      </w:r>
      <w:r>
        <w:rPr>
          <w:rFonts w:ascii="Arial" w:hAnsi="Arial" w:eastAsia="Arial" w:cs="Arial"/>
          <w:bCs/>
          <w:sz w:val="20"/>
        </w:rPr>
        <w:t>P</w:t>
      </w:r>
      <w:r w:rsidRPr="00F0599E">
        <w:rPr>
          <w:rFonts w:ascii="Arial" w:hAnsi="Arial" w:eastAsia="Arial" w:cs="Arial"/>
          <w:bCs/>
          <w:sz w:val="20"/>
        </w:rPr>
        <w:t xml:space="preserve">refeitura </w:t>
      </w:r>
      <w:r>
        <w:rPr>
          <w:rFonts w:ascii="Arial" w:hAnsi="Arial" w:eastAsia="Arial" w:cs="Arial"/>
          <w:bCs/>
          <w:sz w:val="20"/>
        </w:rPr>
        <w:t>M</w:t>
      </w:r>
      <w:r w:rsidRPr="00F0599E">
        <w:rPr>
          <w:rFonts w:ascii="Arial" w:hAnsi="Arial" w:eastAsia="Arial" w:cs="Arial"/>
          <w:bCs/>
          <w:sz w:val="20"/>
        </w:rPr>
        <w:t xml:space="preserve">unicipal de </w:t>
      </w:r>
      <w:r>
        <w:rPr>
          <w:rFonts w:ascii="Arial" w:hAnsi="Arial" w:eastAsia="Arial" w:cs="Arial"/>
          <w:bCs/>
          <w:sz w:val="20"/>
        </w:rPr>
        <w:t>A</w:t>
      </w:r>
      <w:r w:rsidRPr="00F0599E">
        <w:rPr>
          <w:rFonts w:ascii="Arial" w:hAnsi="Arial" w:eastAsia="Arial" w:cs="Arial"/>
          <w:bCs/>
          <w:sz w:val="20"/>
        </w:rPr>
        <w:t xml:space="preserve">racruz – </w:t>
      </w:r>
      <w:proofErr w:type="spellStart"/>
      <w:r w:rsidRPr="00F0599E">
        <w:rPr>
          <w:rFonts w:ascii="Arial" w:hAnsi="Arial" w:eastAsia="Arial" w:cs="Arial"/>
          <w:bCs/>
          <w:sz w:val="20"/>
        </w:rPr>
        <w:t>licitação</w:t>
      </w:r>
      <w:proofErr w:type="spellEnd"/>
      <w:r w:rsidRPr="00F0599E">
        <w:rPr>
          <w:rFonts w:ascii="Arial" w:hAnsi="Arial" w:eastAsia="Arial" w:cs="Arial"/>
          <w:bCs/>
          <w:sz w:val="20"/>
        </w:rPr>
        <w:t xml:space="preserve"> - </w:t>
      </w:r>
      <w:proofErr w:type="spellStart"/>
      <w:r>
        <w:rPr>
          <w:rFonts w:ascii="Arial" w:hAnsi="Arial" w:eastAsia="Arial" w:cs="Arial"/>
          <w:bCs/>
          <w:sz w:val="20"/>
        </w:rPr>
        <w:t>P</w:t>
      </w:r>
      <w:r w:rsidRPr="00F0599E">
        <w:rPr>
          <w:rFonts w:ascii="Arial" w:hAnsi="Arial" w:eastAsia="Arial" w:cs="Arial"/>
          <w:bCs/>
          <w:sz w:val="20"/>
        </w:rPr>
        <w:t>regão</w:t>
      </w:r>
      <w:proofErr w:type="spellEnd"/>
      <w:r w:rsidRPr="00F0599E">
        <w:rPr>
          <w:rFonts w:ascii="Arial" w:hAnsi="Arial" w:eastAsia="Arial" w:cs="Arial"/>
          <w:bCs/>
          <w:sz w:val="20"/>
        </w:rPr>
        <w:t xml:space="preserve"> </w:t>
      </w:r>
      <w:proofErr w:type="spellStart"/>
      <w:r>
        <w:rPr>
          <w:rFonts w:ascii="Arial" w:hAnsi="Arial" w:eastAsia="Arial" w:cs="Arial"/>
          <w:bCs/>
          <w:sz w:val="20"/>
        </w:rPr>
        <w:t>E</w:t>
      </w:r>
      <w:r w:rsidRPr="00F0599E">
        <w:rPr>
          <w:rFonts w:ascii="Arial" w:hAnsi="Arial" w:eastAsia="Arial" w:cs="Arial"/>
          <w:bCs/>
          <w:sz w:val="20"/>
        </w:rPr>
        <w:t>letrônico</w:t>
      </w:r>
      <w:proofErr w:type="spellEnd"/>
      <w:r w:rsidRPr="00F0599E">
        <w:rPr>
          <w:rFonts w:ascii="Arial" w:hAnsi="Arial" w:eastAsia="Arial" w:cs="Arial"/>
          <w:bCs/>
          <w:sz w:val="20"/>
        </w:rPr>
        <w:t xml:space="preserve"> n</w:t>
      </w:r>
      <w:r>
        <w:rPr>
          <w:rFonts w:ascii="Arial" w:hAnsi="Arial" w:eastAsia="Arial" w:cs="Arial"/>
          <w:bCs/>
          <w:sz w:val="20"/>
        </w:rPr>
        <w:t>.º</w:t>
      </w:r>
      <w:r w:rsidRPr="00F0599E">
        <w:rPr>
          <w:rFonts w:ascii="Arial" w:hAnsi="Arial" w:eastAsia="Arial" w:cs="Arial"/>
          <w:bCs/>
          <w:sz w:val="20"/>
        </w:rPr>
        <w:t xml:space="preserve"> 036/2021 – pneu – </w:t>
      </w:r>
      <w:proofErr w:type="spellStart"/>
      <w:r w:rsidRPr="00F0599E">
        <w:rPr>
          <w:rFonts w:ascii="Arial" w:hAnsi="Arial" w:eastAsia="Arial" w:cs="Arial"/>
          <w:bCs/>
          <w:sz w:val="20"/>
        </w:rPr>
        <w:t>habilitação</w:t>
      </w:r>
      <w:proofErr w:type="spellEnd"/>
      <w:r w:rsidRPr="00F0599E">
        <w:rPr>
          <w:rFonts w:ascii="Arial" w:hAnsi="Arial" w:eastAsia="Arial" w:cs="Arial"/>
          <w:bCs/>
          <w:sz w:val="20"/>
        </w:rPr>
        <w:t xml:space="preserve"> – fabricante – </w:t>
      </w:r>
      <w:proofErr w:type="spellStart"/>
      <w:r w:rsidRPr="00F0599E">
        <w:rPr>
          <w:rFonts w:ascii="Arial" w:hAnsi="Arial" w:eastAsia="Arial" w:cs="Arial"/>
          <w:bCs/>
          <w:sz w:val="20"/>
        </w:rPr>
        <w:t>certificação</w:t>
      </w:r>
      <w:proofErr w:type="spellEnd"/>
      <w:r w:rsidRPr="00F0599E">
        <w:rPr>
          <w:rFonts w:ascii="Arial" w:hAnsi="Arial" w:eastAsia="Arial" w:cs="Arial"/>
          <w:bCs/>
          <w:sz w:val="20"/>
        </w:rPr>
        <w:t xml:space="preserve"> ambiental – IBAMA – </w:t>
      </w:r>
      <w:proofErr w:type="spellStart"/>
      <w:r w:rsidRPr="00F0599E">
        <w:rPr>
          <w:rFonts w:ascii="Arial" w:hAnsi="Arial" w:eastAsia="Arial" w:cs="Arial"/>
          <w:bCs/>
          <w:sz w:val="20"/>
        </w:rPr>
        <w:t>improcedência</w:t>
      </w:r>
      <w:proofErr w:type="spellEnd"/>
      <w:r w:rsidRPr="00F0599E">
        <w:rPr>
          <w:rFonts w:ascii="Arial" w:hAnsi="Arial" w:eastAsia="Arial" w:cs="Arial"/>
          <w:bCs/>
          <w:sz w:val="20"/>
        </w:rPr>
        <w:t xml:space="preserve"> – arquivar. </w:t>
      </w:r>
    </w:p>
    <w:p w:rsidR="00674104" w:rsidRDefault="00674104" w14:paraId="29202E88" w14:textId="77777777">
      <w:pPr>
        <w:spacing w:line="276" w:lineRule="auto"/>
        <w:jc w:val="both"/>
        <w:rPr>
          <w:rFonts w:ascii="Arial" w:hAnsi="Arial" w:eastAsia="Arial" w:cs="Arial"/>
          <w:sz w:val="20"/>
        </w:rPr>
      </w:pPr>
    </w:p>
    <w:p w:rsidRPr="00F0599E" w:rsidR="00F0599E" w:rsidP="00F0599E" w:rsidRDefault="00F0599E" w14:paraId="5D24B8E2" w14:textId="33D008BE">
      <w:pPr>
        <w:spacing w:line="276" w:lineRule="auto"/>
        <w:jc w:val="both"/>
        <w:rPr>
          <w:rFonts w:ascii="Arial" w:hAnsi="Arial" w:eastAsia="Arial" w:cs="Arial"/>
          <w:sz w:val="20"/>
        </w:rPr>
      </w:pPr>
      <w:r w:rsidRPr="00F0599E">
        <w:rPr>
          <w:rFonts w:ascii="Arial" w:hAnsi="Arial" w:eastAsia="Arial" w:cs="Arial"/>
          <w:sz w:val="20"/>
        </w:rPr>
        <w:t>4. Direito constitucional ambiental. Arguição de Descumprimento de Preceito Fundamental. Fundo Clima. Não destinação dos recursos voltados à mitigação das mudanças climáticas. Inconstitucionalidade. Violação a compromissos internacionais.</w:t>
      </w:r>
    </w:p>
    <w:p w:rsidR="00674104" w:rsidRDefault="00674104" w14:paraId="4113E75B" w14:textId="77777777">
      <w:pPr>
        <w:spacing w:line="276" w:lineRule="auto"/>
        <w:jc w:val="both"/>
        <w:rPr>
          <w:rFonts w:ascii="Arial" w:hAnsi="Arial" w:eastAsia="Arial" w:cs="Arial"/>
          <w:sz w:val="20"/>
        </w:rPr>
      </w:pPr>
    </w:p>
    <w:p w:rsidRPr="00F0599E" w:rsidR="00F0599E" w:rsidP="00F0599E" w:rsidRDefault="00F0599E" w14:paraId="7EB14DE5" w14:textId="3D1D0A96">
      <w:pPr>
        <w:spacing w:line="276" w:lineRule="auto"/>
        <w:jc w:val="both"/>
        <w:rPr>
          <w:rFonts w:ascii="Arial" w:hAnsi="Arial" w:eastAsia="Arial" w:cs="Arial"/>
          <w:color w:val="000000"/>
          <w:sz w:val="20"/>
          <w:szCs w:val="20"/>
        </w:rPr>
      </w:pPr>
      <w:r w:rsidRPr="00F0599E">
        <w:rPr>
          <w:rFonts w:ascii="Arial" w:hAnsi="Arial" w:eastAsia="Arial" w:cs="Arial"/>
          <w:color w:val="000000"/>
          <w:sz w:val="20"/>
          <w:szCs w:val="20"/>
        </w:rPr>
        <w:t xml:space="preserve">5. </w:t>
      </w:r>
      <w:r w:rsidRPr="00F0599E">
        <w:rPr>
          <w:rFonts w:ascii="Arial" w:hAnsi="Arial" w:eastAsia="Arial" w:cs="Arial"/>
          <w:color w:val="000000"/>
          <w:sz w:val="20"/>
          <w:szCs w:val="20"/>
        </w:rPr>
        <w:t xml:space="preserve">Direito civil e processual civil. Agravo </w:t>
      </w:r>
      <w:r>
        <w:rPr>
          <w:rFonts w:ascii="Arial" w:hAnsi="Arial" w:eastAsia="Arial" w:cs="Arial"/>
          <w:color w:val="000000"/>
          <w:sz w:val="20"/>
          <w:szCs w:val="20"/>
        </w:rPr>
        <w:t>I</w:t>
      </w:r>
      <w:r w:rsidRPr="00F0599E">
        <w:rPr>
          <w:rFonts w:ascii="Arial" w:hAnsi="Arial" w:eastAsia="Arial" w:cs="Arial"/>
          <w:color w:val="000000"/>
          <w:sz w:val="20"/>
          <w:szCs w:val="20"/>
        </w:rPr>
        <w:t xml:space="preserve">nterno no </w:t>
      </w:r>
      <w:r>
        <w:rPr>
          <w:rFonts w:ascii="Arial" w:hAnsi="Arial" w:eastAsia="Arial" w:cs="Arial"/>
          <w:color w:val="000000"/>
          <w:sz w:val="20"/>
          <w:szCs w:val="20"/>
        </w:rPr>
        <w:t>R</w:t>
      </w:r>
      <w:r w:rsidRPr="00F0599E">
        <w:rPr>
          <w:rFonts w:ascii="Arial" w:hAnsi="Arial" w:eastAsia="Arial" w:cs="Arial"/>
          <w:color w:val="000000"/>
          <w:sz w:val="20"/>
          <w:szCs w:val="20"/>
        </w:rPr>
        <w:t xml:space="preserve">ecurso </w:t>
      </w:r>
      <w:r>
        <w:rPr>
          <w:rFonts w:ascii="Arial" w:hAnsi="Arial" w:eastAsia="Arial" w:cs="Arial"/>
          <w:color w:val="000000"/>
          <w:sz w:val="20"/>
          <w:szCs w:val="20"/>
        </w:rPr>
        <w:t>E</w:t>
      </w:r>
      <w:r w:rsidRPr="00F0599E">
        <w:rPr>
          <w:rFonts w:ascii="Arial" w:hAnsi="Arial" w:eastAsia="Arial" w:cs="Arial"/>
          <w:color w:val="000000"/>
          <w:sz w:val="20"/>
          <w:szCs w:val="20"/>
        </w:rPr>
        <w:t>special. Ação de compensação por danos morais. Pescador artesanal. Acidente ambiental. Negativa de prestação jurisdicional. Não ocorrência. Prazo prescricional. Interrupção. Ajuizamento de ação civil pública sobre o mesmo fato. Harmonia entre o acórdão recorrido e a jurisprudência do STJ.</w:t>
      </w:r>
    </w:p>
    <w:p w:rsidR="00674104" w:rsidRDefault="00674104" w14:paraId="24DBAAFB" w14:textId="77777777">
      <w:pPr>
        <w:spacing w:line="276" w:lineRule="auto"/>
        <w:jc w:val="both"/>
        <w:rPr>
          <w:rFonts w:ascii="Arial" w:hAnsi="Arial" w:eastAsia="Arial" w:cs="Arial"/>
          <w:bCs/>
          <w:sz w:val="20"/>
          <w:szCs w:val="20"/>
        </w:rPr>
      </w:pPr>
    </w:p>
    <w:p w:rsidR="00674104" w:rsidRDefault="00000000" w14:paraId="1A3B1EBA" w14:textId="45A3612C">
      <w:pPr>
        <w:shd w:val="clear" w:color="EEECE1" w:themeColor="background2" w:fill="EEECE1" w:themeFill="background2"/>
        <w:spacing w:line="276" w:lineRule="auto"/>
        <w:jc w:val="center"/>
        <w:rPr>
          <w:rFonts w:ascii="Arial" w:hAnsi="Arial" w:eastAsia="Arial" w:cs="Arial"/>
          <w:b/>
          <w:sz w:val="20"/>
          <w:szCs w:val="20"/>
        </w:rPr>
      </w:pPr>
      <w:r>
        <w:rPr>
          <w:rFonts w:ascii="Arial" w:hAnsi="Arial" w:eastAsia="Arial" w:cs="Arial"/>
          <w:b/>
          <w:sz w:val="20"/>
          <w:szCs w:val="20"/>
        </w:rPr>
        <w:t xml:space="preserve">TRIBUNAL DE CONTAS </w:t>
      </w:r>
      <w:r w:rsidR="009204AA">
        <w:rPr>
          <w:rFonts w:ascii="Arial" w:hAnsi="Arial" w:eastAsia="Arial" w:cs="Arial"/>
          <w:b/>
          <w:sz w:val="20"/>
          <w:szCs w:val="20"/>
        </w:rPr>
        <w:t>DA UNIÃO</w:t>
      </w:r>
      <w:r>
        <w:rPr>
          <w:rFonts w:ascii="Arial" w:hAnsi="Arial" w:eastAsia="Arial" w:cs="Arial"/>
          <w:b/>
          <w:sz w:val="20"/>
          <w:szCs w:val="20"/>
        </w:rPr>
        <w:t xml:space="preserve"> </w:t>
      </w:r>
    </w:p>
    <w:p w:rsidR="00674104" w:rsidRDefault="00674104" w14:paraId="69167A3E" w14:textId="77777777">
      <w:pPr>
        <w:spacing w:line="276" w:lineRule="auto"/>
        <w:jc w:val="both"/>
        <w:rPr>
          <w:rFonts w:ascii="Arial" w:hAnsi="Arial" w:eastAsia="Arial" w:cs="Arial"/>
          <w:sz w:val="20"/>
          <w:szCs w:val="20"/>
        </w:rPr>
      </w:pPr>
    </w:p>
    <w:p w:rsidRPr="009204AA" w:rsidR="009204AA" w:rsidP="007A5AED" w:rsidRDefault="00F0599E" w14:paraId="2EBDB099" w14:textId="3EF2A99D">
      <w:pPr>
        <w:pStyle w:val="Default"/>
        <w:spacing w:line="276" w:lineRule="auto"/>
        <w:jc w:val="both"/>
        <w:rPr>
          <w:rFonts w:eastAsia="Arial"/>
          <w:b/>
          <w:bCs/>
          <w:sz w:val="20"/>
          <w:szCs w:val="20"/>
        </w:rPr>
      </w:pPr>
      <w:r>
        <w:rPr>
          <w:rFonts w:eastAsia="Arial"/>
          <w:b/>
          <w:bCs/>
          <w:sz w:val="20"/>
          <w:szCs w:val="20"/>
        </w:rPr>
        <w:t>1</w:t>
      </w:r>
      <w:r w:rsidRPr="009204AA" w:rsidR="009204AA">
        <w:rPr>
          <w:rFonts w:eastAsia="Arial"/>
          <w:b/>
          <w:bCs/>
          <w:sz w:val="20"/>
          <w:szCs w:val="20"/>
        </w:rPr>
        <w:t xml:space="preserve">. 1ª ETAPA DE ACOMPANHAMENTO DAS AÇÕES DE IMPLEMENTAÇÃO DO NOVO MARCO LEGAL DE SANEAMENTO BÁSICO TRAZIDO PELA LEI 14.026/2020. ATUAÇÃO SATISFATÓRIA DOS ÓRGÃOS FEDERAIS ENVOLVIDOS. CIÊNCIA. RECOMENDAÇÃO. </w:t>
      </w:r>
      <w:r w:rsidRPr="009204AA" w:rsidR="009204AA">
        <w:rPr>
          <w:rFonts w:eastAsia="Arial"/>
          <w:b/>
          <w:bCs/>
          <w:sz w:val="20"/>
          <w:szCs w:val="20"/>
        </w:rPr>
        <w:lastRenderedPageBreak/>
        <w:t>REMESSA DE CÓPIAS. RESTITUIÇÃO DOS AUTOS À UNIDADE TÉCNICA PARA PROSSEGUIMENTO DOS TRABALHOS.</w:t>
      </w:r>
    </w:p>
    <w:p w:rsidR="005D558B" w:rsidP="009204AA" w:rsidRDefault="005D558B" w14:paraId="7BFF7243" w14:textId="3020E42E">
      <w:pPr>
        <w:pStyle w:val="Default"/>
        <w:spacing w:before="120"/>
        <w:jc w:val="both"/>
        <w:rPr>
          <w:rFonts w:eastAsia="Arial"/>
          <w:sz w:val="20"/>
          <w:szCs w:val="20"/>
        </w:rPr>
      </w:pPr>
      <w:r>
        <w:rPr>
          <w:rFonts w:eastAsia="Arial"/>
          <w:sz w:val="20"/>
          <w:szCs w:val="20"/>
        </w:rPr>
        <w:t>(...)</w:t>
      </w:r>
    </w:p>
    <w:p w:rsidRPr="009204AA" w:rsidR="009204AA" w:rsidP="009204AA" w:rsidRDefault="009204AA" w14:paraId="58613600" w14:textId="5646FA5C">
      <w:pPr>
        <w:pStyle w:val="Default"/>
        <w:spacing w:before="120"/>
        <w:jc w:val="both"/>
        <w:rPr>
          <w:rFonts w:eastAsia="Arial"/>
          <w:sz w:val="20"/>
          <w:szCs w:val="20"/>
        </w:rPr>
      </w:pPr>
      <w:r w:rsidRPr="009204AA">
        <w:rPr>
          <w:rFonts w:eastAsia="Arial"/>
          <w:sz w:val="20"/>
          <w:szCs w:val="20"/>
        </w:rPr>
        <w:t xml:space="preserve">9.1. dar ciência ao Ministério do Desenvolvimento Regional, na qualidade de presidente do Comitê Interministerial de Saneamento Básico – </w:t>
      </w:r>
      <w:proofErr w:type="spellStart"/>
      <w:r w:rsidRPr="009204AA">
        <w:rPr>
          <w:rFonts w:eastAsia="Arial"/>
          <w:sz w:val="20"/>
          <w:szCs w:val="20"/>
        </w:rPr>
        <w:t>Cisb</w:t>
      </w:r>
      <w:proofErr w:type="spellEnd"/>
      <w:r w:rsidRPr="009204AA">
        <w:rPr>
          <w:rFonts w:eastAsia="Arial"/>
          <w:sz w:val="20"/>
          <w:szCs w:val="20"/>
        </w:rPr>
        <w:t xml:space="preserve">, que a inoperância do Comitê, considerando a relevância de suas competências definidas no art. 53-B da Lei 11.445/2007, com a redação conferida pela Lei 14.026/2020, pode comprometer a implementação do Novo Marco Legal do Saneamento Básico, inclusive no que concerne à efetividade da alocação dos recursos federais e da interlocução com outras políticas públicas, destacando, outrossim, que a não realização de ao menos duas reuniões ordinárias anuais do Comitê configura desrespeito ao art. 6º, </w:t>
      </w:r>
      <w:r w:rsidRPr="009204AA">
        <w:rPr>
          <w:rFonts w:eastAsia="Arial"/>
          <w:i/>
          <w:iCs/>
          <w:sz w:val="20"/>
          <w:szCs w:val="20"/>
        </w:rPr>
        <w:t>caput</w:t>
      </w:r>
      <w:r w:rsidRPr="009204AA">
        <w:rPr>
          <w:rFonts w:eastAsia="Arial"/>
          <w:sz w:val="20"/>
          <w:szCs w:val="20"/>
        </w:rPr>
        <w:t>, do Decreto 10.430/2020;</w:t>
      </w:r>
    </w:p>
    <w:p w:rsidRPr="009204AA" w:rsidR="009204AA" w:rsidP="009204AA" w:rsidRDefault="009204AA" w14:paraId="246185B4" w14:textId="77777777">
      <w:pPr>
        <w:pStyle w:val="Default"/>
        <w:jc w:val="both"/>
        <w:rPr>
          <w:rFonts w:eastAsia="Arial"/>
          <w:sz w:val="20"/>
          <w:szCs w:val="20"/>
        </w:rPr>
      </w:pPr>
      <w:r w:rsidRPr="009204AA">
        <w:rPr>
          <w:rFonts w:eastAsia="Arial"/>
          <w:sz w:val="20"/>
          <w:szCs w:val="20"/>
        </w:rPr>
        <w:t xml:space="preserve">9.2. recomendar à Secretaria Nacional de Saneamento, na qualidade de Secretaria-Executiva do Comitê Interministerial de Saneamento Básico – </w:t>
      </w:r>
      <w:proofErr w:type="spellStart"/>
      <w:r w:rsidRPr="009204AA">
        <w:rPr>
          <w:rFonts w:eastAsia="Arial"/>
          <w:sz w:val="20"/>
          <w:szCs w:val="20"/>
        </w:rPr>
        <w:t>Cisb</w:t>
      </w:r>
      <w:proofErr w:type="spellEnd"/>
      <w:r w:rsidRPr="009204AA">
        <w:rPr>
          <w:rFonts w:eastAsia="Arial"/>
          <w:sz w:val="20"/>
          <w:szCs w:val="20"/>
        </w:rPr>
        <w:t>, que promova esforços para fornecer o apoio institucional e técnico-administrativo de forma a subsidiar a efetiva atuação do Comitê, conforme prevê o art. 5º do Decreto 10.430/2021;</w:t>
      </w:r>
    </w:p>
    <w:p w:rsidRPr="009204AA" w:rsidR="009204AA" w:rsidP="009204AA" w:rsidRDefault="009204AA" w14:paraId="4C530CDA" w14:textId="77777777">
      <w:pPr>
        <w:pStyle w:val="Default"/>
        <w:jc w:val="both"/>
        <w:rPr>
          <w:rFonts w:eastAsia="Arial"/>
          <w:sz w:val="20"/>
          <w:szCs w:val="20"/>
        </w:rPr>
      </w:pPr>
      <w:r w:rsidRPr="009204AA">
        <w:rPr>
          <w:rFonts w:eastAsia="Arial"/>
          <w:sz w:val="20"/>
          <w:szCs w:val="20"/>
        </w:rPr>
        <w:t>9.3. encaminhar cópia desta deliberação, com a informação de que a íntegra do relatório e do voto que a fundamentam podem ser consultados no endereço eletrônico www.tcu.gov.br/acordaos:</w:t>
      </w:r>
    </w:p>
    <w:p w:rsidRPr="009204AA" w:rsidR="009204AA" w:rsidP="009204AA" w:rsidRDefault="009204AA" w14:paraId="2920E575" w14:textId="77777777">
      <w:pPr>
        <w:pStyle w:val="Default"/>
        <w:jc w:val="both"/>
        <w:rPr>
          <w:rFonts w:eastAsia="Arial"/>
          <w:sz w:val="20"/>
          <w:szCs w:val="20"/>
        </w:rPr>
      </w:pPr>
      <w:r w:rsidRPr="009204AA">
        <w:rPr>
          <w:rFonts w:eastAsia="Arial"/>
          <w:sz w:val="20"/>
          <w:szCs w:val="20"/>
        </w:rPr>
        <w:t>9.3.1. ao Ministério da Economia, para que avalie a conveniência e oportunidade de apoiar a estruturação da Agência Nacional de Águas e Saneamento Básico, tendo em vista a sua competência de promover a lotação ou exercício de servidores federais na autarquia, conforme estabelecido no art. 17-A da Lei 9.984/2000, com a redação dada pela Lei 14.026/2020;</w:t>
      </w:r>
    </w:p>
    <w:p w:rsidRPr="009204AA" w:rsidR="009204AA" w:rsidP="009204AA" w:rsidRDefault="009204AA" w14:paraId="6E0F804F" w14:textId="77777777">
      <w:pPr>
        <w:pStyle w:val="Default"/>
        <w:jc w:val="both"/>
        <w:rPr>
          <w:rFonts w:eastAsia="Arial"/>
          <w:sz w:val="20"/>
          <w:szCs w:val="20"/>
        </w:rPr>
      </w:pPr>
      <w:r w:rsidRPr="009204AA">
        <w:rPr>
          <w:rFonts w:eastAsia="Arial"/>
          <w:sz w:val="20"/>
          <w:szCs w:val="20"/>
        </w:rPr>
        <w:t>9.3.2. à Agência Nacional de Águas e Saneamento Básico;</w:t>
      </w:r>
    </w:p>
    <w:p w:rsidRPr="009204AA" w:rsidR="009204AA" w:rsidP="009204AA" w:rsidRDefault="009204AA" w14:paraId="63BA497D" w14:textId="77777777">
      <w:pPr>
        <w:pStyle w:val="Default"/>
        <w:jc w:val="both"/>
        <w:rPr>
          <w:rFonts w:eastAsia="Arial"/>
          <w:sz w:val="20"/>
          <w:szCs w:val="20"/>
        </w:rPr>
      </w:pPr>
      <w:r w:rsidRPr="009204AA">
        <w:rPr>
          <w:rFonts w:eastAsia="Arial"/>
          <w:sz w:val="20"/>
          <w:szCs w:val="20"/>
        </w:rPr>
        <w:t>9.3.3. ao Ministério do Desenvolvimento Regional;</w:t>
      </w:r>
    </w:p>
    <w:p w:rsidR="009204AA" w:rsidP="009204AA" w:rsidRDefault="009204AA" w14:paraId="28409D59" w14:textId="535E0C13">
      <w:pPr>
        <w:pStyle w:val="Default"/>
        <w:jc w:val="both"/>
        <w:rPr>
          <w:rFonts w:eastAsia="Arial"/>
          <w:sz w:val="20"/>
          <w:szCs w:val="20"/>
        </w:rPr>
      </w:pPr>
      <w:r w:rsidRPr="009204AA">
        <w:rPr>
          <w:rFonts w:eastAsia="Arial"/>
          <w:sz w:val="20"/>
          <w:szCs w:val="20"/>
        </w:rPr>
        <w:t xml:space="preserve">9.4. restituir os autos à </w:t>
      </w:r>
      <w:proofErr w:type="spellStart"/>
      <w:r w:rsidRPr="009204AA">
        <w:rPr>
          <w:rFonts w:eastAsia="Arial"/>
          <w:sz w:val="20"/>
          <w:szCs w:val="20"/>
        </w:rPr>
        <w:t>SeinfraUrbana</w:t>
      </w:r>
      <w:proofErr w:type="spellEnd"/>
      <w:r w:rsidRPr="009204AA">
        <w:rPr>
          <w:rFonts w:eastAsia="Arial"/>
          <w:sz w:val="20"/>
          <w:szCs w:val="20"/>
        </w:rPr>
        <w:t xml:space="preserve"> para continuidade do presente acompanhamento.</w:t>
      </w:r>
    </w:p>
    <w:p w:rsidR="005D558B" w:rsidP="005D558B" w:rsidRDefault="005D558B" w14:paraId="5A02115D" w14:textId="0AE6E0B3">
      <w:pPr>
        <w:pStyle w:val="Default"/>
        <w:spacing w:before="120" w:after="120"/>
        <w:jc w:val="both"/>
        <w:rPr>
          <w:rFonts w:eastAsia="Arial"/>
          <w:sz w:val="20"/>
          <w:szCs w:val="20"/>
        </w:rPr>
      </w:pPr>
      <w:r>
        <w:rPr>
          <w:rFonts w:eastAsia="Arial"/>
          <w:sz w:val="20"/>
          <w:szCs w:val="20"/>
        </w:rPr>
        <w:t>(...)</w:t>
      </w:r>
    </w:p>
    <w:p w:rsidRPr="00040AC2" w:rsidR="005D558B" w:rsidP="00040AC2" w:rsidRDefault="009204AA" w14:paraId="76190600" w14:textId="4D04B5FB">
      <w:pPr>
        <w:pStyle w:val="Default"/>
        <w:spacing w:before="120" w:after="240"/>
        <w:jc w:val="both"/>
        <w:rPr>
          <w:rFonts w:eastAsia="Arial"/>
          <w:sz w:val="20"/>
          <w:szCs w:val="20"/>
        </w:rPr>
      </w:pPr>
      <w:r w:rsidRPr="007A5AED">
        <w:rPr>
          <w:rFonts w:eastAsia="Arial"/>
          <w:sz w:val="20"/>
          <w:szCs w:val="20"/>
        </w:rPr>
        <w:t xml:space="preserve">(TCU, </w:t>
      </w:r>
      <w:r w:rsidRPr="009204AA">
        <w:rPr>
          <w:rFonts w:eastAsia="Arial"/>
          <w:sz w:val="20"/>
          <w:szCs w:val="20"/>
        </w:rPr>
        <w:t>025.604/2021-0</w:t>
      </w:r>
      <w:r w:rsidRPr="007A5AED">
        <w:rPr>
          <w:rFonts w:eastAsia="Arial"/>
          <w:sz w:val="20"/>
          <w:szCs w:val="20"/>
        </w:rPr>
        <w:t xml:space="preserve">, </w:t>
      </w:r>
      <w:hyperlink w:history="1" r:id="rId8">
        <w:r w:rsidR="00040AC2">
          <w:rPr>
            <w:rStyle w:val="Hyperlink"/>
            <w:rFonts w:eastAsia="Arial"/>
            <w:sz w:val="20"/>
            <w:szCs w:val="20"/>
          </w:rPr>
          <w:t>Acórdão n.º 2392/2022 – Plenário</w:t>
        </w:r>
      </w:hyperlink>
      <w:r w:rsidRPr="007A5AED">
        <w:rPr>
          <w:rFonts w:eastAsia="Arial"/>
          <w:sz w:val="20"/>
          <w:szCs w:val="20"/>
        </w:rPr>
        <w:t xml:space="preserve">, Rel. </w:t>
      </w:r>
      <w:r>
        <w:rPr>
          <w:rFonts w:eastAsia="Arial"/>
          <w:sz w:val="20"/>
          <w:szCs w:val="20"/>
        </w:rPr>
        <w:t>Min. Jorge Oliveira</w:t>
      </w:r>
      <w:r w:rsidRPr="0067269E">
        <w:rPr>
          <w:rFonts w:eastAsia="Arial"/>
          <w:sz w:val="20"/>
          <w:szCs w:val="20"/>
        </w:rPr>
        <w:t xml:space="preserve">, </w:t>
      </w:r>
      <w:r>
        <w:rPr>
          <w:rFonts w:eastAsia="Arial"/>
          <w:sz w:val="20"/>
          <w:szCs w:val="20"/>
        </w:rPr>
        <w:t>Plenário</w:t>
      </w:r>
      <w:r w:rsidRPr="0067269E">
        <w:rPr>
          <w:rFonts w:eastAsia="Arial"/>
          <w:sz w:val="20"/>
          <w:szCs w:val="20"/>
        </w:rPr>
        <w:t xml:space="preserve">, julgado em </w:t>
      </w:r>
      <w:r>
        <w:rPr>
          <w:rFonts w:eastAsia="Arial"/>
          <w:sz w:val="20"/>
          <w:szCs w:val="20"/>
        </w:rPr>
        <w:t>26</w:t>
      </w:r>
      <w:r w:rsidRPr="0067269E">
        <w:rPr>
          <w:rFonts w:eastAsia="Arial"/>
          <w:sz w:val="20"/>
          <w:szCs w:val="20"/>
        </w:rPr>
        <w:t>/1</w:t>
      </w:r>
      <w:r>
        <w:rPr>
          <w:rFonts w:eastAsia="Arial"/>
          <w:sz w:val="20"/>
          <w:szCs w:val="20"/>
        </w:rPr>
        <w:t>0</w:t>
      </w:r>
      <w:r w:rsidRPr="0067269E">
        <w:rPr>
          <w:rFonts w:eastAsia="Arial"/>
          <w:sz w:val="20"/>
          <w:szCs w:val="20"/>
        </w:rPr>
        <w:t>/2022)</w:t>
      </w:r>
    </w:p>
    <w:p w:rsidR="007A5AED" w:rsidP="007A5AED" w:rsidRDefault="007A5AED" w14:paraId="551DEDE1" w14:textId="77777777">
      <w:pPr>
        <w:shd w:val="clear" w:color="EEECE1" w:themeColor="background2" w:fill="EEECE1" w:themeFill="background2"/>
        <w:spacing w:line="276" w:lineRule="auto"/>
        <w:jc w:val="center"/>
        <w:rPr>
          <w:rFonts w:ascii="Arial" w:hAnsi="Arial" w:eastAsia="Arial" w:cs="Arial"/>
          <w:b/>
          <w:sz w:val="20"/>
          <w:szCs w:val="20"/>
        </w:rPr>
      </w:pPr>
      <w:r>
        <w:rPr>
          <w:rFonts w:ascii="Arial" w:hAnsi="Arial" w:eastAsia="Arial" w:cs="Arial"/>
          <w:b/>
          <w:sz w:val="20"/>
          <w:szCs w:val="20"/>
        </w:rPr>
        <w:t xml:space="preserve">TRIBUNAL DE CONTAS DO ESTADO DO PARANÁ </w:t>
      </w:r>
    </w:p>
    <w:p w:rsidR="00674104" w:rsidRDefault="00674104" w14:paraId="55E97CC2" w14:textId="77777777">
      <w:pPr>
        <w:spacing w:line="276" w:lineRule="auto"/>
        <w:jc w:val="both"/>
        <w:rPr>
          <w:rFonts w:ascii="Arial" w:hAnsi="Arial" w:eastAsia="Arial" w:cs="Arial"/>
          <w:sz w:val="20"/>
          <w:szCs w:val="20"/>
        </w:rPr>
      </w:pPr>
    </w:p>
    <w:p w:rsidR="004E74A0" w:rsidP="00EB3D00" w:rsidRDefault="00F0599E" w14:paraId="77D52F2C" w14:textId="14D72784">
      <w:pPr>
        <w:spacing w:after="120"/>
        <w:jc w:val="both"/>
        <w:rPr>
          <w:rFonts w:ascii="Arial" w:hAnsi="Arial" w:eastAsia="Arial" w:cs="Arial"/>
          <w:b/>
          <w:sz w:val="20"/>
        </w:rPr>
      </w:pPr>
      <w:r>
        <w:rPr>
          <w:rStyle w:val="Hyperlink"/>
          <w:rFonts w:ascii="Arial" w:hAnsi="Arial" w:eastAsia="Arial" w:cs="Arial"/>
          <w:b/>
          <w:color w:val="000000"/>
          <w:sz w:val="20"/>
          <w:szCs w:val="20"/>
          <w:u w:val="none"/>
        </w:rPr>
        <w:t>2</w:t>
      </w:r>
      <w:r w:rsidR="004E74A0">
        <w:rPr>
          <w:rStyle w:val="Hyperlink"/>
          <w:rFonts w:ascii="Arial" w:hAnsi="Arial" w:eastAsia="Arial" w:cs="Arial"/>
          <w:b/>
          <w:color w:val="000000"/>
          <w:sz w:val="20"/>
          <w:szCs w:val="20"/>
          <w:u w:val="none"/>
        </w:rPr>
        <w:t xml:space="preserve">. </w:t>
      </w:r>
      <w:r w:rsidRPr="004E74A0" w:rsidR="004E74A0">
        <w:rPr>
          <w:rFonts w:ascii="Arial" w:hAnsi="Arial" w:eastAsia="Arial" w:cs="Arial"/>
          <w:b/>
          <w:sz w:val="20"/>
        </w:rPr>
        <w:t>REPRESENTAÇÃO DA LEI N.</w:t>
      </w:r>
      <w:r w:rsidR="00EB3D00">
        <w:rPr>
          <w:rFonts w:ascii="Arial" w:hAnsi="Arial" w:eastAsia="Arial" w:cs="Arial"/>
          <w:b/>
          <w:sz w:val="20"/>
        </w:rPr>
        <w:t>º</w:t>
      </w:r>
      <w:r w:rsidRPr="004E74A0" w:rsidR="004E74A0">
        <w:rPr>
          <w:rFonts w:ascii="Arial" w:hAnsi="Arial" w:eastAsia="Arial" w:cs="Arial"/>
          <w:b/>
          <w:sz w:val="20"/>
        </w:rPr>
        <w:t xml:space="preserve"> 8.666/1993. PREGÃO ELETRÔNICO. CERTIFICADO DO IBAMA EM NOME DO FABRICANTE. IRREGULARIDADE. PROCEDÊNCIA. DETERMINAÇÃO. </w:t>
      </w:r>
    </w:p>
    <w:p w:rsidRPr="00EB3D00" w:rsidR="004E74A0" w:rsidP="00EB3D00" w:rsidRDefault="004E74A0" w14:paraId="1A6C6394" w14:textId="25FCA150">
      <w:pPr>
        <w:spacing w:after="120" w:line="276" w:lineRule="auto"/>
        <w:jc w:val="both"/>
        <w:rPr>
          <w:rFonts w:ascii="Arial" w:hAnsi="Arial" w:eastAsia="Arial" w:cs="Arial"/>
          <w:bCs/>
          <w:sz w:val="20"/>
        </w:rPr>
      </w:pPr>
      <w:r w:rsidRPr="00EB3D00">
        <w:rPr>
          <w:rFonts w:ascii="Arial" w:hAnsi="Arial" w:eastAsia="Arial" w:cs="Arial"/>
          <w:bCs/>
          <w:sz w:val="20"/>
        </w:rPr>
        <w:t>(...)</w:t>
      </w:r>
    </w:p>
    <w:p w:rsidRPr="004E74A0" w:rsidR="004E74A0" w:rsidP="00EB3D00" w:rsidRDefault="004E74A0" w14:paraId="03C1EF3B" w14:textId="28AFEF76">
      <w:pPr>
        <w:spacing w:after="120"/>
        <w:jc w:val="both"/>
        <w:rPr>
          <w:rFonts w:ascii="Arial" w:hAnsi="Arial" w:eastAsia="Arial" w:cs="Arial"/>
          <w:bCs/>
          <w:sz w:val="20"/>
        </w:rPr>
      </w:pPr>
      <w:r w:rsidRPr="004E74A0">
        <w:rPr>
          <w:rFonts w:ascii="Arial" w:hAnsi="Arial" w:eastAsia="Arial" w:cs="Arial"/>
          <w:bCs/>
          <w:sz w:val="20"/>
        </w:rPr>
        <w:t xml:space="preserve">Segundo relatado, a </w:t>
      </w:r>
      <w:proofErr w:type="spellStart"/>
      <w:r w:rsidRPr="004E74A0">
        <w:rPr>
          <w:rFonts w:ascii="Arial" w:hAnsi="Arial" w:eastAsia="Arial" w:cs="Arial"/>
          <w:bCs/>
          <w:sz w:val="20"/>
        </w:rPr>
        <w:t>insurgência</w:t>
      </w:r>
      <w:proofErr w:type="spellEnd"/>
      <w:r w:rsidRPr="004E74A0">
        <w:rPr>
          <w:rFonts w:ascii="Arial" w:hAnsi="Arial" w:eastAsia="Arial" w:cs="Arial"/>
          <w:bCs/>
          <w:sz w:val="20"/>
        </w:rPr>
        <w:t xml:space="preserve"> do representante se deu em face da </w:t>
      </w:r>
      <w:proofErr w:type="spellStart"/>
      <w:r w:rsidRPr="004E74A0">
        <w:rPr>
          <w:rFonts w:ascii="Arial" w:hAnsi="Arial" w:eastAsia="Arial" w:cs="Arial"/>
          <w:bCs/>
          <w:sz w:val="20"/>
        </w:rPr>
        <w:t>exigência</w:t>
      </w:r>
      <w:proofErr w:type="spellEnd"/>
      <w:r w:rsidRPr="004E74A0">
        <w:rPr>
          <w:rFonts w:ascii="Arial" w:hAnsi="Arial" w:eastAsia="Arial" w:cs="Arial"/>
          <w:bCs/>
          <w:sz w:val="20"/>
        </w:rPr>
        <w:t xml:space="preserve"> contida no item 12.3.3 do edital do </w:t>
      </w:r>
      <w:proofErr w:type="spellStart"/>
      <w:r w:rsidRPr="004E74A0">
        <w:rPr>
          <w:rFonts w:ascii="Arial" w:hAnsi="Arial" w:eastAsia="Arial" w:cs="Arial"/>
          <w:bCs/>
          <w:sz w:val="20"/>
        </w:rPr>
        <w:t>Pregão</w:t>
      </w:r>
      <w:proofErr w:type="spellEnd"/>
      <w:r w:rsidRPr="004E74A0">
        <w:rPr>
          <w:rFonts w:ascii="Arial" w:hAnsi="Arial" w:eastAsia="Arial" w:cs="Arial"/>
          <w:bCs/>
          <w:sz w:val="20"/>
        </w:rPr>
        <w:t xml:space="preserve"> </w:t>
      </w:r>
      <w:proofErr w:type="spellStart"/>
      <w:r w:rsidRPr="004E74A0">
        <w:rPr>
          <w:rFonts w:ascii="Arial" w:hAnsi="Arial" w:eastAsia="Arial" w:cs="Arial"/>
          <w:bCs/>
          <w:sz w:val="20"/>
        </w:rPr>
        <w:t>Eletrônico</w:t>
      </w:r>
      <w:proofErr w:type="spellEnd"/>
      <w:r w:rsidRPr="004E74A0">
        <w:rPr>
          <w:rFonts w:ascii="Arial" w:hAnsi="Arial" w:eastAsia="Arial" w:cs="Arial"/>
          <w:bCs/>
          <w:sz w:val="20"/>
        </w:rPr>
        <w:t xml:space="preserve"> n.</w:t>
      </w:r>
      <w:r w:rsidR="00EB3D00">
        <w:rPr>
          <w:rFonts w:ascii="Arial" w:hAnsi="Arial" w:eastAsia="Arial" w:cs="Arial"/>
          <w:bCs/>
          <w:sz w:val="20"/>
        </w:rPr>
        <w:t>º</w:t>
      </w:r>
      <w:r w:rsidRPr="004E74A0">
        <w:rPr>
          <w:rFonts w:ascii="Arial" w:hAnsi="Arial" w:eastAsia="Arial" w:cs="Arial"/>
          <w:bCs/>
          <w:sz w:val="20"/>
        </w:rPr>
        <w:t xml:space="preserve"> 01/2022, que </w:t>
      </w:r>
      <w:proofErr w:type="spellStart"/>
      <w:r w:rsidRPr="004E74A0">
        <w:rPr>
          <w:rFonts w:ascii="Arial" w:hAnsi="Arial" w:eastAsia="Arial" w:cs="Arial"/>
          <w:bCs/>
          <w:sz w:val="20"/>
        </w:rPr>
        <w:t>dispõe</w:t>
      </w:r>
      <w:proofErr w:type="spellEnd"/>
      <w:r w:rsidRPr="004E74A0">
        <w:rPr>
          <w:rFonts w:ascii="Arial" w:hAnsi="Arial" w:eastAsia="Arial" w:cs="Arial"/>
          <w:bCs/>
          <w:sz w:val="20"/>
        </w:rPr>
        <w:t xml:space="preserve">: </w:t>
      </w:r>
    </w:p>
    <w:p w:rsidRPr="004E74A0" w:rsidR="004E74A0" w:rsidP="004E74A0" w:rsidRDefault="004E74A0" w14:paraId="18CE8772" w14:textId="6335C707">
      <w:pPr>
        <w:spacing w:line="276" w:lineRule="auto"/>
        <w:jc w:val="both"/>
        <w:rPr>
          <w:rFonts w:ascii="Arial" w:hAnsi="Arial" w:eastAsia="Arial" w:cs="Arial"/>
          <w:bCs/>
          <w:sz w:val="20"/>
        </w:rPr>
      </w:pPr>
      <w:r w:rsidRPr="004E74A0">
        <w:rPr>
          <w:rFonts w:ascii="Arial" w:hAnsi="Arial" w:eastAsia="Arial" w:cs="Arial"/>
          <w:bCs/>
          <w:sz w:val="20"/>
        </w:rPr>
        <w:t xml:space="preserve">12.3 DOCUMENTOS EXIGIDOS PARA FORMALIZAÇÃO DO CONTRATO: </w:t>
      </w:r>
    </w:p>
    <w:p w:rsidRPr="004E74A0" w:rsidR="004E74A0" w:rsidP="004E74A0" w:rsidRDefault="004E74A0" w14:paraId="0E8377FE" w14:textId="2E7231E6">
      <w:pPr>
        <w:spacing w:line="276" w:lineRule="auto"/>
        <w:jc w:val="both"/>
        <w:rPr>
          <w:rFonts w:ascii="Arial" w:hAnsi="Arial" w:eastAsia="Arial" w:cs="Arial"/>
          <w:bCs/>
          <w:sz w:val="20"/>
        </w:rPr>
      </w:pPr>
      <w:r w:rsidRPr="004E74A0">
        <w:rPr>
          <w:rFonts w:ascii="Arial" w:hAnsi="Arial" w:eastAsia="Arial" w:cs="Arial"/>
          <w:bCs/>
          <w:sz w:val="20"/>
        </w:rPr>
        <w:t>(...)</w:t>
      </w:r>
      <w:r w:rsidRPr="004E74A0">
        <w:rPr>
          <w:rFonts w:ascii="Arial" w:hAnsi="Arial" w:eastAsia="Arial" w:cs="Arial"/>
          <w:bCs/>
          <w:sz w:val="20"/>
        </w:rPr>
        <w:br/>
      </w:r>
      <w:r w:rsidRPr="004E74A0">
        <w:rPr>
          <w:rFonts w:ascii="Arial" w:hAnsi="Arial" w:eastAsia="Arial" w:cs="Arial"/>
          <w:bCs/>
          <w:sz w:val="20"/>
        </w:rPr>
        <w:t xml:space="preserve">12.3.3 </w:t>
      </w:r>
      <w:proofErr w:type="spellStart"/>
      <w:r w:rsidRPr="004E74A0">
        <w:rPr>
          <w:rFonts w:ascii="Arial" w:hAnsi="Arial" w:eastAsia="Arial" w:cs="Arial"/>
          <w:bCs/>
          <w:sz w:val="20"/>
        </w:rPr>
        <w:t>Certificação</w:t>
      </w:r>
      <w:proofErr w:type="spellEnd"/>
      <w:r w:rsidRPr="004E74A0">
        <w:rPr>
          <w:rFonts w:ascii="Arial" w:hAnsi="Arial" w:eastAsia="Arial" w:cs="Arial"/>
          <w:bCs/>
          <w:sz w:val="20"/>
        </w:rPr>
        <w:t xml:space="preserve"> do Instituto Brasileiro do Meio Ambiente e dos Recursos Naturais </w:t>
      </w:r>
      <w:proofErr w:type="spellStart"/>
      <w:r w:rsidRPr="004E74A0">
        <w:rPr>
          <w:rFonts w:ascii="Arial" w:hAnsi="Arial" w:eastAsia="Arial" w:cs="Arial"/>
          <w:bCs/>
          <w:sz w:val="20"/>
        </w:rPr>
        <w:t>Renováveis</w:t>
      </w:r>
      <w:proofErr w:type="spellEnd"/>
      <w:r w:rsidRPr="004E74A0">
        <w:rPr>
          <w:rFonts w:ascii="Arial" w:hAnsi="Arial" w:eastAsia="Arial" w:cs="Arial"/>
          <w:bCs/>
          <w:sz w:val="20"/>
        </w:rPr>
        <w:t xml:space="preserve"> (IBAMA) do fabricante dos pneus. </w:t>
      </w:r>
    </w:p>
    <w:p w:rsidRPr="004E74A0" w:rsidR="004E74A0" w:rsidP="004E74A0" w:rsidRDefault="004E74A0" w14:paraId="649F0F28" w14:textId="77777777">
      <w:pPr>
        <w:spacing w:line="276" w:lineRule="auto"/>
        <w:jc w:val="both"/>
        <w:rPr>
          <w:rFonts w:ascii="Arial" w:hAnsi="Arial" w:eastAsia="Arial" w:cs="Arial"/>
          <w:bCs/>
          <w:sz w:val="20"/>
        </w:rPr>
      </w:pPr>
      <w:r w:rsidRPr="004E74A0">
        <w:rPr>
          <w:rFonts w:ascii="Arial" w:hAnsi="Arial" w:eastAsia="Arial" w:cs="Arial"/>
          <w:bCs/>
          <w:sz w:val="20"/>
        </w:rPr>
        <w:t xml:space="preserve">(sem grifos no original) </w:t>
      </w:r>
    </w:p>
    <w:p w:rsidR="00EB3D00" w:rsidP="00EB3D00" w:rsidRDefault="00EB3D00" w14:paraId="6A901BEF" w14:textId="596DE15D">
      <w:pPr>
        <w:spacing w:line="276" w:lineRule="auto"/>
        <w:jc w:val="both"/>
        <w:rPr>
          <w:rFonts w:ascii="Arial" w:hAnsi="Arial" w:eastAsia="Arial" w:cs="Arial"/>
          <w:bCs/>
          <w:sz w:val="20"/>
        </w:rPr>
      </w:pPr>
      <w:r>
        <w:rPr>
          <w:rFonts w:ascii="Arial" w:hAnsi="Arial" w:eastAsia="Arial" w:cs="Arial"/>
          <w:bCs/>
          <w:sz w:val="20"/>
        </w:rPr>
        <w:t>(...)</w:t>
      </w:r>
    </w:p>
    <w:p w:rsidRPr="00EB3D00" w:rsidR="00EB3D00" w:rsidP="00EB3D00" w:rsidRDefault="00EB3D00" w14:paraId="2A969243" w14:textId="16237D71">
      <w:pPr>
        <w:spacing w:line="276" w:lineRule="auto"/>
        <w:jc w:val="both"/>
        <w:rPr>
          <w:rFonts w:ascii="Arial" w:hAnsi="Arial" w:eastAsia="Arial" w:cs="Arial"/>
          <w:bCs/>
          <w:sz w:val="20"/>
        </w:rPr>
      </w:pPr>
      <w:r w:rsidRPr="00EB3D00">
        <w:rPr>
          <w:rFonts w:ascii="Arial" w:hAnsi="Arial" w:eastAsia="Arial" w:cs="Arial"/>
          <w:bCs/>
          <w:sz w:val="20"/>
        </w:rPr>
        <w:t>Em defesa (</w:t>
      </w:r>
      <w:proofErr w:type="spellStart"/>
      <w:r w:rsidRPr="00EB3D00">
        <w:rPr>
          <w:rFonts w:ascii="Arial" w:hAnsi="Arial" w:eastAsia="Arial" w:cs="Arial"/>
          <w:bCs/>
          <w:sz w:val="20"/>
        </w:rPr>
        <w:t>peça</w:t>
      </w:r>
      <w:proofErr w:type="spellEnd"/>
      <w:r w:rsidRPr="00EB3D00">
        <w:rPr>
          <w:rFonts w:ascii="Arial" w:hAnsi="Arial" w:eastAsia="Arial" w:cs="Arial"/>
          <w:bCs/>
          <w:sz w:val="20"/>
        </w:rPr>
        <w:t xml:space="preserve"> 26), os interessados reconheceram a irregularidade da </w:t>
      </w:r>
      <w:proofErr w:type="spellStart"/>
      <w:r w:rsidRPr="00EB3D00">
        <w:rPr>
          <w:rFonts w:ascii="Arial" w:hAnsi="Arial" w:eastAsia="Arial" w:cs="Arial"/>
          <w:bCs/>
          <w:sz w:val="20"/>
        </w:rPr>
        <w:t>exigência</w:t>
      </w:r>
      <w:proofErr w:type="spellEnd"/>
      <w:r w:rsidRPr="00EB3D00">
        <w:rPr>
          <w:rFonts w:ascii="Arial" w:hAnsi="Arial" w:eastAsia="Arial" w:cs="Arial"/>
          <w:bCs/>
          <w:sz w:val="20"/>
        </w:rPr>
        <w:t xml:space="preserve">, de modo que </w:t>
      </w:r>
      <w:proofErr w:type="spellStart"/>
      <w:r w:rsidRPr="00EB3D00">
        <w:rPr>
          <w:rFonts w:ascii="Arial" w:hAnsi="Arial" w:eastAsia="Arial" w:cs="Arial"/>
          <w:bCs/>
          <w:sz w:val="20"/>
        </w:rPr>
        <w:t>não</w:t>
      </w:r>
      <w:proofErr w:type="spellEnd"/>
      <w:r w:rsidRPr="00EB3D00">
        <w:rPr>
          <w:rFonts w:ascii="Arial" w:hAnsi="Arial" w:eastAsia="Arial" w:cs="Arial"/>
          <w:bCs/>
          <w:sz w:val="20"/>
        </w:rPr>
        <w:t xml:space="preserve"> se opuseram à </w:t>
      </w:r>
      <w:proofErr w:type="spellStart"/>
      <w:r w:rsidRPr="00EB3D00">
        <w:rPr>
          <w:rFonts w:ascii="Arial" w:hAnsi="Arial" w:eastAsia="Arial" w:cs="Arial"/>
          <w:bCs/>
          <w:sz w:val="20"/>
        </w:rPr>
        <w:t>alteração</w:t>
      </w:r>
      <w:proofErr w:type="spellEnd"/>
      <w:r w:rsidRPr="00EB3D00">
        <w:rPr>
          <w:rFonts w:ascii="Arial" w:hAnsi="Arial" w:eastAsia="Arial" w:cs="Arial"/>
          <w:bCs/>
          <w:sz w:val="20"/>
        </w:rPr>
        <w:t xml:space="preserve"> da referida </w:t>
      </w:r>
      <w:proofErr w:type="spellStart"/>
      <w:r w:rsidRPr="00EB3D00">
        <w:rPr>
          <w:rFonts w:ascii="Arial" w:hAnsi="Arial" w:eastAsia="Arial" w:cs="Arial"/>
          <w:bCs/>
          <w:sz w:val="20"/>
        </w:rPr>
        <w:t>cláusula</w:t>
      </w:r>
      <w:proofErr w:type="spellEnd"/>
      <w:r w:rsidRPr="00EB3D00">
        <w:rPr>
          <w:rFonts w:ascii="Arial" w:hAnsi="Arial" w:eastAsia="Arial" w:cs="Arial"/>
          <w:bCs/>
          <w:sz w:val="20"/>
        </w:rPr>
        <w:t xml:space="preserve"> para os seguintes termos: </w:t>
      </w:r>
    </w:p>
    <w:p w:rsidRPr="00EB3D00" w:rsidR="00EB3D00" w:rsidP="00EB3D00" w:rsidRDefault="00EB3D00" w14:paraId="6D75CEA2" w14:textId="77777777">
      <w:pPr>
        <w:spacing w:line="276" w:lineRule="auto"/>
        <w:jc w:val="both"/>
        <w:rPr>
          <w:rFonts w:ascii="Arial" w:hAnsi="Arial" w:eastAsia="Arial" w:cs="Arial"/>
          <w:bCs/>
          <w:sz w:val="20"/>
        </w:rPr>
      </w:pPr>
      <w:r w:rsidRPr="00EB3D00">
        <w:rPr>
          <w:rFonts w:ascii="Arial" w:hAnsi="Arial" w:eastAsia="Arial" w:cs="Arial"/>
          <w:bCs/>
          <w:sz w:val="20"/>
        </w:rPr>
        <w:lastRenderedPageBreak/>
        <w:t xml:space="preserve">12.3.3 </w:t>
      </w:r>
      <w:proofErr w:type="spellStart"/>
      <w:r w:rsidRPr="00EB3D00">
        <w:rPr>
          <w:rFonts w:ascii="Arial" w:hAnsi="Arial" w:eastAsia="Arial" w:cs="Arial"/>
          <w:bCs/>
          <w:sz w:val="20"/>
        </w:rPr>
        <w:t>Certificação</w:t>
      </w:r>
      <w:proofErr w:type="spellEnd"/>
      <w:r w:rsidRPr="00EB3D00">
        <w:rPr>
          <w:rFonts w:ascii="Arial" w:hAnsi="Arial" w:eastAsia="Arial" w:cs="Arial"/>
          <w:bCs/>
          <w:sz w:val="20"/>
        </w:rPr>
        <w:t xml:space="preserve"> do Instituto Brasileiro do Meio Ambiente e dos Recursos Naturais </w:t>
      </w:r>
      <w:proofErr w:type="spellStart"/>
      <w:r w:rsidRPr="00EB3D00">
        <w:rPr>
          <w:rFonts w:ascii="Arial" w:hAnsi="Arial" w:eastAsia="Arial" w:cs="Arial"/>
          <w:bCs/>
          <w:sz w:val="20"/>
        </w:rPr>
        <w:t>Renováveis</w:t>
      </w:r>
      <w:proofErr w:type="spellEnd"/>
      <w:r w:rsidRPr="00EB3D00">
        <w:rPr>
          <w:rFonts w:ascii="Arial" w:hAnsi="Arial" w:eastAsia="Arial" w:cs="Arial"/>
          <w:bCs/>
          <w:sz w:val="20"/>
        </w:rPr>
        <w:t xml:space="preserve"> (IBAMA) do importador dos pneus. </w:t>
      </w:r>
    </w:p>
    <w:p w:rsidR="00EB3D00" w:rsidP="00EB3D00" w:rsidRDefault="00EB3D00" w14:paraId="5B8519D5" w14:textId="278506D8">
      <w:pPr>
        <w:spacing w:line="276" w:lineRule="auto"/>
        <w:jc w:val="both"/>
        <w:rPr>
          <w:rFonts w:ascii="Arial" w:hAnsi="Arial" w:eastAsia="Arial" w:cs="Arial"/>
          <w:bCs/>
          <w:sz w:val="20"/>
        </w:rPr>
      </w:pPr>
      <w:r w:rsidRPr="00EB3D00">
        <w:rPr>
          <w:rFonts w:ascii="Arial" w:hAnsi="Arial" w:eastAsia="Arial" w:cs="Arial"/>
          <w:bCs/>
          <w:sz w:val="20"/>
        </w:rPr>
        <w:t>(sem grifos no original)</w:t>
      </w:r>
    </w:p>
    <w:p w:rsidR="00EB3D00" w:rsidP="00EB3D00" w:rsidRDefault="00EB3D00" w14:paraId="3564596C" w14:textId="5EDB1B65">
      <w:pPr>
        <w:spacing w:line="276" w:lineRule="auto"/>
        <w:jc w:val="both"/>
        <w:rPr>
          <w:rFonts w:ascii="Arial" w:hAnsi="Arial" w:eastAsia="Arial" w:cs="Arial"/>
          <w:bCs/>
          <w:sz w:val="20"/>
        </w:rPr>
      </w:pPr>
      <w:r>
        <w:rPr>
          <w:rFonts w:ascii="Arial" w:hAnsi="Arial" w:eastAsia="Arial" w:cs="Arial"/>
          <w:bCs/>
          <w:sz w:val="20"/>
        </w:rPr>
        <w:t>(...)</w:t>
      </w:r>
    </w:p>
    <w:p w:rsidRPr="00EB3D00" w:rsidR="00EB3D00" w:rsidP="00EB3D00" w:rsidRDefault="00EB3D00" w14:paraId="277D9377" w14:textId="20B226B5">
      <w:pPr>
        <w:spacing w:line="276" w:lineRule="auto"/>
        <w:jc w:val="both"/>
        <w:rPr>
          <w:rFonts w:ascii="Arial" w:hAnsi="Arial" w:eastAsia="Arial" w:cs="Arial"/>
          <w:bCs/>
          <w:sz w:val="20"/>
        </w:rPr>
      </w:pPr>
      <w:r w:rsidRPr="00EB3D00">
        <w:rPr>
          <w:rFonts w:ascii="Arial" w:hAnsi="Arial" w:eastAsia="Arial" w:cs="Arial"/>
          <w:bCs/>
          <w:sz w:val="20"/>
        </w:rPr>
        <w:t xml:space="preserve">Assim, conclui-se, de fato, irregular a </w:t>
      </w:r>
      <w:proofErr w:type="spellStart"/>
      <w:r w:rsidRPr="00EB3D00">
        <w:rPr>
          <w:rFonts w:ascii="Arial" w:hAnsi="Arial" w:eastAsia="Arial" w:cs="Arial"/>
          <w:bCs/>
          <w:sz w:val="20"/>
        </w:rPr>
        <w:t>previsão</w:t>
      </w:r>
      <w:proofErr w:type="spellEnd"/>
      <w:r w:rsidRPr="00EB3D00">
        <w:rPr>
          <w:rFonts w:ascii="Arial" w:hAnsi="Arial" w:eastAsia="Arial" w:cs="Arial"/>
          <w:bCs/>
          <w:sz w:val="20"/>
        </w:rPr>
        <w:t xml:space="preserve"> original do item 12.3.3 do edital do </w:t>
      </w:r>
      <w:proofErr w:type="spellStart"/>
      <w:r w:rsidRPr="00EB3D00">
        <w:rPr>
          <w:rFonts w:ascii="Arial" w:hAnsi="Arial" w:eastAsia="Arial" w:cs="Arial"/>
          <w:bCs/>
          <w:sz w:val="20"/>
        </w:rPr>
        <w:t>Pregão</w:t>
      </w:r>
      <w:proofErr w:type="spellEnd"/>
      <w:r w:rsidRPr="00EB3D00">
        <w:rPr>
          <w:rFonts w:ascii="Arial" w:hAnsi="Arial" w:eastAsia="Arial" w:cs="Arial"/>
          <w:bCs/>
          <w:sz w:val="20"/>
        </w:rPr>
        <w:t xml:space="preserve"> </w:t>
      </w:r>
      <w:proofErr w:type="spellStart"/>
      <w:r w:rsidRPr="00EB3D00">
        <w:rPr>
          <w:rFonts w:ascii="Arial" w:hAnsi="Arial" w:eastAsia="Arial" w:cs="Arial"/>
          <w:bCs/>
          <w:sz w:val="20"/>
        </w:rPr>
        <w:t>Eletrônico</w:t>
      </w:r>
      <w:proofErr w:type="spellEnd"/>
      <w:r w:rsidRPr="00EB3D00">
        <w:rPr>
          <w:rFonts w:ascii="Arial" w:hAnsi="Arial" w:eastAsia="Arial" w:cs="Arial"/>
          <w:bCs/>
          <w:sz w:val="20"/>
        </w:rPr>
        <w:t xml:space="preserve"> n.</w:t>
      </w:r>
      <w:r>
        <w:rPr>
          <w:rFonts w:ascii="Arial" w:hAnsi="Arial" w:eastAsia="Arial" w:cs="Arial"/>
          <w:bCs/>
          <w:sz w:val="20"/>
        </w:rPr>
        <w:t>º</w:t>
      </w:r>
      <w:r w:rsidRPr="00EB3D00">
        <w:rPr>
          <w:rFonts w:ascii="Arial" w:hAnsi="Arial" w:eastAsia="Arial" w:cs="Arial"/>
          <w:bCs/>
          <w:sz w:val="20"/>
        </w:rPr>
        <w:t xml:space="preserve"> 01/2022, como </w:t>
      </w:r>
      <w:proofErr w:type="spellStart"/>
      <w:r w:rsidRPr="00EB3D00">
        <w:rPr>
          <w:rFonts w:ascii="Arial" w:hAnsi="Arial" w:eastAsia="Arial" w:cs="Arial"/>
          <w:bCs/>
          <w:sz w:val="20"/>
        </w:rPr>
        <w:t>ja</w:t>
      </w:r>
      <w:proofErr w:type="spellEnd"/>
      <w:r w:rsidRPr="00EB3D00">
        <w:rPr>
          <w:rFonts w:ascii="Arial" w:hAnsi="Arial" w:eastAsia="Arial" w:cs="Arial"/>
          <w:bCs/>
          <w:sz w:val="20"/>
        </w:rPr>
        <w:t xml:space="preserve">́ reconhecido pelos representados, em desconformidade com as </w:t>
      </w:r>
      <w:proofErr w:type="spellStart"/>
      <w:r w:rsidRPr="00EB3D00">
        <w:rPr>
          <w:rFonts w:ascii="Arial" w:hAnsi="Arial" w:eastAsia="Arial" w:cs="Arial"/>
          <w:bCs/>
          <w:sz w:val="20"/>
        </w:rPr>
        <w:t>orientações</w:t>
      </w:r>
      <w:proofErr w:type="spellEnd"/>
      <w:r w:rsidRPr="00EB3D00">
        <w:rPr>
          <w:rFonts w:ascii="Arial" w:hAnsi="Arial" w:eastAsia="Arial" w:cs="Arial"/>
          <w:bCs/>
          <w:sz w:val="20"/>
        </w:rPr>
        <w:t xml:space="preserve"> desta Corte. </w:t>
      </w:r>
    </w:p>
    <w:p w:rsidRPr="00EB3D00" w:rsidR="00EB3D00" w:rsidP="00EB3D00" w:rsidRDefault="00EB3D00" w14:paraId="16B6DB1E" w14:textId="1E87376F">
      <w:pPr>
        <w:spacing w:after="120"/>
        <w:jc w:val="both"/>
        <w:rPr>
          <w:rFonts w:ascii="Arial" w:hAnsi="Arial" w:eastAsia="Arial" w:cs="Arial"/>
          <w:bCs/>
          <w:sz w:val="20"/>
        </w:rPr>
      </w:pPr>
      <w:r w:rsidRPr="00EB3D00">
        <w:rPr>
          <w:rFonts w:ascii="Arial" w:hAnsi="Arial" w:eastAsia="Arial" w:cs="Arial"/>
          <w:bCs/>
          <w:sz w:val="20"/>
        </w:rPr>
        <w:t xml:space="preserve">Por conseguinte, resta procedente a </w:t>
      </w:r>
      <w:proofErr w:type="spellStart"/>
      <w:r w:rsidRPr="00EB3D00">
        <w:rPr>
          <w:rFonts w:ascii="Arial" w:hAnsi="Arial" w:eastAsia="Arial" w:cs="Arial"/>
          <w:bCs/>
          <w:sz w:val="20"/>
        </w:rPr>
        <w:t>Representação</w:t>
      </w:r>
      <w:proofErr w:type="spellEnd"/>
      <w:r w:rsidRPr="00EB3D00">
        <w:rPr>
          <w:rFonts w:ascii="Arial" w:hAnsi="Arial" w:eastAsia="Arial" w:cs="Arial"/>
          <w:bCs/>
          <w:sz w:val="20"/>
        </w:rPr>
        <w:t xml:space="preserve">, cabendo determinar ao </w:t>
      </w:r>
      <w:proofErr w:type="spellStart"/>
      <w:r w:rsidRPr="00EB3D00">
        <w:rPr>
          <w:rFonts w:ascii="Arial" w:hAnsi="Arial" w:eastAsia="Arial" w:cs="Arial"/>
          <w:bCs/>
          <w:sz w:val="20"/>
        </w:rPr>
        <w:t>Consórcio</w:t>
      </w:r>
      <w:proofErr w:type="spellEnd"/>
      <w:r w:rsidRPr="00EB3D00">
        <w:rPr>
          <w:rFonts w:ascii="Arial" w:hAnsi="Arial" w:eastAsia="Arial" w:cs="Arial"/>
          <w:bCs/>
          <w:sz w:val="20"/>
        </w:rPr>
        <w:t xml:space="preserve"> </w:t>
      </w:r>
      <w:proofErr w:type="spellStart"/>
      <w:r w:rsidRPr="00EB3D00">
        <w:rPr>
          <w:rFonts w:ascii="Arial" w:hAnsi="Arial" w:eastAsia="Arial" w:cs="Arial"/>
          <w:bCs/>
          <w:sz w:val="20"/>
        </w:rPr>
        <w:t>Público</w:t>
      </w:r>
      <w:proofErr w:type="spellEnd"/>
      <w:r w:rsidRPr="00EB3D00">
        <w:rPr>
          <w:rFonts w:ascii="Arial" w:hAnsi="Arial" w:eastAsia="Arial" w:cs="Arial"/>
          <w:bCs/>
          <w:sz w:val="20"/>
        </w:rPr>
        <w:t xml:space="preserve"> Intermunicipal para o Desenvolvimento </w:t>
      </w:r>
      <w:proofErr w:type="spellStart"/>
      <w:r w:rsidRPr="00EB3D00">
        <w:rPr>
          <w:rFonts w:ascii="Arial" w:hAnsi="Arial" w:eastAsia="Arial" w:cs="Arial"/>
          <w:bCs/>
          <w:sz w:val="20"/>
        </w:rPr>
        <w:t>Sustentável</w:t>
      </w:r>
      <w:proofErr w:type="spellEnd"/>
      <w:r w:rsidRPr="00EB3D00">
        <w:rPr>
          <w:rFonts w:ascii="Arial" w:hAnsi="Arial" w:eastAsia="Arial" w:cs="Arial"/>
          <w:bCs/>
          <w:sz w:val="20"/>
        </w:rPr>
        <w:t xml:space="preserve"> da </w:t>
      </w:r>
      <w:proofErr w:type="spellStart"/>
      <w:r w:rsidRPr="00EB3D00">
        <w:rPr>
          <w:rFonts w:ascii="Arial" w:hAnsi="Arial" w:eastAsia="Arial" w:cs="Arial"/>
          <w:bCs/>
          <w:sz w:val="20"/>
        </w:rPr>
        <w:t>Região</w:t>
      </w:r>
      <w:proofErr w:type="spellEnd"/>
      <w:r w:rsidRPr="00EB3D00">
        <w:rPr>
          <w:rFonts w:ascii="Arial" w:hAnsi="Arial" w:eastAsia="Arial" w:cs="Arial"/>
          <w:bCs/>
          <w:sz w:val="20"/>
        </w:rPr>
        <w:t xml:space="preserve"> Fronteira do Sudoeste do Estado do </w:t>
      </w:r>
      <w:proofErr w:type="spellStart"/>
      <w:r w:rsidRPr="00EB3D00">
        <w:rPr>
          <w:rFonts w:ascii="Arial" w:hAnsi="Arial" w:eastAsia="Arial" w:cs="Arial"/>
          <w:bCs/>
          <w:sz w:val="20"/>
        </w:rPr>
        <w:t>Parana</w:t>
      </w:r>
      <w:proofErr w:type="spellEnd"/>
      <w:r w:rsidRPr="00EB3D00">
        <w:rPr>
          <w:rFonts w:ascii="Arial" w:hAnsi="Arial" w:eastAsia="Arial" w:cs="Arial"/>
          <w:bCs/>
          <w:sz w:val="20"/>
        </w:rPr>
        <w:t xml:space="preserve">́ que, caso dê continuidade à </w:t>
      </w:r>
      <w:proofErr w:type="spellStart"/>
      <w:r w:rsidRPr="00EB3D00">
        <w:rPr>
          <w:rFonts w:ascii="Arial" w:hAnsi="Arial" w:eastAsia="Arial" w:cs="Arial"/>
          <w:bCs/>
          <w:sz w:val="20"/>
        </w:rPr>
        <w:t>contratação</w:t>
      </w:r>
      <w:proofErr w:type="spellEnd"/>
      <w:r w:rsidRPr="00EB3D00">
        <w:rPr>
          <w:rFonts w:ascii="Arial" w:hAnsi="Arial" w:eastAsia="Arial" w:cs="Arial"/>
          <w:bCs/>
          <w:sz w:val="20"/>
        </w:rPr>
        <w:t xml:space="preserve">, adeque o item 12.3.3 do edital ao contido no </w:t>
      </w:r>
      <w:proofErr w:type="spellStart"/>
      <w:r w:rsidRPr="00EB3D00">
        <w:rPr>
          <w:rFonts w:ascii="Arial" w:hAnsi="Arial" w:eastAsia="Arial" w:cs="Arial"/>
          <w:bCs/>
          <w:sz w:val="20"/>
        </w:rPr>
        <w:t>Acórdão</w:t>
      </w:r>
      <w:proofErr w:type="spellEnd"/>
      <w:r w:rsidRPr="00EB3D00">
        <w:rPr>
          <w:rFonts w:ascii="Arial" w:hAnsi="Arial" w:eastAsia="Arial" w:cs="Arial"/>
          <w:bCs/>
          <w:sz w:val="20"/>
        </w:rPr>
        <w:t xml:space="preserve"> n.</w:t>
      </w:r>
      <w:r>
        <w:rPr>
          <w:rFonts w:ascii="Arial" w:hAnsi="Arial" w:eastAsia="Arial" w:cs="Arial"/>
          <w:bCs/>
          <w:sz w:val="20"/>
        </w:rPr>
        <w:t>º</w:t>
      </w:r>
      <w:r w:rsidRPr="00EB3D00">
        <w:rPr>
          <w:rFonts w:ascii="Arial" w:hAnsi="Arial" w:eastAsia="Arial" w:cs="Arial"/>
          <w:bCs/>
          <w:sz w:val="20"/>
        </w:rPr>
        <w:t xml:space="preserve"> 1045/16 – STP, nos termos sugeridos.</w:t>
      </w:r>
    </w:p>
    <w:p w:rsidRPr="00F0599E" w:rsidR="00674104" w:rsidP="00F0599E" w:rsidRDefault="00EB3D00" w14:paraId="3A917AB4" w14:textId="7637FD2B">
      <w:pPr>
        <w:spacing w:line="276" w:lineRule="auto"/>
        <w:jc w:val="both"/>
        <w:rPr>
          <w:rFonts w:ascii="Arial" w:hAnsi="Arial" w:eastAsia="Arial" w:cs="Arial"/>
          <w:sz w:val="20"/>
        </w:rPr>
      </w:pPr>
      <w:r>
        <w:rPr>
          <w:rFonts w:ascii="Arial" w:hAnsi="Arial" w:eastAsia="Arial" w:cs="Arial"/>
          <w:sz w:val="20"/>
          <w:szCs w:val="20"/>
        </w:rPr>
        <w:t xml:space="preserve">(TCEPR, Processo n.º </w:t>
      </w:r>
      <w:r>
        <w:rPr>
          <w:rFonts w:ascii="Arial" w:hAnsi="Arial" w:eastAsia="Arial" w:cs="Arial"/>
          <w:sz w:val="20"/>
        </w:rPr>
        <w:t xml:space="preserve">156518/22. </w:t>
      </w:r>
      <w:hyperlink w:history="1" r:id="rId9">
        <w:r>
          <w:rPr>
            <w:rStyle w:val="Hyperlink"/>
            <w:rFonts w:ascii="Arial" w:hAnsi="Arial" w:eastAsia="Arial" w:cs="Arial"/>
            <w:sz w:val="20"/>
          </w:rPr>
          <w:t>Acórdão n.º 1248/22 - Tribunal Pleno</w:t>
        </w:r>
      </w:hyperlink>
      <w:r>
        <w:rPr>
          <w:rFonts w:ascii="Arial" w:hAnsi="Arial" w:eastAsia="Arial" w:cs="Arial"/>
          <w:sz w:val="20"/>
          <w:szCs w:val="20"/>
        </w:rPr>
        <w:t xml:space="preserve">. Rel. Conselheiro Ivan </w:t>
      </w:r>
      <w:proofErr w:type="spellStart"/>
      <w:r>
        <w:rPr>
          <w:rFonts w:ascii="Arial" w:hAnsi="Arial" w:eastAsia="Arial" w:cs="Arial"/>
          <w:sz w:val="20"/>
          <w:szCs w:val="20"/>
        </w:rPr>
        <w:t>Lelis</w:t>
      </w:r>
      <w:proofErr w:type="spellEnd"/>
      <w:r>
        <w:rPr>
          <w:rFonts w:ascii="Arial" w:hAnsi="Arial" w:eastAsia="Arial" w:cs="Arial"/>
          <w:sz w:val="20"/>
          <w:szCs w:val="20"/>
        </w:rPr>
        <w:t xml:space="preserve"> Bonilha</w:t>
      </w:r>
      <w:r>
        <w:rPr>
          <w:rFonts w:ascii="Arial" w:hAnsi="Arial" w:eastAsia="Arial" w:cs="Arial"/>
          <w:sz w:val="20"/>
        </w:rPr>
        <w:t>, julgado em 18/07/2022, publicado em 01/08/2022)</w:t>
      </w:r>
    </w:p>
    <w:p w:rsidR="00674104" w:rsidRDefault="00674104" w14:paraId="06892CE8" w14:textId="77777777">
      <w:pPr>
        <w:spacing w:line="276" w:lineRule="auto"/>
        <w:rPr>
          <w:rFonts w:ascii="Arial" w:hAnsi="Arial" w:eastAsia="Arial" w:cs="Arial"/>
          <w:sz w:val="20"/>
        </w:rPr>
      </w:pPr>
    </w:p>
    <w:p w:rsidR="00265060" w:rsidP="00265060" w:rsidRDefault="00265060" w14:paraId="33849D9B" w14:textId="25132C57">
      <w:pPr>
        <w:shd w:val="clear" w:color="EEECE1" w:themeColor="background2" w:fill="EEECE1" w:themeFill="background2"/>
        <w:spacing w:line="276" w:lineRule="auto"/>
        <w:jc w:val="center"/>
        <w:rPr>
          <w:rFonts w:ascii="Arial" w:hAnsi="Arial" w:eastAsia="Arial" w:cs="Arial"/>
          <w:b/>
          <w:sz w:val="20"/>
          <w:szCs w:val="20"/>
        </w:rPr>
      </w:pPr>
      <w:r>
        <w:rPr>
          <w:rFonts w:ascii="Arial" w:hAnsi="Arial" w:eastAsia="Arial" w:cs="Arial"/>
          <w:b/>
          <w:sz w:val="20"/>
          <w:szCs w:val="20"/>
        </w:rPr>
        <w:t>TRIBUNAL DE CONTAS DO ESTADO DO ESPÍRITO SANTO</w:t>
      </w:r>
    </w:p>
    <w:p w:rsidR="00265060" w:rsidP="00CC1302" w:rsidRDefault="00265060" w14:paraId="7318A56A" w14:textId="77777777">
      <w:pPr>
        <w:spacing w:after="120"/>
        <w:jc w:val="both"/>
        <w:rPr>
          <w:rFonts w:ascii="Arial" w:hAnsi="Arial" w:eastAsia="Arial" w:cs="Arial"/>
          <w:b/>
          <w:sz w:val="20"/>
        </w:rPr>
      </w:pPr>
    </w:p>
    <w:p w:rsidRPr="00CC1302" w:rsidR="00CC1302" w:rsidP="00CC1302" w:rsidRDefault="00F0599E" w14:paraId="57649842" w14:textId="574994EB">
      <w:pPr>
        <w:spacing w:after="120"/>
        <w:jc w:val="both"/>
        <w:rPr>
          <w:rFonts w:ascii="Arial" w:hAnsi="Arial" w:eastAsia="Arial" w:cs="Arial"/>
          <w:b/>
          <w:sz w:val="20"/>
        </w:rPr>
      </w:pPr>
      <w:r>
        <w:rPr>
          <w:rFonts w:ascii="Arial" w:hAnsi="Arial" w:eastAsia="Arial" w:cs="Arial"/>
          <w:b/>
          <w:sz w:val="20"/>
        </w:rPr>
        <w:t>3</w:t>
      </w:r>
      <w:r w:rsidR="00265060">
        <w:rPr>
          <w:rFonts w:ascii="Arial" w:hAnsi="Arial" w:eastAsia="Arial" w:cs="Arial"/>
          <w:b/>
          <w:sz w:val="20"/>
        </w:rPr>
        <w:t xml:space="preserve">. </w:t>
      </w:r>
      <w:r w:rsidRPr="00CC1302" w:rsidR="00CC1302">
        <w:rPr>
          <w:rFonts w:ascii="Arial" w:hAnsi="Arial" w:eastAsia="Arial" w:cs="Arial"/>
          <w:b/>
          <w:sz w:val="20"/>
        </w:rPr>
        <w:t xml:space="preserve">REPRESENTAÇÃO COM MEDIDA CAUTELAR – PREFEITURA MUNICIPAL DE ARACRUZ – LICITAÇÃO - PREGÃO ELETRÔNICO no 036/2021 – PNEU – HABILITAÇÃO – FABRICANTE – CERTIFICAÇÃO AMBIENTAL – IBAMA – IMPROCEDÊNCIA – ARQUIVAR. </w:t>
      </w:r>
    </w:p>
    <w:p w:rsidRPr="00CC1302" w:rsidR="00674104" w:rsidRDefault="00CC1302" w14:paraId="42A6469F" w14:textId="66F68573">
      <w:pPr>
        <w:spacing w:line="276" w:lineRule="auto"/>
        <w:jc w:val="both"/>
        <w:rPr>
          <w:rFonts w:ascii="Arial" w:hAnsi="Arial" w:eastAsia="Arial" w:cs="Arial"/>
          <w:bCs/>
          <w:sz w:val="20"/>
        </w:rPr>
      </w:pPr>
      <w:r w:rsidRPr="00CC1302">
        <w:rPr>
          <w:rFonts w:ascii="Arial" w:hAnsi="Arial" w:eastAsia="Arial" w:cs="Arial"/>
          <w:bCs/>
          <w:sz w:val="20"/>
        </w:rPr>
        <w:t xml:space="preserve">1. É permitida à </w:t>
      </w:r>
      <w:proofErr w:type="spellStart"/>
      <w:r w:rsidRPr="00CC1302">
        <w:rPr>
          <w:rFonts w:ascii="Arial" w:hAnsi="Arial" w:eastAsia="Arial" w:cs="Arial"/>
          <w:bCs/>
          <w:sz w:val="20"/>
        </w:rPr>
        <w:t>Administração</w:t>
      </w:r>
      <w:proofErr w:type="spellEnd"/>
      <w:r w:rsidRPr="00CC1302">
        <w:rPr>
          <w:rFonts w:ascii="Arial" w:hAnsi="Arial" w:eastAsia="Arial" w:cs="Arial"/>
          <w:bCs/>
          <w:sz w:val="20"/>
        </w:rPr>
        <w:t xml:space="preserve">, dependendo da natureza do objeto, exigir na fase de </w:t>
      </w:r>
      <w:proofErr w:type="spellStart"/>
      <w:r w:rsidRPr="00CC1302">
        <w:rPr>
          <w:rFonts w:ascii="Arial" w:hAnsi="Arial" w:eastAsia="Arial" w:cs="Arial"/>
          <w:bCs/>
          <w:sz w:val="20"/>
        </w:rPr>
        <w:t>habilitação</w:t>
      </w:r>
      <w:proofErr w:type="spellEnd"/>
      <w:r w:rsidRPr="00CC1302">
        <w:rPr>
          <w:rFonts w:ascii="Arial" w:hAnsi="Arial" w:eastAsia="Arial" w:cs="Arial"/>
          <w:bCs/>
          <w:sz w:val="20"/>
        </w:rPr>
        <w:t xml:space="preserve"> da </w:t>
      </w:r>
      <w:proofErr w:type="spellStart"/>
      <w:r w:rsidRPr="00CC1302">
        <w:rPr>
          <w:rFonts w:ascii="Arial" w:hAnsi="Arial" w:eastAsia="Arial" w:cs="Arial"/>
          <w:bCs/>
          <w:sz w:val="20"/>
        </w:rPr>
        <w:t>licitação</w:t>
      </w:r>
      <w:proofErr w:type="spellEnd"/>
      <w:r w:rsidRPr="00CC1302">
        <w:rPr>
          <w:rFonts w:ascii="Arial" w:hAnsi="Arial" w:eastAsia="Arial" w:cs="Arial"/>
          <w:bCs/>
          <w:sz w:val="20"/>
        </w:rPr>
        <w:t xml:space="preserve"> certificado de regularidade junto ao Instituto Brasileiro de Meio Ambiente e dos Recursos Naturais </w:t>
      </w:r>
      <w:proofErr w:type="spellStart"/>
      <w:r w:rsidRPr="00CC1302">
        <w:rPr>
          <w:rFonts w:ascii="Arial" w:hAnsi="Arial" w:eastAsia="Arial" w:cs="Arial"/>
          <w:bCs/>
          <w:sz w:val="20"/>
        </w:rPr>
        <w:t>Renováveis</w:t>
      </w:r>
      <w:proofErr w:type="spellEnd"/>
      <w:r w:rsidRPr="00CC1302">
        <w:rPr>
          <w:rFonts w:ascii="Arial" w:hAnsi="Arial" w:eastAsia="Arial" w:cs="Arial"/>
          <w:bCs/>
          <w:sz w:val="20"/>
        </w:rPr>
        <w:t xml:space="preserve"> – IBAMA, em nome do fabricante, com </w:t>
      </w:r>
      <w:proofErr w:type="spellStart"/>
      <w:r w:rsidRPr="00CC1302">
        <w:rPr>
          <w:rFonts w:ascii="Arial" w:hAnsi="Arial" w:eastAsia="Arial" w:cs="Arial"/>
          <w:bCs/>
          <w:sz w:val="20"/>
        </w:rPr>
        <w:t>supedâneo</w:t>
      </w:r>
      <w:proofErr w:type="spellEnd"/>
      <w:r w:rsidRPr="00CC1302">
        <w:rPr>
          <w:rFonts w:ascii="Arial" w:hAnsi="Arial" w:eastAsia="Arial" w:cs="Arial"/>
          <w:bCs/>
          <w:sz w:val="20"/>
        </w:rPr>
        <w:t xml:space="preserve"> nas normas de defesa do meio ambiente e no inciso IV do art. 30 da Lei n. 8.666, de 1993.</w:t>
      </w:r>
    </w:p>
    <w:p w:rsidR="00CC1302" w:rsidP="00CC1302" w:rsidRDefault="00CC1302" w14:paraId="7EC00C0D" w14:textId="42817F29">
      <w:pPr>
        <w:spacing w:before="120"/>
        <w:jc w:val="both"/>
        <w:rPr>
          <w:rFonts w:ascii="Arial" w:hAnsi="Arial" w:eastAsia="Arial" w:cs="Arial"/>
          <w:sz w:val="20"/>
        </w:rPr>
      </w:pPr>
      <w:r>
        <w:rPr>
          <w:rFonts w:ascii="Arial" w:hAnsi="Arial" w:eastAsia="Arial" w:cs="Arial"/>
          <w:sz w:val="20"/>
          <w:szCs w:val="20"/>
        </w:rPr>
        <w:t>(TCE-</w:t>
      </w:r>
      <w:r w:rsidR="00265060">
        <w:rPr>
          <w:rFonts w:ascii="Arial" w:hAnsi="Arial" w:eastAsia="Arial" w:cs="Arial"/>
          <w:sz w:val="20"/>
          <w:szCs w:val="20"/>
        </w:rPr>
        <w:t>ES</w:t>
      </w:r>
      <w:r>
        <w:rPr>
          <w:rFonts w:ascii="Arial" w:hAnsi="Arial" w:eastAsia="Arial" w:cs="Arial"/>
          <w:sz w:val="20"/>
          <w:szCs w:val="20"/>
        </w:rPr>
        <w:t xml:space="preserve">, Processo n.º </w:t>
      </w:r>
      <w:r w:rsidR="00265060">
        <w:rPr>
          <w:rFonts w:ascii="Arial" w:hAnsi="Arial" w:eastAsia="Arial" w:cs="Arial"/>
          <w:sz w:val="20"/>
        </w:rPr>
        <w:t>042229/2021-1</w:t>
      </w:r>
      <w:r>
        <w:rPr>
          <w:rFonts w:ascii="Arial" w:hAnsi="Arial" w:eastAsia="Arial" w:cs="Arial"/>
          <w:sz w:val="20"/>
        </w:rPr>
        <w:t xml:space="preserve">. </w:t>
      </w:r>
      <w:hyperlink w:history="1" r:id="rId10">
        <w:r w:rsidR="00265060">
          <w:rPr>
            <w:rStyle w:val="Hyperlink"/>
            <w:rFonts w:ascii="Arial" w:hAnsi="Arial" w:eastAsia="Arial" w:cs="Arial"/>
            <w:sz w:val="20"/>
          </w:rPr>
          <w:t>Acórdão n.º 1374/2021-8 - 2ª Câmara</w:t>
        </w:r>
      </w:hyperlink>
      <w:r>
        <w:rPr>
          <w:rFonts w:ascii="Arial" w:hAnsi="Arial" w:eastAsia="Arial" w:cs="Arial"/>
          <w:sz w:val="20"/>
          <w:szCs w:val="20"/>
        </w:rPr>
        <w:t xml:space="preserve">. Rel. </w:t>
      </w:r>
      <w:r w:rsidR="00265060">
        <w:rPr>
          <w:rFonts w:ascii="Arial" w:hAnsi="Arial" w:eastAsia="Arial" w:cs="Arial"/>
          <w:sz w:val="20"/>
          <w:szCs w:val="20"/>
        </w:rPr>
        <w:t>Sérgio Manoel Nader Borges</w:t>
      </w:r>
      <w:r>
        <w:rPr>
          <w:rFonts w:ascii="Arial" w:hAnsi="Arial" w:eastAsia="Arial" w:cs="Arial"/>
          <w:sz w:val="20"/>
        </w:rPr>
        <w:t xml:space="preserve">, julgado em </w:t>
      </w:r>
      <w:r w:rsidR="00265060">
        <w:rPr>
          <w:rFonts w:ascii="Arial" w:hAnsi="Arial" w:eastAsia="Arial" w:cs="Arial"/>
          <w:sz w:val="20"/>
        </w:rPr>
        <w:t>26/11</w:t>
      </w:r>
      <w:r>
        <w:rPr>
          <w:rFonts w:ascii="Arial" w:hAnsi="Arial" w:eastAsia="Arial" w:cs="Arial"/>
          <w:sz w:val="20"/>
        </w:rPr>
        <w:t>/202</w:t>
      </w:r>
      <w:r w:rsidR="00265060">
        <w:rPr>
          <w:rFonts w:ascii="Arial" w:hAnsi="Arial" w:eastAsia="Arial" w:cs="Arial"/>
          <w:sz w:val="20"/>
        </w:rPr>
        <w:t>1</w:t>
      </w:r>
      <w:r>
        <w:rPr>
          <w:rFonts w:ascii="Arial" w:hAnsi="Arial" w:eastAsia="Arial" w:cs="Arial"/>
          <w:sz w:val="20"/>
        </w:rPr>
        <w:t>)</w:t>
      </w:r>
    </w:p>
    <w:p w:rsidR="00674104" w:rsidRDefault="00674104" w14:paraId="3C993E63" w14:textId="77777777">
      <w:pPr>
        <w:spacing w:line="276" w:lineRule="auto"/>
        <w:jc w:val="both"/>
        <w:rPr>
          <w:rFonts w:ascii="Arial" w:hAnsi="Arial" w:eastAsia="Arial" w:cs="Arial"/>
          <w:color w:val="000000"/>
        </w:rPr>
      </w:pPr>
    </w:p>
    <w:p w:rsidRPr="00F0599E" w:rsidR="00077C0D" w:rsidP="00F0599E" w:rsidRDefault="00265060" w14:paraId="27C383C5" w14:textId="5CF85CD8">
      <w:pPr>
        <w:shd w:val="clear" w:color="EEECE1" w:themeColor="background2" w:fill="EEECE1" w:themeFill="background2"/>
        <w:spacing w:line="276" w:lineRule="auto"/>
        <w:jc w:val="center"/>
        <w:rPr>
          <w:rFonts w:ascii="Arial" w:hAnsi="Arial" w:eastAsia="Arial" w:cs="Arial"/>
          <w:b/>
          <w:sz w:val="20"/>
          <w:szCs w:val="20"/>
        </w:rPr>
      </w:pPr>
      <w:r>
        <w:rPr>
          <w:rFonts w:ascii="Arial" w:hAnsi="Arial" w:eastAsia="Arial" w:cs="Arial"/>
          <w:b/>
          <w:sz w:val="20"/>
          <w:szCs w:val="20"/>
        </w:rPr>
        <w:t>SUPREMO TRIBUNAL FEDERAL</w:t>
      </w:r>
    </w:p>
    <w:p w:rsidR="001331C5" w:rsidP="00F0599E" w:rsidRDefault="00F0599E" w14:paraId="1F0654FC" w14:textId="1845A5F3">
      <w:pPr>
        <w:spacing w:before="240" w:after="120"/>
        <w:jc w:val="both"/>
        <w:rPr>
          <w:rFonts w:ascii="Arial" w:hAnsi="Arial" w:eastAsia="Arial" w:cs="Arial"/>
          <w:b/>
          <w:bCs/>
          <w:color w:val="000000"/>
          <w:sz w:val="20"/>
          <w:szCs w:val="20"/>
        </w:rPr>
      </w:pPr>
      <w:r>
        <w:rPr>
          <w:rFonts w:ascii="Arial" w:hAnsi="Arial" w:eastAsia="Arial" w:cs="Arial"/>
          <w:b/>
          <w:bCs/>
          <w:color w:val="000000"/>
          <w:sz w:val="20"/>
          <w:szCs w:val="20"/>
        </w:rPr>
        <w:t>4</w:t>
      </w:r>
      <w:r w:rsidRPr="001331C5" w:rsidR="0032790A">
        <w:rPr>
          <w:rFonts w:ascii="Arial" w:hAnsi="Arial" w:eastAsia="Arial" w:cs="Arial"/>
          <w:b/>
          <w:bCs/>
          <w:color w:val="000000"/>
          <w:sz w:val="20"/>
          <w:szCs w:val="20"/>
        </w:rPr>
        <w:t>. DIREITO CONSTITUCIONAL AMBIENTAL. ARGUIÇÃO DE DESCUMPRIMENTO DE PRECEITO FUNDAMENTAL. FUNDO CLIMA. NÃO DESTINAÇÃO DOS RECURSOS VOLTADOS À MITIGAÇÃO DAS MUDANÇAS CLIMÁTICAS. INCONSTITUCIONALIDADE. VIOLAÇÃO A COMPROMISSOS INTERNACIONAIS.</w:t>
      </w:r>
    </w:p>
    <w:p w:rsidRPr="001331C5" w:rsidR="001331C5" w:rsidP="001331C5" w:rsidRDefault="001331C5" w14:paraId="070FE84C" w14:textId="4E5E9EFE">
      <w:pPr>
        <w:spacing w:after="120"/>
        <w:jc w:val="both"/>
        <w:rPr>
          <w:rFonts w:ascii="Arial" w:hAnsi="Arial" w:eastAsia="Arial" w:cs="Arial"/>
          <w:color w:val="000000"/>
          <w:sz w:val="20"/>
          <w:szCs w:val="20"/>
        </w:rPr>
      </w:pPr>
      <w:r w:rsidRPr="001331C5">
        <w:rPr>
          <w:rFonts w:ascii="Arial" w:hAnsi="Arial" w:eastAsia="Arial" w:cs="Arial"/>
          <w:color w:val="000000"/>
          <w:sz w:val="20"/>
          <w:szCs w:val="20"/>
        </w:rPr>
        <w:t>1. Trata-se de arguição de descumprimento de preceito fundamental por meio da qual se alega que a União manteve o Fundo Nacional sobre Mudança do Clima (Fundo Clima) inoperante durante os anos de 2019 e 2020, deixando de destinar vultosos recursos para o enfrentamento das mudanças climáticas. Pede-se: (i) a retomada do funcionamento do Fundo; (</w:t>
      </w:r>
      <w:proofErr w:type="spellStart"/>
      <w:r w:rsidRPr="001331C5">
        <w:rPr>
          <w:rFonts w:ascii="Arial" w:hAnsi="Arial" w:eastAsia="Arial" w:cs="Arial"/>
          <w:color w:val="000000"/>
          <w:sz w:val="20"/>
          <w:szCs w:val="20"/>
        </w:rPr>
        <w:t>ii</w:t>
      </w:r>
      <w:proofErr w:type="spellEnd"/>
      <w:r w:rsidRPr="001331C5">
        <w:rPr>
          <w:rFonts w:ascii="Arial" w:hAnsi="Arial" w:eastAsia="Arial" w:cs="Arial"/>
          <w:color w:val="000000"/>
          <w:sz w:val="20"/>
          <w:szCs w:val="20"/>
        </w:rPr>
        <w:t>) a decretação do dever da União de alocação de tais recursos e a determinação de que se abstenha de novas omissões; (</w:t>
      </w:r>
      <w:proofErr w:type="spellStart"/>
      <w:r w:rsidRPr="001331C5">
        <w:rPr>
          <w:rFonts w:ascii="Arial" w:hAnsi="Arial" w:eastAsia="Arial" w:cs="Arial"/>
          <w:color w:val="000000"/>
          <w:sz w:val="20"/>
          <w:szCs w:val="20"/>
        </w:rPr>
        <w:t>iii</w:t>
      </w:r>
      <w:proofErr w:type="spellEnd"/>
      <w:r w:rsidRPr="001331C5">
        <w:rPr>
          <w:rFonts w:ascii="Arial" w:hAnsi="Arial" w:eastAsia="Arial" w:cs="Arial"/>
          <w:color w:val="000000"/>
          <w:sz w:val="20"/>
          <w:szCs w:val="20"/>
        </w:rPr>
        <w:t xml:space="preserve">) a vedação ao contingenciamento de tais valores, com base no direito constitucional ao meio ambiente saudável. 2. Os documentos juntados aos autos comprovam a efetiva omissão da União, durante os anos de 2019 e 2020. Demonstram que a não alocação dos recursos constituiu uma decisão deliberada do Executivo, até que fosse possível alterar a constituição do Comitê Gestor do Fundo, de modo a controlar as informações e decisões pertinentes à alocação de seus recursos. A medida se insere em quadro mais amplo de sistêmica supressão ou enfraquecimento de colegiados da Administração Pública e/ou de redução da participação da sociedade civil em seu âmbito, com vistas à sua captura. Tais providências já foram consideradas inconstitucionais pelo Supremo Tribunal Federal em reiteradas decisões. Nesse sentido: ADI </w:t>
      </w:r>
      <w:r w:rsidRPr="001331C5">
        <w:rPr>
          <w:rFonts w:ascii="Arial" w:hAnsi="Arial" w:eastAsia="Arial" w:cs="Arial"/>
          <w:color w:val="000000"/>
          <w:sz w:val="20"/>
          <w:szCs w:val="20"/>
        </w:rPr>
        <w:lastRenderedPageBreak/>
        <w:t xml:space="preserve">6121, Rel. Min. Marco Aurélio (referente à extinção de múltiplos órgãos colegiados); ADPF 622, Rel. Min. Luís Roberto Barroso (sobre alteração do funcionamento do Conselho Nacional da Criança e do Adolescente – CONANDA); ADPF 623-MC, </w:t>
      </w:r>
      <w:proofErr w:type="spellStart"/>
      <w:r w:rsidRPr="001331C5">
        <w:rPr>
          <w:rFonts w:ascii="Arial" w:hAnsi="Arial" w:eastAsia="Arial" w:cs="Arial"/>
          <w:color w:val="000000"/>
          <w:sz w:val="20"/>
          <w:szCs w:val="20"/>
        </w:rPr>
        <w:t>Relª</w:t>
      </w:r>
      <w:proofErr w:type="spellEnd"/>
      <w:r w:rsidRPr="001331C5">
        <w:rPr>
          <w:rFonts w:ascii="Arial" w:hAnsi="Arial" w:eastAsia="Arial" w:cs="Arial"/>
          <w:color w:val="000000"/>
          <w:sz w:val="20"/>
          <w:szCs w:val="20"/>
        </w:rPr>
        <w:t xml:space="preserve">. Minª. Rosa Weber (sobre </w:t>
      </w:r>
      <w:proofErr w:type="gramStart"/>
      <w:r w:rsidRPr="001331C5">
        <w:rPr>
          <w:rFonts w:ascii="Arial" w:hAnsi="Arial" w:eastAsia="Arial" w:cs="Arial"/>
          <w:color w:val="000000"/>
          <w:sz w:val="20"/>
          <w:szCs w:val="20"/>
        </w:rPr>
        <w:t>a mesma</w:t>
      </w:r>
      <w:proofErr w:type="gramEnd"/>
      <w:r w:rsidRPr="001331C5">
        <w:rPr>
          <w:rFonts w:ascii="Arial" w:hAnsi="Arial" w:eastAsia="Arial" w:cs="Arial"/>
          <w:color w:val="000000"/>
          <w:sz w:val="20"/>
          <w:szCs w:val="20"/>
        </w:rPr>
        <w:t xml:space="preserve"> problemática no Conselho Nacional de Meio Ambiente – CONAMA); ADPF 651, </w:t>
      </w:r>
      <w:proofErr w:type="spellStart"/>
      <w:r w:rsidRPr="001331C5">
        <w:rPr>
          <w:rFonts w:ascii="Arial" w:hAnsi="Arial" w:eastAsia="Arial" w:cs="Arial"/>
          <w:color w:val="000000"/>
          <w:sz w:val="20"/>
          <w:szCs w:val="20"/>
        </w:rPr>
        <w:t>Relª</w:t>
      </w:r>
      <w:proofErr w:type="spellEnd"/>
      <w:r w:rsidRPr="001331C5">
        <w:rPr>
          <w:rFonts w:ascii="Arial" w:hAnsi="Arial" w:eastAsia="Arial" w:cs="Arial"/>
          <w:color w:val="000000"/>
          <w:sz w:val="20"/>
          <w:szCs w:val="20"/>
        </w:rPr>
        <w:t xml:space="preserve">. Minª. </w:t>
      </w:r>
      <w:proofErr w:type="spellStart"/>
      <w:r w:rsidRPr="001331C5">
        <w:rPr>
          <w:rFonts w:ascii="Arial" w:hAnsi="Arial" w:eastAsia="Arial" w:cs="Arial"/>
          <w:color w:val="000000"/>
          <w:sz w:val="20"/>
          <w:szCs w:val="20"/>
        </w:rPr>
        <w:t>Cármen</w:t>
      </w:r>
      <w:proofErr w:type="spellEnd"/>
      <w:r w:rsidRPr="001331C5">
        <w:rPr>
          <w:rFonts w:ascii="Arial" w:hAnsi="Arial" w:eastAsia="Arial" w:cs="Arial"/>
          <w:color w:val="000000"/>
          <w:sz w:val="20"/>
          <w:szCs w:val="20"/>
        </w:rPr>
        <w:t xml:space="preserve"> Lúcia (pertinente ao Conselho Deliberativo do Fundo Nacional do Meio Ambiente - FMNA). 3. O funcionamento do Fundo Clima foi retomado às pressas pelo Executivo, após a propositura da presente ação, liberando-se: (i) a integralidade dos recursos reembolsáveis para o BNDES; e (</w:t>
      </w:r>
      <w:proofErr w:type="spellStart"/>
      <w:r w:rsidRPr="001331C5">
        <w:rPr>
          <w:rFonts w:ascii="Arial" w:hAnsi="Arial" w:eastAsia="Arial" w:cs="Arial"/>
          <w:color w:val="000000"/>
          <w:sz w:val="20"/>
          <w:szCs w:val="20"/>
        </w:rPr>
        <w:t>ii</w:t>
      </w:r>
      <w:proofErr w:type="spellEnd"/>
      <w:r w:rsidRPr="001331C5">
        <w:rPr>
          <w:rFonts w:ascii="Arial" w:hAnsi="Arial" w:eastAsia="Arial" w:cs="Arial"/>
          <w:color w:val="000000"/>
          <w:sz w:val="20"/>
          <w:szCs w:val="20"/>
        </w:rPr>
        <w:t xml:space="preserve">) parte dos recursos não reembolsáveis, para o Projeto Lixão Zero, do governo de Rondônia. Parcela remanescente dos recursos não reembolsáveis foi mantida retida, por contingenciamento alegadamente determinado pelo Ministério da Economia. 4. Dever constitucional, supralegal e legal da União e dos representantes eleitos, de proteger o meio ambiente e de combater as mudanças climáticas. A questão, portanto, tem natureza jurídica vinculante, não se tratando de livre escolha política. Determinação de que se abstenham de omissões na operacionalização do Fundo Clima e na destinação dos seus recursos. Inteligência dos </w:t>
      </w:r>
      <w:proofErr w:type="spellStart"/>
      <w:r w:rsidRPr="001331C5">
        <w:rPr>
          <w:rFonts w:ascii="Arial" w:hAnsi="Arial" w:eastAsia="Arial" w:cs="Arial"/>
          <w:color w:val="000000"/>
          <w:sz w:val="20"/>
          <w:szCs w:val="20"/>
        </w:rPr>
        <w:t>arts</w:t>
      </w:r>
      <w:proofErr w:type="spellEnd"/>
      <w:r w:rsidRPr="001331C5">
        <w:rPr>
          <w:rFonts w:ascii="Arial" w:hAnsi="Arial" w:eastAsia="Arial" w:cs="Arial"/>
          <w:color w:val="000000"/>
          <w:sz w:val="20"/>
          <w:szCs w:val="20"/>
        </w:rPr>
        <w:t>. 225 e 5º, § 2º, da Constituição Federal (CF). 5. Vedação ao contingenciamento dos valores do Fundo Clima, em razão: (i) do grave contexto em que se encontra a situação ambiental brasileira, que guarda estrita relação de dependência com o núcleo essencial de múltiplos direitos fundamentais; (</w:t>
      </w:r>
      <w:proofErr w:type="spellStart"/>
      <w:r w:rsidRPr="001331C5">
        <w:rPr>
          <w:rFonts w:ascii="Arial" w:hAnsi="Arial" w:eastAsia="Arial" w:cs="Arial"/>
          <w:color w:val="000000"/>
          <w:sz w:val="20"/>
          <w:szCs w:val="20"/>
        </w:rPr>
        <w:t>ii</w:t>
      </w:r>
      <w:proofErr w:type="spellEnd"/>
      <w:r w:rsidRPr="001331C5">
        <w:rPr>
          <w:rFonts w:ascii="Arial" w:hAnsi="Arial" w:eastAsia="Arial" w:cs="Arial"/>
          <w:color w:val="000000"/>
          <w:sz w:val="20"/>
          <w:szCs w:val="20"/>
        </w:rPr>
        <w:t>) de tais valores se vincularem a despesa objeto de deliberação do Legislativo, voltada ao cumprimento de obrigação constitucional e legal, com destinação específica. Inteligência do art. 2º, da CF e do art. 9º, § 2º, da Lei de Responsabilidade Fiscal - LC 101/2000 (LRF). Precedente: ADPF 347-MC, Rel. Min. Marco Aurélio. 6. Pedido julgado procedente para: (i) reconhecer a omissão da União, em razão da não alocação integral dos recursos do Fundo Clima referentes a 2019; (</w:t>
      </w:r>
      <w:proofErr w:type="spellStart"/>
      <w:r w:rsidRPr="001331C5">
        <w:rPr>
          <w:rFonts w:ascii="Arial" w:hAnsi="Arial" w:eastAsia="Arial" w:cs="Arial"/>
          <w:color w:val="000000"/>
          <w:sz w:val="20"/>
          <w:szCs w:val="20"/>
        </w:rPr>
        <w:t>ii</w:t>
      </w:r>
      <w:proofErr w:type="spellEnd"/>
      <w:r w:rsidRPr="001331C5">
        <w:rPr>
          <w:rFonts w:ascii="Arial" w:hAnsi="Arial" w:eastAsia="Arial" w:cs="Arial"/>
          <w:color w:val="000000"/>
          <w:sz w:val="20"/>
          <w:szCs w:val="20"/>
        </w:rPr>
        <w:t>) determinar à União que se abstenha de se omitir em fazer funcionar o Fundo Clima ou em destinar seus recursos; (</w:t>
      </w:r>
      <w:proofErr w:type="spellStart"/>
      <w:r w:rsidRPr="001331C5">
        <w:rPr>
          <w:rFonts w:ascii="Arial" w:hAnsi="Arial" w:eastAsia="Arial" w:cs="Arial"/>
          <w:color w:val="000000"/>
          <w:sz w:val="20"/>
          <w:szCs w:val="20"/>
        </w:rPr>
        <w:t>iii</w:t>
      </w:r>
      <w:proofErr w:type="spellEnd"/>
      <w:r w:rsidRPr="001331C5">
        <w:rPr>
          <w:rFonts w:ascii="Arial" w:hAnsi="Arial" w:eastAsia="Arial" w:cs="Arial"/>
          <w:color w:val="000000"/>
          <w:sz w:val="20"/>
          <w:szCs w:val="20"/>
        </w:rPr>
        <w:t>) vedar o contingenciamento das receitas que integram o Fundo. 7. Tese: O Poder Executivo tem o dever constitucional de fazer funcionar e alocar anualmente os recursos do Fundo Clima, para fins de mitigação das mudanças climáticas, estando vedado seu contingenciamento, em razão do dever constitucional de tutela ao meio ambiente (CF, art. 225), de direitos e compromissos internacionais assumidos pelo Brasil (CF, art. 5º, § 2º), bem como do princípio constitucional da separação dos poderes (CF, art. 2º, c/c o art. 9º, § 2º, LRF).</w:t>
      </w:r>
    </w:p>
    <w:p w:rsidR="001331C5" w:rsidP="001331C5" w:rsidRDefault="001331C5" w14:paraId="425BE03A" w14:textId="3F1941A2">
      <w:pPr>
        <w:spacing w:line="276" w:lineRule="auto"/>
        <w:jc w:val="both"/>
        <w:rPr>
          <w:rFonts w:ascii="Arial" w:hAnsi="Arial" w:eastAsia="Arial" w:cs="Arial"/>
          <w:color w:val="000000"/>
          <w:sz w:val="20"/>
          <w:szCs w:val="20"/>
        </w:rPr>
      </w:pPr>
      <w:r w:rsidRPr="558133CA" w:rsidR="001331C5">
        <w:rPr>
          <w:rFonts w:ascii="Arial" w:hAnsi="Arial" w:eastAsia="Arial" w:cs="Arial"/>
          <w:color w:val="000000" w:themeColor="text1" w:themeTint="FF" w:themeShade="FF"/>
          <w:sz w:val="20"/>
          <w:szCs w:val="20"/>
        </w:rPr>
        <w:t>(</w:t>
      </w:r>
      <w:r w:rsidRPr="558133CA" w:rsidR="001331C5">
        <w:rPr>
          <w:rFonts w:ascii="Arial" w:hAnsi="Arial" w:eastAsia="Arial" w:cs="Arial"/>
          <w:color w:val="000000" w:themeColor="text1" w:themeTint="FF" w:themeShade="FF"/>
          <w:sz w:val="20"/>
          <w:szCs w:val="20"/>
        </w:rPr>
        <w:t xml:space="preserve">STF, </w:t>
      </w:r>
      <w:hyperlink r:id="Rcda36c4ed80d4b2f">
        <w:r w:rsidRPr="558133CA" w:rsidR="001331C5">
          <w:rPr>
            <w:rStyle w:val="Hyperlink"/>
            <w:rFonts w:ascii="Arial" w:hAnsi="Arial" w:eastAsia="Arial" w:cs="Arial"/>
            <w:sz w:val="20"/>
            <w:szCs w:val="20"/>
          </w:rPr>
          <w:t>ADPF 708</w:t>
        </w:r>
      </w:hyperlink>
      <w:r w:rsidRPr="558133CA" w:rsidR="001331C5">
        <w:rPr>
          <w:rFonts w:ascii="Arial" w:hAnsi="Arial" w:eastAsia="Arial" w:cs="Arial"/>
          <w:color w:val="000000" w:themeColor="text1" w:themeTint="FF" w:themeShade="FF"/>
          <w:sz w:val="20"/>
          <w:szCs w:val="20"/>
        </w:rPr>
        <w:t xml:space="preserve">, Relator(a): </w:t>
      </w:r>
      <w:r w:rsidRPr="558133CA" w:rsidR="001331C5">
        <w:rPr>
          <w:rFonts w:ascii="Arial" w:hAnsi="Arial" w:eastAsia="Arial" w:cs="Arial"/>
          <w:color w:val="000000" w:themeColor="text1" w:themeTint="FF" w:themeShade="FF"/>
          <w:sz w:val="20"/>
          <w:szCs w:val="20"/>
        </w:rPr>
        <w:t>Min. Roberto Barroso</w:t>
      </w:r>
      <w:r w:rsidRPr="558133CA" w:rsidR="001331C5">
        <w:rPr>
          <w:rFonts w:ascii="Arial" w:hAnsi="Arial" w:eastAsia="Arial" w:cs="Arial"/>
          <w:color w:val="000000" w:themeColor="text1" w:themeTint="FF" w:themeShade="FF"/>
          <w:sz w:val="20"/>
          <w:szCs w:val="20"/>
        </w:rPr>
        <w:t xml:space="preserve">, Tribunal Pleno, julgado em 04/07/2022, </w:t>
      </w:r>
      <w:r w:rsidRPr="558133CA" w:rsidR="001331C5">
        <w:rPr>
          <w:rFonts w:ascii="Arial" w:hAnsi="Arial" w:eastAsia="Arial" w:cs="Arial"/>
          <w:color w:val="000000" w:themeColor="text1" w:themeTint="FF" w:themeShade="FF"/>
          <w:sz w:val="20"/>
          <w:szCs w:val="20"/>
        </w:rPr>
        <w:t>veiculado em 27/09/2022, publicado em 28/09/2022)</w:t>
      </w:r>
      <w:r w:rsidRPr="558133CA" w:rsidR="128A43B6">
        <w:rPr>
          <w:rFonts w:ascii="Arial" w:hAnsi="Arial" w:eastAsia="Arial" w:cs="Arial"/>
          <w:color w:val="000000" w:themeColor="text1" w:themeTint="FF" w:themeShade="FF"/>
          <w:sz w:val="20"/>
          <w:szCs w:val="20"/>
        </w:rPr>
        <w:t>.</w:t>
      </w:r>
    </w:p>
    <w:p w:rsidR="00674104" w:rsidRDefault="00674104" w14:paraId="55BDEBC5" w14:textId="77777777">
      <w:pPr>
        <w:spacing w:line="276" w:lineRule="auto"/>
        <w:rPr>
          <w:rFonts w:ascii="Arial" w:hAnsi="Arial" w:eastAsia="Arial" w:cs="Arial"/>
          <w:color w:val="000000"/>
          <w:sz w:val="20"/>
          <w:szCs w:val="20"/>
        </w:rPr>
      </w:pPr>
    </w:p>
    <w:p w:rsidR="00674104" w:rsidRDefault="00000000" w14:paraId="720AB9E8" w14:textId="77777777">
      <w:pPr>
        <w:shd w:val="clear" w:color="EEECE1" w:themeColor="background2" w:fill="EEECE1" w:themeFill="background2"/>
        <w:spacing w:line="276" w:lineRule="auto"/>
        <w:jc w:val="center"/>
        <w:rPr>
          <w:rFonts w:ascii="Arial" w:hAnsi="Arial" w:eastAsia="Arial" w:cs="Arial"/>
          <w:b/>
          <w:sz w:val="20"/>
        </w:rPr>
      </w:pPr>
      <w:r>
        <w:rPr>
          <w:rFonts w:ascii="Arial" w:hAnsi="Arial" w:eastAsia="Arial" w:cs="Arial"/>
          <w:b/>
          <w:sz w:val="20"/>
          <w:szCs w:val="20"/>
        </w:rPr>
        <w:t>SUPERIOR TRIBUNAL DE JUSTIÇA</w:t>
      </w:r>
    </w:p>
    <w:p w:rsidR="00183A15" w:rsidP="00183A15" w:rsidRDefault="00183A15" w14:paraId="42DA8ABF" w14:textId="55099468">
      <w:pPr>
        <w:pStyle w:val="Default"/>
        <w:spacing w:line="276" w:lineRule="auto"/>
        <w:jc w:val="both"/>
        <w:rPr>
          <w:rFonts w:eastAsia="Arial"/>
          <w:sz w:val="20"/>
          <w:szCs w:val="20"/>
        </w:rPr>
      </w:pPr>
    </w:p>
    <w:p w:rsidRPr="0032790A" w:rsidR="00183A15" w:rsidP="0032790A" w:rsidRDefault="00F0599E" w14:paraId="6130C8CD" w14:textId="5448283D">
      <w:pPr>
        <w:pStyle w:val="Default"/>
        <w:spacing w:after="120" w:line="276" w:lineRule="auto"/>
        <w:jc w:val="both"/>
        <w:rPr>
          <w:rFonts w:eastAsia="Arial"/>
          <w:b/>
          <w:bCs/>
          <w:sz w:val="20"/>
          <w:szCs w:val="20"/>
        </w:rPr>
      </w:pPr>
      <w:r>
        <w:rPr>
          <w:rFonts w:eastAsia="Arial"/>
          <w:b/>
          <w:bCs/>
          <w:sz w:val="20"/>
          <w:szCs w:val="20"/>
        </w:rPr>
        <w:t>5</w:t>
      </w:r>
      <w:r w:rsidRPr="0032790A" w:rsidR="0032790A">
        <w:rPr>
          <w:rFonts w:eastAsia="Arial"/>
          <w:b/>
          <w:bCs/>
          <w:sz w:val="20"/>
          <w:szCs w:val="20"/>
        </w:rPr>
        <w:t xml:space="preserve">. </w:t>
      </w:r>
      <w:r w:rsidRPr="0032790A" w:rsidR="00183A15">
        <w:rPr>
          <w:rFonts w:eastAsia="Arial"/>
          <w:b/>
          <w:bCs/>
          <w:sz w:val="20"/>
          <w:szCs w:val="20"/>
        </w:rPr>
        <w:t>DIREITO CIVIL E PROCESSUAL CIVIL. AGRAVO INTERNO NO RECURSO ESPECIAL. AÇÃO DE COMPENSAÇÃO POR DANOS MORAIS. PESCADOR ARTESANAL. ACIDENTE AMBIENTAL. NEGATIVA DE PRESTAÇÃO JURISDICIONAL. NÃO OCORRÊNCIA. PRAZO PRESCRICIONAL. INTERRUPÇÃO. AJUIZAMENTO DE AÇÃO CIVIL PÚBLICA SOBRE O MESMO FATO. HARMONIA ENTRE O ACÓRDÃO RECORRIDO E A JURISPRUDÊNCIA DO STJ.</w:t>
      </w:r>
    </w:p>
    <w:p w:rsidRPr="00183A15" w:rsidR="00183A15" w:rsidP="00183A15" w:rsidRDefault="00183A15" w14:paraId="27943D89" w14:textId="77777777">
      <w:pPr>
        <w:pStyle w:val="Default"/>
        <w:spacing w:line="276" w:lineRule="auto"/>
        <w:jc w:val="both"/>
        <w:rPr>
          <w:rFonts w:eastAsia="Arial"/>
          <w:sz w:val="20"/>
          <w:szCs w:val="20"/>
        </w:rPr>
      </w:pPr>
      <w:r w:rsidRPr="00183A15">
        <w:rPr>
          <w:rFonts w:eastAsia="Arial"/>
          <w:sz w:val="20"/>
          <w:szCs w:val="20"/>
        </w:rPr>
        <w:t>1. Ação de compensação por danos morais, ajuizada por pescador artesanal em razão do dano ambiental decorrente de derramamento de ácido sulfúrico pelo navio Bahamas, que estava atracado no porto de Rio Grande/RS.</w:t>
      </w:r>
    </w:p>
    <w:p w:rsidRPr="00183A15" w:rsidR="00183A15" w:rsidP="00183A15" w:rsidRDefault="00183A15" w14:paraId="7D097B2C" w14:textId="77777777">
      <w:pPr>
        <w:pStyle w:val="Default"/>
        <w:spacing w:line="276" w:lineRule="auto"/>
        <w:jc w:val="both"/>
        <w:rPr>
          <w:rFonts w:eastAsia="Arial"/>
          <w:sz w:val="20"/>
          <w:szCs w:val="20"/>
        </w:rPr>
      </w:pPr>
      <w:r w:rsidRPr="00183A15">
        <w:rPr>
          <w:rFonts w:eastAsia="Arial"/>
          <w:sz w:val="20"/>
          <w:szCs w:val="20"/>
        </w:rPr>
        <w:t xml:space="preserve">2. Não ocorre ofensa aos </w:t>
      </w:r>
      <w:proofErr w:type="spellStart"/>
      <w:r w:rsidRPr="00183A15">
        <w:rPr>
          <w:rFonts w:eastAsia="Arial"/>
          <w:sz w:val="20"/>
          <w:szCs w:val="20"/>
        </w:rPr>
        <w:t>arts</w:t>
      </w:r>
      <w:proofErr w:type="spellEnd"/>
      <w:r w:rsidRPr="00183A15">
        <w:rPr>
          <w:rFonts w:eastAsia="Arial"/>
          <w:sz w:val="20"/>
          <w:szCs w:val="20"/>
        </w:rPr>
        <w:t xml:space="preserve">. 489 e 1.022 do CPC quando o Tribunal de origem, aplicando o direito que entende cabível à hipótese, examina fundamentada e expressamente todos os pontos </w:t>
      </w:r>
      <w:r w:rsidRPr="00183A15">
        <w:rPr>
          <w:rFonts w:eastAsia="Arial"/>
          <w:sz w:val="20"/>
          <w:szCs w:val="20"/>
        </w:rPr>
        <w:lastRenderedPageBreak/>
        <w:t>relevantes para a solução da controvérsia, ainda que de forma distinta daquela pretendida pela parte.</w:t>
      </w:r>
    </w:p>
    <w:p w:rsidRPr="00183A15" w:rsidR="00183A15" w:rsidP="00183A15" w:rsidRDefault="00183A15" w14:paraId="6FC72EFB" w14:textId="77777777">
      <w:pPr>
        <w:pStyle w:val="Default"/>
        <w:spacing w:line="276" w:lineRule="auto"/>
        <w:jc w:val="both"/>
        <w:rPr>
          <w:rFonts w:eastAsia="Arial"/>
          <w:sz w:val="20"/>
          <w:szCs w:val="20"/>
        </w:rPr>
      </w:pPr>
      <w:r w:rsidRPr="00183A15">
        <w:rPr>
          <w:rFonts w:eastAsia="Arial"/>
          <w:sz w:val="20"/>
          <w:szCs w:val="20"/>
        </w:rPr>
        <w:t>3. Consoante a jurisprudência firmada pelo STJ, a citação válida em ação coletiva, mesmo que versando sobre direitos difusos, configura causa interruptiva do prazo de prescrição para o ajuizamento da ação individual. Precedentes.</w:t>
      </w:r>
    </w:p>
    <w:p w:rsidRPr="00183A15" w:rsidR="00183A15" w:rsidP="0032790A" w:rsidRDefault="00183A15" w14:paraId="476257E2" w14:textId="77777777">
      <w:pPr>
        <w:pStyle w:val="Default"/>
        <w:spacing w:after="120"/>
        <w:jc w:val="both"/>
        <w:rPr>
          <w:rFonts w:eastAsia="Arial"/>
          <w:sz w:val="20"/>
          <w:szCs w:val="20"/>
        </w:rPr>
      </w:pPr>
      <w:r w:rsidRPr="00183A15">
        <w:rPr>
          <w:rFonts w:eastAsia="Arial"/>
          <w:sz w:val="20"/>
          <w:szCs w:val="20"/>
        </w:rPr>
        <w:t>4. Agravo interno não provido.</w:t>
      </w:r>
    </w:p>
    <w:p w:rsidRPr="00183A15" w:rsidR="00183A15" w:rsidP="00183A15" w:rsidRDefault="00183A15" w14:paraId="22D246F4" w14:textId="6AAA7EA9">
      <w:pPr>
        <w:pStyle w:val="Default"/>
        <w:spacing w:line="276" w:lineRule="auto"/>
        <w:jc w:val="both"/>
        <w:rPr>
          <w:rFonts w:eastAsia="Arial"/>
          <w:sz w:val="20"/>
          <w:szCs w:val="20"/>
        </w:rPr>
      </w:pPr>
      <w:r w:rsidRPr="00F0599E">
        <w:rPr>
          <w:rFonts w:eastAsia="Arial"/>
          <w:sz w:val="20"/>
          <w:szCs w:val="20"/>
        </w:rPr>
        <w:t>(</w:t>
      </w:r>
      <w:r w:rsidRPr="00F0599E" w:rsidR="0032790A">
        <w:rPr>
          <w:rFonts w:eastAsia="Arial"/>
          <w:sz w:val="20"/>
          <w:szCs w:val="20"/>
        </w:rPr>
        <w:t xml:space="preserve">STJ, </w:t>
      </w:r>
      <w:hyperlink w:history="1" r:id="rId12">
        <w:proofErr w:type="spellStart"/>
        <w:r w:rsidRPr="00F0599E">
          <w:rPr>
            <w:rStyle w:val="Hyperlink"/>
            <w:rFonts w:eastAsia="Arial"/>
            <w:sz w:val="20"/>
            <w:szCs w:val="20"/>
          </w:rPr>
          <w:t>AgInt</w:t>
        </w:r>
        <w:proofErr w:type="spellEnd"/>
        <w:r w:rsidRPr="00F0599E">
          <w:rPr>
            <w:rStyle w:val="Hyperlink"/>
            <w:rFonts w:eastAsia="Arial"/>
            <w:sz w:val="20"/>
            <w:szCs w:val="20"/>
          </w:rPr>
          <w:t xml:space="preserve"> no </w:t>
        </w:r>
        <w:proofErr w:type="spellStart"/>
        <w:r w:rsidRPr="00F0599E">
          <w:rPr>
            <w:rStyle w:val="Hyperlink"/>
            <w:rFonts w:eastAsia="Arial"/>
            <w:sz w:val="20"/>
            <w:szCs w:val="20"/>
          </w:rPr>
          <w:t>REsp</w:t>
        </w:r>
        <w:proofErr w:type="spellEnd"/>
        <w:r w:rsidRPr="00F0599E">
          <w:rPr>
            <w:rStyle w:val="Hyperlink"/>
            <w:rFonts w:eastAsia="Arial"/>
            <w:sz w:val="20"/>
            <w:szCs w:val="20"/>
          </w:rPr>
          <w:t xml:space="preserve"> n.</w:t>
        </w:r>
        <w:r w:rsidRPr="00F0599E" w:rsidR="0032790A">
          <w:rPr>
            <w:rStyle w:val="Hyperlink"/>
            <w:rFonts w:eastAsia="Arial"/>
            <w:sz w:val="20"/>
            <w:szCs w:val="20"/>
          </w:rPr>
          <w:t>º</w:t>
        </w:r>
        <w:r w:rsidRPr="00F0599E">
          <w:rPr>
            <w:rStyle w:val="Hyperlink"/>
            <w:rFonts w:eastAsia="Arial"/>
            <w:sz w:val="20"/>
            <w:szCs w:val="20"/>
          </w:rPr>
          <w:t xml:space="preserve"> 1.983.292/RS</w:t>
        </w:r>
      </w:hyperlink>
      <w:r w:rsidRPr="00F0599E">
        <w:rPr>
          <w:rFonts w:eastAsia="Arial"/>
          <w:sz w:val="20"/>
          <w:szCs w:val="20"/>
        </w:rPr>
        <w:t xml:space="preserve">, </w:t>
      </w:r>
      <w:r w:rsidRPr="00F0599E" w:rsidR="0032790A">
        <w:rPr>
          <w:rFonts w:eastAsia="Arial"/>
          <w:sz w:val="20"/>
          <w:szCs w:val="20"/>
        </w:rPr>
        <w:t>Rel.</w:t>
      </w:r>
      <w:r w:rsidRPr="00F0599E">
        <w:rPr>
          <w:rFonts w:eastAsia="Arial"/>
          <w:sz w:val="20"/>
          <w:szCs w:val="20"/>
        </w:rPr>
        <w:t xml:space="preserve"> </w:t>
      </w:r>
      <w:r w:rsidRPr="00183A15">
        <w:rPr>
          <w:rFonts w:eastAsia="Arial"/>
          <w:sz w:val="20"/>
          <w:szCs w:val="20"/>
        </w:rPr>
        <w:t xml:space="preserve">Ministra Nancy </w:t>
      </w:r>
      <w:proofErr w:type="spellStart"/>
      <w:r w:rsidRPr="00183A15">
        <w:rPr>
          <w:rFonts w:eastAsia="Arial"/>
          <w:sz w:val="20"/>
          <w:szCs w:val="20"/>
        </w:rPr>
        <w:t>Andrighi</w:t>
      </w:r>
      <w:proofErr w:type="spellEnd"/>
      <w:r w:rsidRPr="00183A15">
        <w:rPr>
          <w:rFonts w:eastAsia="Arial"/>
          <w:sz w:val="20"/>
          <w:szCs w:val="20"/>
        </w:rPr>
        <w:t xml:space="preserve">, Terceira Turma, julgado em 22/11/2022, </w:t>
      </w:r>
      <w:r w:rsidR="0032790A">
        <w:rPr>
          <w:rFonts w:eastAsia="Arial"/>
          <w:sz w:val="20"/>
          <w:szCs w:val="20"/>
        </w:rPr>
        <w:t>veiculado em</w:t>
      </w:r>
      <w:r w:rsidRPr="00183A15">
        <w:rPr>
          <w:rFonts w:eastAsia="Arial"/>
          <w:sz w:val="20"/>
          <w:szCs w:val="20"/>
        </w:rPr>
        <w:t xml:space="preserve"> 24/11/2022.)</w:t>
      </w:r>
    </w:p>
    <w:p w:rsidR="00674104" w:rsidRDefault="00674104" w14:paraId="53A486E8" w14:textId="77777777">
      <w:pPr>
        <w:pStyle w:val="Default"/>
        <w:spacing w:line="276" w:lineRule="auto"/>
        <w:jc w:val="both"/>
        <w:rPr>
          <w:b/>
          <w:sz w:val="20"/>
          <w:szCs w:val="20"/>
        </w:rPr>
      </w:pPr>
    </w:p>
    <w:p w:rsidR="00674104" w:rsidRDefault="00000000" w14:paraId="69D852A3" w14:textId="77777777">
      <w:pPr>
        <w:pStyle w:val="Default"/>
        <w:spacing w:line="276" w:lineRule="auto"/>
        <w:jc w:val="center"/>
        <w:rPr>
          <w:rStyle w:val="Hyperlink"/>
          <w:sz w:val="20"/>
          <w:szCs w:val="20"/>
        </w:rPr>
      </w:pPr>
      <w:hyperlink w:tooltip="http://www1.tce.pr.gov.br/conteudo/pesquisas-prontas/308475/area/249" w:history="1" r:id="rId13">
        <w:r>
          <w:rPr>
            <w:rStyle w:val="Hyperlink"/>
            <w:b/>
            <w:sz w:val="20"/>
            <w:szCs w:val="20"/>
          </w:rPr>
          <w:t>Pesquisas Prontas</w:t>
        </w:r>
      </w:hyperlink>
    </w:p>
    <w:p w:rsidR="00674104" w:rsidRDefault="00674104" w14:paraId="2AE727AF" w14:textId="77777777">
      <w:pPr>
        <w:pStyle w:val="Default"/>
        <w:spacing w:line="276" w:lineRule="auto"/>
        <w:jc w:val="center"/>
        <w:rPr>
          <w:rStyle w:val="Hyperlink"/>
          <w:b/>
          <w:sz w:val="20"/>
          <w:szCs w:val="20"/>
        </w:rPr>
      </w:pPr>
    </w:p>
    <w:p w:rsidR="00674104" w:rsidRDefault="00000000" w14:paraId="00EA30B5" w14:textId="77777777">
      <w:pPr>
        <w:pStyle w:val="Default"/>
        <w:spacing w:line="276" w:lineRule="auto"/>
        <w:jc w:val="center"/>
        <w:rPr>
          <w:rStyle w:val="Hyperlink"/>
          <w:b/>
          <w:sz w:val="20"/>
          <w:szCs w:val="20"/>
        </w:rPr>
      </w:pPr>
      <w:hyperlink w:tooltip="http://www1.tce.pr.gov.br/conteudo/boletim-informativo-de-jurisprudencia/280400/area/249" w:history="1" r:id="rId14">
        <w:r>
          <w:rPr>
            <w:rStyle w:val="Hyperlink"/>
            <w:b/>
            <w:sz w:val="20"/>
            <w:szCs w:val="20"/>
          </w:rPr>
          <w:t>Boletim Informativo de Jurisprudência</w:t>
        </w:r>
      </w:hyperlink>
    </w:p>
    <w:p w:rsidR="00674104" w:rsidRDefault="00674104" w14:paraId="335B31D9" w14:textId="77777777">
      <w:pPr>
        <w:pStyle w:val="Default"/>
        <w:spacing w:line="276" w:lineRule="auto"/>
        <w:jc w:val="center"/>
        <w:rPr>
          <w:rStyle w:val="Hyperlink"/>
          <w:b/>
          <w:sz w:val="20"/>
          <w:szCs w:val="20"/>
        </w:rPr>
      </w:pPr>
    </w:p>
    <w:p w:rsidR="00674104" w:rsidRDefault="00000000" w14:paraId="4C941E1C" w14:textId="77777777">
      <w:pPr>
        <w:pStyle w:val="Default"/>
        <w:spacing w:line="276" w:lineRule="auto"/>
        <w:jc w:val="center"/>
        <w:rPr>
          <w:sz w:val="20"/>
          <w:szCs w:val="20"/>
        </w:rPr>
      </w:pPr>
      <w:hyperlink w:tooltip="http://www1.tce.pr.gov.br/conteudo/boletim-de-jurisprudencia-internacional/316601/area/249" w:history="1" r:id="rId15">
        <w:proofErr w:type="spellStart"/>
        <w:r>
          <w:rPr>
            <w:rStyle w:val="Hyperlink"/>
            <w:b/>
            <w:sz w:val="20"/>
            <w:szCs w:val="20"/>
          </w:rPr>
          <w:t>Interjuris</w:t>
        </w:r>
        <w:proofErr w:type="spellEnd"/>
      </w:hyperlink>
    </w:p>
    <w:p w:rsidR="00674104" w:rsidRDefault="00674104" w14:paraId="6953FA10" w14:textId="77777777">
      <w:pPr>
        <w:pStyle w:val="Default"/>
        <w:spacing w:line="276" w:lineRule="auto"/>
        <w:jc w:val="center"/>
        <w:rPr>
          <w:sz w:val="20"/>
          <w:szCs w:val="20"/>
        </w:rPr>
      </w:pPr>
    </w:p>
    <w:p w:rsidR="00674104" w:rsidRDefault="00000000" w14:paraId="55AD30E5" w14:textId="77777777">
      <w:pPr>
        <w:pStyle w:val="Default"/>
        <w:spacing w:line="276" w:lineRule="auto"/>
        <w:jc w:val="center"/>
        <w:rPr>
          <w:rStyle w:val="Hyperlink"/>
          <w:b/>
          <w:sz w:val="20"/>
          <w:szCs w:val="20"/>
        </w:rPr>
      </w:pPr>
      <w:hyperlink w:tooltip="http://www1.tce.pr.gov.br/conteudo/repercussao-geral-no-stf-e-os-tribunais-de-contas/307026/area/249" w:history="1" r:id="rId16">
        <w:r>
          <w:rPr>
            <w:rStyle w:val="Hyperlink"/>
            <w:b/>
            <w:sz w:val="20"/>
            <w:szCs w:val="20"/>
          </w:rPr>
          <w:t>Repercussão Geral do Supremo Tribunal Federal - STF e os Tribunais de Contas</w:t>
        </w:r>
      </w:hyperlink>
    </w:p>
    <w:p w:rsidR="00674104" w:rsidRDefault="00674104" w14:paraId="7039AF69" w14:textId="77777777">
      <w:pPr>
        <w:pStyle w:val="Default"/>
        <w:spacing w:line="276" w:lineRule="auto"/>
        <w:jc w:val="center"/>
        <w:rPr>
          <w:rStyle w:val="Hyperlink"/>
          <w:b/>
          <w:sz w:val="20"/>
          <w:szCs w:val="20"/>
        </w:rPr>
      </w:pPr>
    </w:p>
    <w:p w:rsidR="00674104" w:rsidRDefault="00000000" w14:paraId="700B3066" w14:textId="77777777">
      <w:pPr>
        <w:pStyle w:val="Default"/>
        <w:spacing w:line="276" w:lineRule="auto"/>
        <w:jc w:val="center"/>
        <w:rPr>
          <w:rStyle w:val="Hyperlink"/>
          <w:b/>
          <w:sz w:val="20"/>
          <w:szCs w:val="20"/>
        </w:rPr>
      </w:pPr>
      <w:hyperlink w:tooltip="http://www1.tce.pr.gov.br/conteudo/sumulas-selecionadas/316602/area/249" w:history="1" r:id="rId17">
        <w:r>
          <w:rPr>
            <w:rStyle w:val="Hyperlink"/>
            <w:b/>
            <w:sz w:val="20"/>
            <w:szCs w:val="20"/>
          </w:rPr>
          <w:t>Súmulas Selecionadas</w:t>
        </w:r>
      </w:hyperlink>
    </w:p>
    <w:p w:rsidR="00674104" w:rsidRDefault="00000000" w14:paraId="784CB090" w14:textId="77777777">
      <w:pPr>
        <w:pStyle w:val="TCU-Epgrafe"/>
        <w:spacing w:line="276" w:lineRule="auto"/>
        <w:ind w:left="0"/>
        <w:rPr>
          <w:rFonts w:ascii="Arial" w:hAnsi="Arial" w:cs="Arial"/>
          <w:sz w:val="20"/>
        </w:rPr>
      </w:pPr>
      <w:r>
        <w:rPr>
          <w:rFonts w:ascii="Arial" w:hAnsi="Arial" w:cs="Arial"/>
          <w:noProof/>
          <w:sz w:val="20"/>
        </w:rPr>
        <mc:AlternateContent>
          <mc:Choice Requires="wpg">
            <w:drawing>
              <wp:anchor distT="0" distB="0" distL="114300" distR="114300" simplePos="0" relativeHeight="251664896" behindDoc="0" locked="0" layoutInCell="1" allowOverlap="1" wp14:anchorId="7CE88545" wp14:editId="7F4D9BD4">
                <wp:simplePos x="0" y="0"/>
                <wp:positionH relativeFrom="margin">
                  <wp:posOffset>-18205</wp:posOffset>
                </wp:positionH>
                <wp:positionV relativeFrom="paragraph">
                  <wp:posOffset>117229</wp:posOffset>
                </wp:positionV>
                <wp:extent cx="5518150" cy="0"/>
                <wp:effectExtent l="0" t="0" r="25400" b="57150"/>
                <wp:wrapNone/>
                <wp:docPr id="5" name="Conector reto 59"/>
                <wp:cNvGraphicFramePr/>
                <a:graphic xmlns:a="http://schemas.openxmlformats.org/drawingml/2006/main">
                  <a:graphicData uri="http://schemas.microsoft.com/office/word/2010/wordprocessingShape">
                    <wps:wsp>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89CEF97">
              <v:shape id="shape 4" style="position:absolute;mso-wrap-distance-left:9.0pt;mso-wrap-distance-top:0.0pt;mso-wrap-distance-right:9.0pt;mso-wrap-distance-bottom:0.0pt;z-index:251664896;o:allowoverlap:true;o:allowincell:true;mso-position-horizontal-relative:margin;margin-left:-1.4pt;mso-position-horizontal:absolute;mso-position-vertical-relative:text;margin-top:9.2pt;mso-position-vertical:absolute;width:434.5pt;height:0.0pt;" coordsize="100000,100000" o:spid="_x0000_s4" filled="f" strokecolor="#000000" strokeweight="2.00pt" o:spt="20" path="">
                <v:path textboxrect="0,0,0,0"/>
              </v:shape>
            </w:pict>
          </mc:Fallback>
        </mc:AlternateContent>
      </w:r>
    </w:p>
    <w:p w:rsidR="00674104" w:rsidRDefault="00674104" w14:paraId="311E79BA" w14:textId="77777777">
      <w:pPr>
        <w:jc w:val="center"/>
        <w:rPr>
          <w:rStyle w:val="Hyperlink"/>
          <w:rFonts w:ascii="Arial" w:hAnsi="Arial" w:cs="Arial"/>
          <w:i/>
          <w:color w:val="000000"/>
          <w:sz w:val="20"/>
          <w:szCs w:val="20"/>
          <w:u w:val="none"/>
        </w:rPr>
      </w:pPr>
    </w:p>
    <w:p w:rsidR="00674104" w:rsidRDefault="00000000" w14:paraId="7930A052" w14:textId="77777777">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18"/>
      <w:footerReference w:type="default" r:id="rId19"/>
      <w:pgSz w:w="11906" w:h="16838"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078A" w:rsidRDefault="002B078A" w14:paraId="24C0BC20" w14:textId="77777777">
      <w:r>
        <w:separator/>
      </w:r>
    </w:p>
  </w:endnote>
  <w:endnote w:type="continuationSeparator" w:id="0">
    <w:p w:rsidR="002B078A" w:rsidRDefault="002B078A" w14:paraId="765C53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674104" w:rsidRDefault="00000000" w14:paraId="798E8AD4" w14:textId="77777777">
    <w:pPr>
      <w:pStyle w:val="Rodap"/>
      <w:jc w:val="center"/>
      <w:rPr>
        <w:sz w:val="16"/>
        <w:szCs w:val="16"/>
      </w:rPr>
    </w:pPr>
    <w:r>
      <w:rPr>
        <w:noProof/>
        <w:lang w:eastAsia="pt-BR"/>
      </w:rPr>
      <mc:AlternateContent>
        <mc:Choice Requires="wpg">
          <w:drawing>
            <wp:inline distT="0" distB="0" distL="0" distR="0" wp14:anchorId="330BC690" wp14:editId="65CD5D46">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mc:Choice>
        <mc:Fallback xmlns:a="http://schemas.openxmlformats.org/drawingml/2006/main">
          <w:pict w14:anchorId="3F7F75AB">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style="mso-wrap-distance-left:0.0pt;mso-wrap-distance-top:0.0pt;mso-wrap-distance-right:0.0pt;mso-wrap-distance-bottom:0.0pt;width:36.5pt;height:18.2pt;" o:spid="_x0000_s2" stroked="f" type="#_x0000_t75">
              <v:path textboxrect="0,0,0,0"/>
              <v:imagedata o:title="" r:id="rId2"/>
            </v:shape>
          </w:pict>
        </mc:Fallback>
      </mc:AlternateContent>
    </w:r>
  </w:p>
  <w:p w:rsidR="00674104" w:rsidRDefault="00000000" w14:paraId="6C70E0EC" w14:textId="77777777">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rsidR="00674104" w:rsidRDefault="00674104" w14:paraId="4171ABF4" w14:textId="77777777"/>
  <w:p w:rsidR="00674104" w:rsidRDefault="00674104" w14:paraId="40DE90F9" w14:textId="77777777"/>
  <w:p w:rsidR="00674104" w:rsidRDefault="00674104" w14:paraId="356C786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078A" w:rsidRDefault="002B078A" w14:paraId="6D7A07F9" w14:textId="77777777">
      <w:r>
        <w:separator/>
      </w:r>
    </w:p>
  </w:footnote>
  <w:footnote w:type="continuationSeparator" w:id="0">
    <w:p w:rsidR="002B078A" w:rsidRDefault="002B078A" w14:paraId="3986F14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674104" w:rsidRDefault="00674104" w14:paraId="5471B873" w14:textId="77777777">
    <w:pPr>
      <w:pStyle w:val="Cabealho"/>
      <w:spacing w:after="100" w:afterAutospacing="1"/>
      <w:jc w:val="center"/>
      <w:rPr>
        <w:b/>
      </w:rPr>
    </w:pPr>
  </w:p>
  <w:p w:rsidR="00674104" w:rsidRDefault="00000000" w14:paraId="29BE05AC" w14:textId="77777777">
    <w:pPr>
      <w:pStyle w:val="Cabealho"/>
      <w:spacing w:after="100" w:afterAutospacing="1"/>
      <w:jc w:val="center"/>
      <w:rPr>
        <w:b/>
      </w:rPr>
    </w:pPr>
    <w:r>
      <w:rPr>
        <w:noProof/>
        <w:lang w:eastAsia="pt-BR"/>
      </w:rPr>
      <mc:AlternateContent>
        <mc:Choice Requires="wpg">
          <w:drawing>
            <wp:inline distT="0" distB="0" distL="0" distR="0" wp14:anchorId="2B072A04" wp14:editId="4CE3B2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mc:Choice>
        <mc:Fallback xmlns:a="http://schemas.openxmlformats.org/drawingml/2006/main">
          <w:pict w14:anchorId="18873505">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mso-wrap-distance-left:0.0pt;mso-wrap-distance-top:0.0pt;mso-wrap-distance-right:0.0pt;mso-wrap-distance-bottom:0.0pt;width:320.7pt;height:68.7pt;" o:spid="_x0000_s0" stroked="f" type="#_x0000_t75">
              <v:path textboxrect="0,0,0,0"/>
              <v:imagedata o:title="" r:id="rId2"/>
            </v:shape>
          </w:pict>
        </mc:Fallback>
      </mc:AlternateContent>
    </w:r>
    <w:r>
      <w:rPr>
        <w:noProof/>
        <w:lang w:eastAsia="pt-BR"/>
      </w:rPr>
      <mc:AlternateContent>
        <mc:Choice Requires="wpg">
          <w:drawing>
            <wp:inline distT="0" distB="0" distL="0" distR="0" wp14:anchorId="564474B4" wp14:editId="1B3DF5CF">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3"/>
                      <a:stretch/>
                    </pic:blipFill>
                    <pic:spPr bwMode="auto">
                      <a:xfrm>
                        <a:off x="0" y="0"/>
                        <a:ext cx="1245870" cy="779780"/>
                      </a:xfrm>
                      <a:prstGeom prst="rect">
                        <a:avLst/>
                      </a:prstGeom>
                      <a:noFill/>
                      <a:ln>
                        <a:noFill/>
                      </a:ln>
                    </pic:spPr>
                  </pic:pic>
                </a:graphicData>
              </a:graphic>
            </wp:inline>
          </w:drawing>
        </mc:Choice>
        <mc:Fallback xmlns:a="http://schemas.openxmlformats.org/drawingml/2006/main">
          <w:pict w14:anchorId="3F6CA731">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style="mso-wrap-distance-left:0.0pt;mso-wrap-distance-top:0.0pt;mso-wrap-distance-right:0.0pt;mso-wrap-distance-bottom:0.0pt;width:98.1pt;height:61.4pt;" o:spid="_x0000_s1" stroked="f" type="#_x0000_t75">
              <v:path textboxrect="0,0,0,0"/>
              <v:imagedata o:title="" r:id="rId4"/>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C46968"/>
    <w:multiLevelType w:val="hybridMultilevel"/>
    <w:tmpl w:val="0EF63AE0"/>
    <w:lvl w:ilvl="0" w:tplc="FBAC7E20">
      <w:start w:val="1"/>
      <w:numFmt w:val="bullet"/>
      <w:lvlText w:val=""/>
      <w:lvlJc w:val="left"/>
      <w:pPr>
        <w:tabs>
          <w:tab w:val="num" w:pos="720"/>
        </w:tabs>
        <w:ind w:left="720" w:hanging="360"/>
      </w:pPr>
      <w:rPr>
        <w:rFonts w:hint="default" w:ascii="Symbol" w:hAnsi="Symbol"/>
        <w:sz w:val="20"/>
      </w:rPr>
    </w:lvl>
    <w:lvl w:ilvl="1" w:tplc="36EEA2B2">
      <w:start w:val="1"/>
      <w:numFmt w:val="bullet"/>
      <w:lvlText w:val="o"/>
      <w:lvlJc w:val="left"/>
      <w:pPr>
        <w:tabs>
          <w:tab w:val="num" w:pos="1440"/>
        </w:tabs>
        <w:ind w:left="1440" w:hanging="360"/>
      </w:pPr>
      <w:rPr>
        <w:rFonts w:hint="default" w:ascii="Courier New" w:hAnsi="Courier New"/>
        <w:sz w:val="20"/>
      </w:rPr>
    </w:lvl>
    <w:lvl w:ilvl="2" w:tplc="08260E54">
      <w:start w:val="1"/>
      <w:numFmt w:val="bullet"/>
      <w:lvlText w:val=""/>
      <w:lvlJc w:val="left"/>
      <w:pPr>
        <w:tabs>
          <w:tab w:val="num" w:pos="2160"/>
        </w:tabs>
        <w:ind w:left="2160" w:hanging="360"/>
      </w:pPr>
      <w:rPr>
        <w:rFonts w:hint="default" w:ascii="Wingdings" w:hAnsi="Wingdings"/>
        <w:sz w:val="20"/>
      </w:rPr>
    </w:lvl>
    <w:lvl w:ilvl="3" w:tplc="22464EFC">
      <w:start w:val="1"/>
      <w:numFmt w:val="bullet"/>
      <w:lvlText w:val=""/>
      <w:lvlJc w:val="left"/>
      <w:pPr>
        <w:tabs>
          <w:tab w:val="num" w:pos="2880"/>
        </w:tabs>
        <w:ind w:left="2880" w:hanging="360"/>
      </w:pPr>
      <w:rPr>
        <w:rFonts w:hint="default" w:ascii="Wingdings" w:hAnsi="Wingdings"/>
        <w:sz w:val="20"/>
      </w:rPr>
    </w:lvl>
    <w:lvl w:ilvl="4" w:tplc="AE0C9678">
      <w:start w:val="1"/>
      <w:numFmt w:val="bullet"/>
      <w:lvlText w:val=""/>
      <w:lvlJc w:val="left"/>
      <w:pPr>
        <w:tabs>
          <w:tab w:val="num" w:pos="3600"/>
        </w:tabs>
        <w:ind w:left="3600" w:hanging="360"/>
      </w:pPr>
      <w:rPr>
        <w:rFonts w:hint="default" w:ascii="Wingdings" w:hAnsi="Wingdings"/>
        <w:sz w:val="20"/>
      </w:rPr>
    </w:lvl>
    <w:lvl w:ilvl="5" w:tplc="26587A6C">
      <w:start w:val="1"/>
      <w:numFmt w:val="bullet"/>
      <w:lvlText w:val=""/>
      <w:lvlJc w:val="left"/>
      <w:pPr>
        <w:tabs>
          <w:tab w:val="num" w:pos="4320"/>
        </w:tabs>
        <w:ind w:left="4320" w:hanging="360"/>
      </w:pPr>
      <w:rPr>
        <w:rFonts w:hint="default" w:ascii="Wingdings" w:hAnsi="Wingdings"/>
        <w:sz w:val="20"/>
      </w:rPr>
    </w:lvl>
    <w:lvl w:ilvl="6" w:tplc="1E168210">
      <w:start w:val="1"/>
      <w:numFmt w:val="bullet"/>
      <w:lvlText w:val=""/>
      <w:lvlJc w:val="left"/>
      <w:pPr>
        <w:tabs>
          <w:tab w:val="num" w:pos="5040"/>
        </w:tabs>
        <w:ind w:left="5040" w:hanging="360"/>
      </w:pPr>
      <w:rPr>
        <w:rFonts w:hint="default" w:ascii="Wingdings" w:hAnsi="Wingdings"/>
        <w:sz w:val="20"/>
      </w:rPr>
    </w:lvl>
    <w:lvl w:ilvl="7" w:tplc="4814BA48">
      <w:start w:val="1"/>
      <w:numFmt w:val="bullet"/>
      <w:lvlText w:val=""/>
      <w:lvlJc w:val="left"/>
      <w:pPr>
        <w:tabs>
          <w:tab w:val="num" w:pos="5760"/>
        </w:tabs>
        <w:ind w:left="5760" w:hanging="360"/>
      </w:pPr>
      <w:rPr>
        <w:rFonts w:hint="default" w:ascii="Wingdings" w:hAnsi="Wingdings"/>
        <w:sz w:val="20"/>
      </w:rPr>
    </w:lvl>
    <w:lvl w:ilvl="8" w:tplc="E30AABF2">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4"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5" w15:restartNumberingAfterBreak="0">
    <w:nsid w:val="1966204D"/>
    <w:multiLevelType w:val="hybridMultilevel"/>
    <w:tmpl w:val="BEE6F99A"/>
    <w:lvl w:ilvl="0" w:tplc="532EA708">
      <w:start w:val="2"/>
      <w:numFmt w:val="bullet"/>
      <w:lvlText w:val=""/>
      <w:lvlJc w:val="left"/>
      <w:pPr>
        <w:ind w:left="720" w:hanging="360"/>
      </w:pPr>
      <w:rPr>
        <w:rFonts w:hint="default" w:ascii="Wingdings" w:hAnsi="Wingdings" w:cs="Arial,Bold" w:eastAsiaTheme="minorHAnsi"/>
      </w:rPr>
    </w:lvl>
    <w:lvl w:ilvl="1" w:tplc="4CB2BF60">
      <w:start w:val="1"/>
      <w:numFmt w:val="bullet"/>
      <w:lvlText w:val="o"/>
      <w:lvlJc w:val="left"/>
      <w:pPr>
        <w:ind w:left="1440" w:hanging="360"/>
      </w:pPr>
      <w:rPr>
        <w:rFonts w:hint="default" w:ascii="Courier New" w:hAnsi="Courier New" w:cs="Courier New"/>
      </w:rPr>
    </w:lvl>
    <w:lvl w:ilvl="2" w:tplc="6C28D8CE">
      <w:start w:val="1"/>
      <w:numFmt w:val="bullet"/>
      <w:lvlText w:val=""/>
      <w:lvlJc w:val="left"/>
      <w:pPr>
        <w:ind w:left="2160" w:hanging="360"/>
      </w:pPr>
      <w:rPr>
        <w:rFonts w:hint="default" w:ascii="Wingdings" w:hAnsi="Wingdings"/>
      </w:rPr>
    </w:lvl>
    <w:lvl w:ilvl="3" w:tplc="05F85524">
      <w:start w:val="1"/>
      <w:numFmt w:val="bullet"/>
      <w:lvlText w:val=""/>
      <w:lvlJc w:val="left"/>
      <w:pPr>
        <w:ind w:left="2880" w:hanging="360"/>
      </w:pPr>
      <w:rPr>
        <w:rFonts w:hint="default" w:ascii="Symbol" w:hAnsi="Symbol"/>
      </w:rPr>
    </w:lvl>
    <w:lvl w:ilvl="4" w:tplc="E0B2B974">
      <w:start w:val="1"/>
      <w:numFmt w:val="bullet"/>
      <w:lvlText w:val="o"/>
      <w:lvlJc w:val="left"/>
      <w:pPr>
        <w:ind w:left="3600" w:hanging="360"/>
      </w:pPr>
      <w:rPr>
        <w:rFonts w:hint="default" w:ascii="Courier New" w:hAnsi="Courier New" w:cs="Courier New"/>
      </w:rPr>
    </w:lvl>
    <w:lvl w:ilvl="5" w:tplc="40789DCC">
      <w:start w:val="1"/>
      <w:numFmt w:val="bullet"/>
      <w:lvlText w:val=""/>
      <w:lvlJc w:val="left"/>
      <w:pPr>
        <w:ind w:left="4320" w:hanging="360"/>
      </w:pPr>
      <w:rPr>
        <w:rFonts w:hint="default" w:ascii="Wingdings" w:hAnsi="Wingdings"/>
      </w:rPr>
    </w:lvl>
    <w:lvl w:ilvl="6" w:tplc="1778AC70">
      <w:start w:val="1"/>
      <w:numFmt w:val="bullet"/>
      <w:lvlText w:val=""/>
      <w:lvlJc w:val="left"/>
      <w:pPr>
        <w:ind w:left="5040" w:hanging="360"/>
      </w:pPr>
      <w:rPr>
        <w:rFonts w:hint="default" w:ascii="Symbol" w:hAnsi="Symbol"/>
      </w:rPr>
    </w:lvl>
    <w:lvl w:ilvl="7" w:tplc="B6149B1A">
      <w:start w:val="1"/>
      <w:numFmt w:val="bullet"/>
      <w:lvlText w:val="o"/>
      <w:lvlJc w:val="left"/>
      <w:pPr>
        <w:ind w:left="5760" w:hanging="360"/>
      </w:pPr>
      <w:rPr>
        <w:rFonts w:hint="default" w:ascii="Courier New" w:hAnsi="Courier New" w:cs="Courier New"/>
      </w:rPr>
    </w:lvl>
    <w:lvl w:ilvl="8" w:tplc="B12C6C68">
      <w:start w:val="1"/>
      <w:numFmt w:val="bullet"/>
      <w:lvlText w:val=""/>
      <w:lvlJc w:val="left"/>
      <w:pPr>
        <w:ind w:left="6480" w:hanging="360"/>
      </w:pPr>
      <w:rPr>
        <w:rFonts w:hint="default" w:ascii="Wingdings" w:hAnsi="Wingdings"/>
      </w:rPr>
    </w:lvl>
  </w:abstractNum>
  <w:abstractNum w:abstractNumId="6"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7"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8" w15:restartNumberingAfterBreak="0">
    <w:nsid w:val="21114DC1"/>
    <w:multiLevelType w:val="hybridMultilevel"/>
    <w:tmpl w:val="73FCF6B8"/>
    <w:lvl w:ilvl="0" w:tplc="7E2823DC">
      <w:start w:val="1"/>
      <w:numFmt w:val="bullet"/>
      <w:lvlText w:val=""/>
      <w:lvlJc w:val="left"/>
      <w:pPr>
        <w:tabs>
          <w:tab w:val="num" w:pos="720"/>
        </w:tabs>
        <w:ind w:left="720" w:hanging="360"/>
      </w:pPr>
      <w:rPr>
        <w:rFonts w:hint="default" w:ascii="Symbol" w:hAnsi="Symbol"/>
        <w:sz w:val="20"/>
      </w:rPr>
    </w:lvl>
    <w:lvl w:ilvl="1" w:tplc="0D526926">
      <w:start w:val="1"/>
      <w:numFmt w:val="bullet"/>
      <w:lvlText w:val="o"/>
      <w:lvlJc w:val="left"/>
      <w:pPr>
        <w:tabs>
          <w:tab w:val="num" w:pos="1440"/>
        </w:tabs>
        <w:ind w:left="1440" w:hanging="360"/>
      </w:pPr>
      <w:rPr>
        <w:rFonts w:hint="default" w:ascii="Courier New" w:hAnsi="Courier New"/>
        <w:sz w:val="20"/>
      </w:rPr>
    </w:lvl>
    <w:lvl w:ilvl="2" w:tplc="30D60AD0">
      <w:start w:val="1"/>
      <w:numFmt w:val="bullet"/>
      <w:lvlText w:val=""/>
      <w:lvlJc w:val="left"/>
      <w:pPr>
        <w:tabs>
          <w:tab w:val="num" w:pos="2160"/>
        </w:tabs>
        <w:ind w:left="2160" w:hanging="360"/>
      </w:pPr>
      <w:rPr>
        <w:rFonts w:hint="default" w:ascii="Wingdings" w:hAnsi="Wingdings"/>
        <w:sz w:val="20"/>
      </w:rPr>
    </w:lvl>
    <w:lvl w:ilvl="3" w:tplc="184C7E14">
      <w:start w:val="1"/>
      <w:numFmt w:val="bullet"/>
      <w:lvlText w:val=""/>
      <w:lvlJc w:val="left"/>
      <w:pPr>
        <w:tabs>
          <w:tab w:val="num" w:pos="2880"/>
        </w:tabs>
        <w:ind w:left="2880" w:hanging="360"/>
      </w:pPr>
      <w:rPr>
        <w:rFonts w:hint="default" w:ascii="Wingdings" w:hAnsi="Wingdings"/>
        <w:sz w:val="20"/>
      </w:rPr>
    </w:lvl>
    <w:lvl w:ilvl="4" w:tplc="65B40A2C">
      <w:start w:val="1"/>
      <w:numFmt w:val="bullet"/>
      <w:lvlText w:val=""/>
      <w:lvlJc w:val="left"/>
      <w:pPr>
        <w:tabs>
          <w:tab w:val="num" w:pos="3600"/>
        </w:tabs>
        <w:ind w:left="3600" w:hanging="360"/>
      </w:pPr>
      <w:rPr>
        <w:rFonts w:hint="default" w:ascii="Wingdings" w:hAnsi="Wingdings"/>
        <w:sz w:val="20"/>
      </w:rPr>
    </w:lvl>
    <w:lvl w:ilvl="5" w:tplc="BEF0B22C">
      <w:start w:val="1"/>
      <w:numFmt w:val="bullet"/>
      <w:lvlText w:val=""/>
      <w:lvlJc w:val="left"/>
      <w:pPr>
        <w:tabs>
          <w:tab w:val="num" w:pos="4320"/>
        </w:tabs>
        <w:ind w:left="4320" w:hanging="360"/>
      </w:pPr>
      <w:rPr>
        <w:rFonts w:hint="default" w:ascii="Wingdings" w:hAnsi="Wingdings"/>
        <w:sz w:val="20"/>
      </w:rPr>
    </w:lvl>
    <w:lvl w:ilvl="6" w:tplc="BE1CB322">
      <w:start w:val="1"/>
      <w:numFmt w:val="bullet"/>
      <w:lvlText w:val=""/>
      <w:lvlJc w:val="left"/>
      <w:pPr>
        <w:tabs>
          <w:tab w:val="num" w:pos="5040"/>
        </w:tabs>
        <w:ind w:left="5040" w:hanging="360"/>
      </w:pPr>
      <w:rPr>
        <w:rFonts w:hint="default" w:ascii="Wingdings" w:hAnsi="Wingdings"/>
        <w:sz w:val="20"/>
      </w:rPr>
    </w:lvl>
    <w:lvl w:ilvl="7" w:tplc="BC7673EE">
      <w:start w:val="1"/>
      <w:numFmt w:val="bullet"/>
      <w:lvlText w:val=""/>
      <w:lvlJc w:val="left"/>
      <w:pPr>
        <w:tabs>
          <w:tab w:val="num" w:pos="5760"/>
        </w:tabs>
        <w:ind w:left="5760" w:hanging="360"/>
      </w:pPr>
      <w:rPr>
        <w:rFonts w:hint="default" w:ascii="Wingdings" w:hAnsi="Wingdings"/>
        <w:sz w:val="20"/>
      </w:rPr>
    </w:lvl>
    <w:lvl w:ilvl="8" w:tplc="F2FC6304">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23D2C36"/>
    <w:multiLevelType w:val="hybridMultilevel"/>
    <w:tmpl w:val="92847564"/>
    <w:lvl w:ilvl="0" w:tplc="0DD02FC6">
      <w:start w:val="1"/>
      <w:numFmt w:val="bullet"/>
      <w:lvlText w:val=""/>
      <w:lvlJc w:val="left"/>
      <w:pPr>
        <w:tabs>
          <w:tab w:val="num" w:pos="720"/>
        </w:tabs>
        <w:ind w:left="720" w:hanging="360"/>
      </w:pPr>
      <w:rPr>
        <w:rFonts w:hint="default" w:ascii="Symbol" w:hAnsi="Symbol"/>
        <w:sz w:val="20"/>
      </w:rPr>
    </w:lvl>
    <w:lvl w:ilvl="1" w:tplc="2C82D1CE">
      <w:start w:val="1"/>
      <w:numFmt w:val="bullet"/>
      <w:lvlText w:val="o"/>
      <w:lvlJc w:val="left"/>
      <w:pPr>
        <w:tabs>
          <w:tab w:val="num" w:pos="1440"/>
        </w:tabs>
        <w:ind w:left="1440" w:hanging="360"/>
      </w:pPr>
      <w:rPr>
        <w:rFonts w:hint="default" w:ascii="Courier New" w:hAnsi="Courier New"/>
        <w:sz w:val="20"/>
      </w:rPr>
    </w:lvl>
    <w:lvl w:ilvl="2" w:tplc="450674BE">
      <w:start w:val="1"/>
      <w:numFmt w:val="bullet"/>
      <w:lvlText w:val=""/>
      <w:lvlJc w:val="left"/>
      <w:pPr>
        <w:tabs>
          <w:tab w:val="num" w:pos="2160"/>
        </w:tabs>
        <w:ind w:left="2160" w:hanging="360"/>
      </w:pPr>
      <w:rPr>
        <w:rFonts w:hint="default" w:ascii="Wingdings" w:hAnsi="Wingdings"/>
        <w:sz w:val="20"/>
      </w:rPr>
    </w:lvl>
    <w:lvl w:ilvl="3" w:tplc="207ED9E0">
      <w:start w:val="1"/>
      <w:numFmt w:val="bullet"/>
      <w:lvlText w:val=""/>
      <w:lvlJc w:val="left"/>
      <w:pPr>
        <w:tabs>
          <w:tab w:val="num" w:pos="2880"/>
        </w:tabs>
        <w:ind w:left="2880" w:hanging="360"/>
      </w:pPr>
      <w:rPr>
        <w:rFonts w:hint="default" w:ascii="Wingdings" w:hAnsi="Wingdings"/>
        <w:sz w:val="20"/>
      </w:rPr>
    </w:lvl>
    <w:lvl w:ilvl="4" w:tplc="F7DE8468">
      <w:start w:val="1"/>
      <w:numFmt w:val="bullet"/>
      <w:lvlText w:val=""/>
      <w:lvlJc w:val="left"/>
      <w:pPr>
        <w:tabs>
          <w:tab w:val="num" w:pos="3600"/>
        </w:tabs>
        <w:ind w:left="3600" w:hanging="360"/>
      </w:pPr>
      <w:rPr>
        <w:rFonts w:hint="default" w:ascii="Wingdings" w:hAnsi="Wingdings"/>
        <w:sz w:val="20"/>
      </w:rPr>
    </w:lvl>
    <w:lvl w:ilvl="5" w:tplc="FB64D0F0">
      <w:start w:val="1"/>
      <w:numFmt w:val="bullet"/>
      <w:lvlText w:val=""/>
      <w:lvlJc w:val="left"/>
      <w:pPr>
        <w:tabs>
          <w:tab w:val="num" w:pos="4320"/>
        </w:tabs>
        <w:ind w:left="4320" w:hanging="360"/>
      </w:pPr>
      <w:rPr>
        <w:rFonts w:hint="default" w:ascii="Wingdings" w:hAnsi="Wingdings"/>
        <w:sz w:val="20"/>
      </w:rPr>
    </w:lvl>
    <w:lvl w:ilvl="6" w:tplc="19321908">
      <w:start w:val="1"/>
      <w:numFmt w:val="bullet"/>
      <w:lvlText w:val=""/>
      <w:lvlJc w:val="left"/>
      <w:pPr>
        <w:tabs>
          <w:tab w:val="num" w:pos="5040"/>
        </w:tabs>
        <w:ind w:left="5040" w:hanging="360"/>
      </w:pPr>
      <w:rPr>
        <w:rFonts w:hint="default" w:ascii="Wingdings" w:hAnsi="Wingdings"/>
        <w:sz w:val="20"/>
      </w:rPr>
    </w:lvl>
    <w:lvl w:ilvl="7" w:tplc="B470B744">
      <w:start w:val="1"/>
      <w:numFmt w:val="bullet"/>
      <w:lvlText w:val=""/>
      <w:lvlJc w:val="left"/>
      <w:pPr>
        <w:tabs>
          <w:tab w:val="num" w:pos="5760"/>
        </w:tabs>
        <w:ind w:left="5760" w:hanging="360"/>
      </w:pPr>
      <w:rPr>
        <w:rFonts w:hint="default" w:ascii="Wingdings" w:hAnsi="Wingdings"/>
        <w:sz w:val="20"/>
      </w:rPr>
    </w:lvl>
    <w:lvl w:ilvl="8" w:tplc="2AEC0822">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11" w15:restartNumberingAfterBreak="0">
    <w:nsid w:val="274240ED"/>
    <w:multiLevelType w:val="hybridMultilevel"/>
    <w:tmpl w:val="0E2E6CBE"/>
    <w:lvl w:ilvl="0" w:tplc="51BC04AE">
      <w:start w:val="1"/>
      <w:numFmt w:val="bullet"/>
      <w:lvlText w:val=""/>
      <w:lvlJc w:val="left"/>
      <w:pPr>
        <w:tabs>
          <w:tab w:val="num" w:pos="720"/>
        </w:tabs>
        <w:ind w:left="720" w:hanging="360"/>
      </w:pPr>
      <w:rPr>
        <w:rFonts w:hint="default" w:ascii="Symbol" w:hAnsi="Symbol"/>
        <w:sz w:val="20"/>
      </w:rPr>
    </w:lvl>
    <w:lvl w:ilvl="1" w:tplc="D59C46A6">
      <w:start w:val="1"/>
      <w:numFmt w:val="bullet"/>
      <w:lvlText w:val="o"/>
      <w:lvlJc w:val="left"/>
      <w:pPr>
        <w:tabs>
          <w:tab w:val="num" w:pos="1440"/>
        </w:tabs>
        <w:ind w:left="1440" w:hanging="360"/>
      </w:pPr>
      <w:rPr>
        <w:rFonts w:hint="default" w:ascii="Courier New" w:hAnsi="Courier New"/>
        <w:sz w:val="20"/>
      </w:rPr>
    </w:lvl>
    <w:lvl w:ilvl="2" w:tplc="C6FEABBE">
      <w:start w:val="1"/>
      <w:numFmt w:val="bullet"/>
      <w:lvlText w:val=""/>
      <w:lvlJc w:val="left"/>
      <w:pPr>
        <w:tabs>
          <w:tab w:val="num" w:pos="2160"/>
        </w:tabs>
        <w:ind w:left="2160" w:hanging="360"/>
      </w:pPr>
      <w:rPr>
        <w:rFonts w:hint="default" w:ascii="Wingdings" w:hAnsi="Wingdings"/>
        <w:sz w:val="20"/>
      </w:rPr>
    </w:lvl>
    <w:lvl w:ilvl="3" w:tplc="42B2FA26">
      <w:start w:val="1"/>
      <w:numFmt w:val="bullet"/>
      <w:lvlText w:val=""/>
      <w:lvlJc w:val="left"/>
      <w:pPr>
        <w:tabs>
          <w:tab w:val="num" w:pos="2880"/>
        </w:tabs>
        <w:ind w:left="2880" w:hanging="360"/>
      </w:pPr>
      <w:rPr>
        <w:rFonts w:hint="default" w:ascii="Wingdings" w:hAnsi="Wingdings"/>
        <w:sz w:val="20"/>
      </w:rPr>
    </w:lvl>
    <w:lvl w:ilvl="4" w:tplc="237220D8">
      <w:start w:val="1"/>
      <w:numFmt w:val="bullet"/>
      <w:lvlText w:val=""/>
      <w:lvlJc w:val="left"/>
      <w:pPr>
        <w:tabs>
          <w:tab w:val="num" w:pos="3600"/>
        </w:tabs>
        <w:ind w:left="3600" w:hanging="360"/>
      </w:pPr>
      <w:rPr>
        <w:rFonts w:hint="default" w:ascii="Wingdings" w:hAnsi="Wingdings"/>
        <w:sz w:val="20"/>
      </w:rPr>
    </w:lvl>
    <w:lvl w:ilvl="5" w:tplc="44B0A50E">
      <w:start w:val="1"/>
      <w:numFmt w:val="bullet"/>
      <w:lvlText w:val=""/>
      <w:lvlJc w:val="left"/>
      <w:pPr>
        <w:tabs>
          <w:tab w:val="num" w:pos="4320"/>
        </w:tabs>
        <w:ind w:left="4320" w:hanging="360"/>
      </w:pPr>
      <w:rPr>
        <w:rFonts w:hint="default" w:ascii="Wingdings" w:hAnsi="Wingdings"/>
        <w:sz w:val="20"/>
      </w:rPr>
    </w:lvl>
    <w:lvl w:ilvl="6" w:tplc="76D068FA">
      <w:start w:val="1"/>
      <w:numFmt w:val="bullet"/>
      <w:lvlText w:val=""/>
      <w:lvlJc w:val="left"/>
      <w:pPr>
        <w:tabs>
          <w:tab w:val="num" w:pos="5040"/>
        </w:tabs>
        <w:ind w:left="5040" w:hanging="360"/>
      </w:pPr>
      <w:rPr>
        <w:rFonts w:hint="default" w:ascii="Wingdings" w:hAnsi="Wingdings"/>
        <w:sz w:val="20"/>
      </w:rPr>
    </w:lvl>
    <w:lvl w:ilvl="7" w:tplc="CD14135C">
      <w:start w:val="1"/>
      <w:numFmt w:val="bullet"/>
      <w:lvlText w:val=""/>
      <w:lvlJc w:val="left"/>
      <w:pPr>
        <w:tabs>
          <w:tab w:val="num" w:pos="5760"/>
        </w:tabs>
        <w:ind w:left="5760" w:hanging="360"/>
      </w:pPr>
      <w:rPr>
        <w:rFonts w:hint="default" w:ascii="Wingdings" w:hAnsi="Wingdings"/>
        <w:sz w:val="20"/>
      </w:rPr>
    </w:lvl>
    <w:lvl w:ilvl="8" w:tplc="136425DC">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CFD3222"/>
    <w:multiLevelType w:val="hybridMultilevel"/>
    <w:tmpl w:val="22962D0E"/>
    <w:lvl w:ilvl="0" w:tplc="C254B2BC">
      <w:start w:val="1"/>
      <w:numFmt w:val="bullet"/>
      <w:lvlText w:val=""/>
      <w:lvlJc w:val="left"/>
      <w:pPr>
        <w:tabs>
          <w:tab w:val="num" w:pos="720"/>
        </w:tabs>
        <w:ind w:left="720" w:hanging="360"/>
      </w:pPr>
      <w:rPr>
        <w:rFonts w:hint="default" w:ascii="Symbol" w:hAnsi="Symbol"/>
        <w:sz w:val="20"/>
      </w:rPr>
    </w:lvl>
    <w:lvl w:ilvl="1" w:tplc="75E8B054">
      <w:start w:val="1"/>
      <w:numFmt w:val="bullet"/>
      <w:lvlText w:val="o"/>
      <w:lvlJc w:val="left"/>
      <w:pPr>
        <w:tabs>
          <w:tab w:val="num" w:pos="1440"/>
        </w:tabs>
        <w:ind w:left="1440" w:hanging="360"/>
      </w:pPr>
      <w:rPr>
        <w:rFonts w:hint="default" w:ascii="Courier New" w:hAnsi="Courier New"/>
        <w:sz w:val="20"/>
      </w:rPr>
    </w:lvl>
    <w:lvl w:ilvl="2" w:tplc="07CEA7B2">
      <w:start w:val="1"/>
      <w:numFmt w:val="bullet"/>
      <w:lvlText w:val=""/>
      <w:lvlJc w:val="left"/>
      <w:pPr>
        <w:tabs>
          <w:tab w:val="num" w:pos="2160"/>
        </w:tabs>
        <w:ind w:left="2160" w:hanging="360"/>
      </w:pPr>
      <w:rPr>
        <w:rFonts w:hint="default" w:ascii="Wingdings" w:hAnsi="Wingdings"/>
        <w:sz w:val="20"/>
      </w:rPr>
    </w:lvl>
    <w:lvl w:ilvl="3" w:tplc="F42010E2">
      <w:start w:val="1"/>
      <w:numFmt w:val="bullet"/>
      <w:lvlText w:val=""/>
      <w:lvlJc w:val="left"/>
      <w:pPr>
        <w:tabs>
          <w:tab w:val="num" w:pos="2880"/>
        </w:tabs>
        <w:ind w:left="2880" w:hanging="360"/>
      </w:pPr>
      <w:rPr>
        <w:rFonts w:hint="default" w:ascii="Wingdings" w:hAnsi="Wingdings"/>
        <w:sz w:val="20"/>
      </w:rPr>
    </w:lvl>
    <w:lvl w:ilvl="4" w:tplc="24645346">
      <w:start w:val="1"/>
      <w:numFmt w:val="bullet"/>
      <w:lvlText w:val=""/>
      <w:lvlJc w:val="left"/>
      <w:pPr>
        <w:tabs>
          <w:tab w:val="num" w:pos="3600"/>
        </w:tabs>
        <w:ind w:left="3600" w:hanging="360"/>
      </w:pPr>
      <w:rPr>
        <w:rFonts w:hint="default" w:ascii="Wingdings" w:hAnsi="Wingdings"/>
        <w:sz w:val="20"/>
      </w:rPr>
    </w:lvl>
    <w:lvl w:ilvl="5" w:tplc="17A0B780">
      <w:start w:val="1"/>
      <w:numFmt w:val="bullet"/>
      <w:lvlText w:val=""/>
      <w:lvlJc w:val="left"/>
      <w:pPr>
        <w:tabs>
          <w:tab w:val="num" w:pos="4320"/>
        </w:tabs>
        <w:ind w:left="4320" w:hanging="360"/>
      </w:pPr>
      <w:rPr>
        <w:rFonts w:hint="default" w:ascii="Wingdings" w:hAnsi="Wingdings"/>
        <w:sz w:val="20"/>
      </w:rPr>
    </w:lvl>
    <w:lvl w:ilvl="6" w:tplc="45E6F5F8">
      <w:start w:val="1"/>
      <w:numFmt w:val="bullet"/>
      <w:lvlText w:val=""/>
      <w:lvlJc w:val="left"/>
      <w:pPr>
        <w:tabs>
          <w:tab w:val="num" w:pos="5040"/>
        </w:tabs>
        <w:ind w:left="5040" w:hanging="360"/>
      </w:pPr>
      <w:rPr>
        <w:rFonts w:hint="default" w:ascii="Wingdings" w:hAnsi="Wingdings"/>
        <w:sz w:val="20"/>
      </w:rPr>
    </w:lvl>
    <w:lvl w:ilvl="7" w:tplc="F5B25E8A">
      <w:start w:val="1"/>
      <w:numFmt w:val="bullet"/>
      <w:lvlText w:val=""/>
      <w:lvlJc w:val="left"/>
      <w:pPr>
        <w:tabs>
          <w:tab w:val="num" w:pos="5760"/>
        </w:tabs>
        <w:ind w:left="5760" w:hanging="360"/>
      </w:pPr>
      <w:rPr>
        <w:rFonts w:hint="default" w:ascii="Wingdings" w:hAnsi="Wingdings"/>
        <w:sz w:val="20"/>
      </w:rPr>
    </w:lvl>
    <w:lvl w:ilvl="8" w:tplc="3ABEE7E6">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14" w15:restartNumberingAfterBreak="0">
    <w:nsid w:val="34DE638F"/>
    <w:multiLevelType w:val="hybridMultilevel"/>
    <w:tmpl w:val="474CBE2A"/>
    <w:lvl w:ilvl="0" w:tplc="0744023C">
      <w:start w:val="1"/>
      <w:numFmt w:val="bullet"/>
      <w:lvlText w:val=""/>
      <w:lvlJc w:val="left"/>
      <w:pPr>
        <w:tabs>
          <w:tab w:val="num" w:pos="720"/>
        </w:tabs>
        <w:ind w:left="720" w:hanging="360"/>
      </w:pPr>
      <w:rPr>
        <w:rFonts w:hint="default" w:ascii="Symbol" w:hAnsi="Symbol"/>
        <w:sz w:val="20"/>
      </w:rPr>
    </w:lvl>
    <w:lvl w:ilvl="1" w:tplc="141854D4">
      <w:start w:val="1"/>
      <w:numFmt w:val="bullet"/>
      <w:lvlText w:val="o"/>
      <w:lvlJc w:val="left"/>
      <w:pPr>
        <w:tabs>
          <w:tab w:val="num" w:pos="1440"/>
        </w:tabs>
        <w:ind w:left="1440" w:hanging="360"/>
      </w:pPr>
      <w:rPr>
        <w:rFonts w:hint="default" w:ascii="Courier New" w:hAnsi="Courier New"/>
        <w:sz w:val="20"/>
      </w:rPr>
    </w:lvl>
    <w:lvl w:ilvl="2" w:tplc="B7A49748">
      <w:start w:val="1"/>
      <w:numFmt w:val="bullet"/>
      <w:lvlText w:val=""/>
      <w:lvlJc w:val="left"/>
      <w:pPr>
        <w:tabs>
          <w:tab w:val="num" w:pos="2160"/>
        </w:tabs>
        <w:ind w:left="2160" w:hanging="360"/>
      </w:pPr>
      <w:rPr>
        <w:rFonts w:hint="default" w:ascii="Wingdings" w:hAnsi="Wingdings"/>
        <w:sz w:val="20"/>
      </w:rPr>
    </w:lvl>
    <w:lvl w:ilvl="3" w:tplc="3A76409E">
      <w:start w:val="1"/>
      <w:numFmt w:val="bullet"/>
      <w:lvlText w:val=""/>
      <w:lvlJc w:val="left"/>
      <w:pPr>
        <w:tabs>
          <w:tab w:val="num" w:pos="2880"/>
        </w:tabs>
        <w:ind w:left="2880" w:hanging="360"/>
      </w:pPr>
      <w:rPr>
        <w:rFonts w:hint="default" w:ascii="Wingdings" w:hAnsi="Wingdings"/>
        <w:sz w:val="20"/>
      </w:rPr>
    </w:lvl>
    <w:lvl w:ilvl="4" w:tplc="64DE299E">
      <w:start w:val="1"/>
      <w:numFmt w:val="bullet"/>
      <w:lvlText w:val=""/>
      <w:lvlJc w:val="left"/>
      <w:pPr>
        <w:tabs>
          <w:tab w:val="num" w:pos="3600"/>
        </w:tabs>
        <w:ind w:left="3600" w:hanging="360"/>
      </w:pPr>
      <w:rPr>
        <w:rFonts w:hint="default" w:ascii="Wingdings" w:hAnsi="Wingdings"/>
        <w:sz w:val="20"/>
      </w:rPr>
    </w:lvl>
    <w:lvl w:ilvl="5" w:tplc="052CE7B0">
      <w:start w:val="1"/>
      <w:numFmt w:val="bullet"/>
      <w:lvlText w:val=""/>
      <w:lvlJc w:val="left"/>
      <w:pPr>
        <w:tabs>
          <w:tab w:val="num" w:pos="4320"/>
        </w:tabs>
        <w:ind w:left="4320" w:hanging="360"/>
      </w:pPr>
      <w:rPr>
        <w:rFonts w:hint="default" w:ascii="Wingdings" w:hAnsi="Wingdings"/>
        <w:sz w:val="20"/>
      </w:rPr>
    </w:lvl>
    <w:lvl w:ilvl="6" w:tplc="E2D80D8E">
      <w:start w:val="1"/>
      <w:numFmt w:val="bullet"/>
      <w:lvlText w:val=""/>
      <w:lvlJc w:val="left"/>
      <w:pPr>
        <w:tabs>
          <w:tab w:val="num" w:pos="5040"/>
        </w:tabs>
        <w:ind w:left="5040" w:hanging="360"/>
      </w:pPr>
      <w:rPr>
        <w:rFonts w:hint="default" w:ascii="Wingdings" w:hAnsi="Wingdings"/>
        <w:sz w:val="20"/>
      </w:rPr>
    </w:lvl>
    <w:lvl w:ilvl="7" w:tplc="8004A110">
      <w:start w:val="1"/>
      <w:numFmt w:val="bullet"/>
      <w:lvlText w:val=""/>
      <w:lvlJc w:val="left"/>
      <w:pPr>
        <w:tabs>
          <w:tab w:val="num" w:pos="5760"/>
        </w:tabs>
        <w:ind w:left="5760" w:hanging="360"/>
      </w:pPr>
      <w:rPr>
        <w:rFonts w:hint="default" w:ascii="Wingdings" w:hAnsi="Wingdings"/>
        <w:sz w:val="20"/>
      </w:rPr>
    </w:lvl>
    <w:lvl w:ilvl="8" w:tplc="5924287A">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8E320A6"/>
    <w:multiLevelType w:val="hybridMultilevel"/>
    <w:tmpl w:val="96DE2652"/>
    <w:lvl w:ilvl="0" w:tplc="9D7871B2">
      <w:start w:val="1"/>
      <w:numFmt w:val="bullet"/>
      <w:lvlText w:val=""/>
      <w:lvlJc w:val="left"/>
      <w:pPr>
        <w:tabs>
          <w:tab w:val="num" w:pos="720"/>
        </w:tabs>
        <w:ind w:left="720" w:hanging="360"/>
      </w:pPr>
      <w:rPr>
        <w:rFonts w:hint="default" w:ascii="Symbol" w:hAnsi="Symbol"/>
        <w:sz w:val="20"/>
      </w:rPr>
    </w:lvl>
    <w:lvl w:ilvl="1" w:tplc="47029BF0">
      <w:start w:val="1"/>
      <w:numFmt w:val="bullet"/>
      <w:lvlText w:val="o"/>
      <w:lvlJc w:val="left"/>
      <w:pPr>
        <w:tabs>
          <w:tab w:val="num" w:pos="1440"/>
        </w:tabs>
        <w:ind w:left="1440" w:hanging="360"/>
      </w:pPr>
      <w:rPr>
        <w:rFonts w:hint="default" w:ascii="Courier New" w:hAnsi="Courier New"/>
        <w:sz w:val="20"/>
      </w:rPr>
    </w:lvl>
    <w:lvl w:ilvl="2" w:tplc="D5BC2156">
      <w:start w:val="1"/>
      <w:numFmt w:val="bullet"/>
      <w:lvlText w:val=""/>
      <w:lvlJc w:val="left"/>
      <w:pPr>
        <w:tabs>
          <w:tab w:val="num" w:pos="2160"/>
        </w:tabs>
        <w:ind w:left="2160" w:hanging="360"/>
      </w:pPr>
      <w:rPr>
        <w:rFonts w:hint="default" w:ascii="Wingdings" w:hAnsi="Wingdings"/>
        <w:sz w:val="20"/>
      </w:rPr>
    </w:lvl>
    <w:lvl w:ilvl="3" w:tplc="55F62954">
      <w:start w:val="1"/>
      <w:numFmt w:val="bullet"/>
      <w:lvlText w:val=""/>
      <w:lvlJc w:val="left"/>
      <w:pPr>
        <w:tabs>
          <w:tab w:val="num" w:pos="2880"/>
        </w:tabs>
        <w:ind w:left="2880" w:hanging="360"/>
      </w:pPr>
      <w:rPr>
        <w:rFonts w:hint="default" w:ascii="Wingdings" w:hAnsi="Wingdings"/>
        <w:sz w:val="20"/>
      </w:rPr>
    </w:lvl>
    <w:lvl w:ilvl="4" w:tplc="E30249CC">
      <w:start w:val="1"/>
      <w:numFmt w:val="bullet"/>
      <w:lvlText w:val=""/>
      <w:lvlJc w:val="left"/>
      <w:pPr>
        <w:tabs>
          <w:tab w:val="num" w:pos="3600"/>
        </w:tabs>
        <w:ind w:left="3600" w:hanging="360"/>
      </w:pPr>
      <w:rPr>
        <w:rFonts w:hint="default" w:ascii="Wingdings" w:hAnsi="Wingdings"/>
        <w:sz w:val="20"/>
      </w:rPr>
    </w:lvl>
    <w:lvl w:ilvl="5" w:tplc="8C3A2588">
      <w:start w:val="1"/>
      <w:numFmt w:val="bullet"/>
      <w:lvlText w:val=""/>
      <w:lvlJc w:val="left"/>
      <w:pPr>
        <w:tabs>
          <w:tab w:val="num" w:pos="4320"/>
        </w:tabs>
        <w:ind w:left="4320" w:hanging="360"/>
      </w:pPr>
      <w:rPr>
        <w:rFonts w:hint="default" w:ascii="Wingdings" w:hAnsi="Wingdings"/>
        <w:sz w:val="20"/>
      </w:rPr>
    </w:lvl>
    <w:lvl w:ilvl="6" w:tplc="56E86D8E">
      <w:start w:val="1"/>
      <w:numFmt w:val="bullet"/>
      <w:lvlText w:val=""/>
      <w:lvlJc w:val="left"/>
      <w:pPr>
        <w:tabs>
          <w:tab w:val="num" w:pos="5040"/>
        </w:tabs>
        <w:ind w:left="5040" w:hanging="360"/>
      </w:pPr>
      <w:rPr>
        <w:rFonts w:hint="default" w:ascii="Wingdings" w:hAnsi="Wingdings"/>
        <w:sz w:val="20"/>
      </w:rPr>
    </w:lvl>
    <w:lvl w:ilvl="7" w:tplc="7AB28A38">
      <w:start w:val="1"/>
      <w:numFmt w:val="bullet"/>
      <w:lvlText w:val=""/>
      <w:lvlJc w:val="left"/>
      <w:pPr>
        <w:tabs>
          <w:tab w:val="num" w:pos="5760"/>
        </w:tabs>
        <w:ind w:left="5760" w:hanging="360"/>
      </w:pPr>
      <w:rPr>
        <w:rFonts w:hint="default" w:ascii="Wingdings" w:hAnsi="Wingdings"/>
        <w:sz w:val="20"/>
      </w:rPr>
    </w:lvl>
    <w:lvl w:ilvl="8" w:tplc="1A62661E">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17" w15:restartNumberingAfterBreak="0">
    <w:nsid w:val="39761596"/>
    <w:multiLevelType w:val="hybridMultilevel"/>
    <w:tmpl w:val="C0643878"/>
    <w:lvl w:ilvl="0" w:tplc="D6588152">
      <w:start w:val="1"/>
      <w:numFmt w:val="bullet"/>
      <w:lvlText w:val=""/>
      <w:lvlJc w:val="left"/>
      <w:pPr>
        <w:tabs>
          <w:tab w:val="num" w:pos="720"/>
        </w:tabs>
        <w:ind w:left="720" w:hanging="360"/>
      </w:pPr>
      <w:rPr>
        <w:rFonts w:hint="default" w:ascii="Symbol" w:hAnsi="Symbol"/>
        <w:sz w:val="20"/>
      </w:rPr>
    </w:lvl>
    <w:lvl w:ilvl="1" w:tplc="98580B12">
      <w:start w:val="1"/>
      <w:numFmt w:val="bullet"/>
      <w:lvlText w:val="o"/>
      <w:lvlJc w:val="left"/>
      <w:pPr>
        <w:tabs>
          <w:tab w:val="num" w:pos="1440"/>
        </w:tabs>
        <w:ind w:left="1440" w:hanging="360"/>
      </w:pPr>
      <w:rPr>
        <w:rFonts w:hint="default" w:ascii="Courier New" w:hAnsi="Courier New"/>
        <w:sz w:val="20"/>
      </w:rPr>
    </w:lvl>
    <w:lvl w:ilvl="2" w:tplc="27D09C96">
      <w:start w:val="1"/>
      <w:numFmt w:val="bullet"/>
      <w:lvlText w:val=""/>
      <w:lvlJc w:val="left"/>
      <w:pPr>
        <w:tabs>
          <w:tab w:val="num" w:pos="2160"/>
        </w:tabs>
        <w:ind w:left="2160" w:hanging="360"/>
      </w:pPr>
      <w:rPr>
        <w:rFonts w:hint="default" w:ascii="Wingdings" w:hAnsi="Wingdings"/>
        <w:sz w:val="20"/>
      </w:rPr>
    </w:lvl>
    <w:lvl w:ilvl="3" w:tplc="B70CC08C">
      <w:start w:val="1"/>
      <w:numFmt w:val="bullet"/>
      <w:lvlText w:val=""/>
      <w:lvlJc w:val="left"/>
      <w:pPr>
        <w:tabs>
          <w:tab w:val="num" w:pos="2880"/>
        </w:tabs>
        <w:ind w:left="2880" w:hanging="360"/>
      </w:pPr>
      <w:rPr>
        <w:rFonts w:hint="default" w:ascii="Wingdings" w:hAnsi="Wingdings"/>
        <w:sz w:val="20"/>
      </w:rPr>
    </w:lvl>
    <w:lvl w:ilvl="4" w:tplc="6654FF1C">
      <w:start w:val="1"/>
      <w:numFmt w:val="bullet"/>
      <w:lvlText w:val=""/>
      <w:lvlJc w:val="left"/>
      <w:pPr>
        <w:tabs>
          <w:tab w:val="num" w:pos="3600"/>
        </w:tabs>
        <w:ind w:left="3600" w:hanging="360"/>
      </w:pPr>
      <w:rPr>
        <w:rFonts w:hint="default" w:ascii="Wingdings" w:hAnsi="Wingdings"/>
        <w:sz w:val="20"/>
      </w:rPr>
    </w:lvl>
    <w:lvl w:ilvl="5" w:tplc="9E1E92B4">
      <w:start w:val="1"/>
      <w:numFmt w:val="bullet"/>
      <w:lvlText w:val=""/>
      <w:lvlJc w:val="left"/>
      <w:pPr>
        <w:tabs>
          <w:tab w:val="num" w:pos="4320"/>
        </w:tabs>
        <w:ind w:left="4320" w:hanging="360"/>
      </w:pPr>
      <w:rPr>
        <w:rFonts w:hint="default" w:ascii="Wingdings" w:hAnsi="Wingdings"/>
        <w:sz w:val="20"/>
      </w:rPr>
    </w:lvl>
    <w:lvl w:ilvl="6" w:tplc="68783B5A">
      <w:start w:val="1"/>
      <w:numFmt w:val="bullet"/>
      <w:lvlText w:val=""/>
      <w:lvlJc w:val="left"/>
      <w:pPr>
        <w:tabs>
          <w:tab w:val="num" w:pos="5040"/>
        </w:tabs>
        <w:ind w:left="5040" w:hanging="360"/>
      </w:pPr>
      <w:rPr>
        <w:rFonts w:hint="default" w:ascii="Wingdings" w:hAnsi="Wingdings"/>
        <w:sz w:val="20"/>
      </w:rPr>
    </w:lvl>
    <w:lvl w:ilvl="7" w:tplc="3CBA0772">
      <w:start w:val="1"/>
      <w:numFmt w:val="bullet"/>
      <w:lvlText w:val=""/>
      <w:lvlJc w:val="left"/>
      <w:pPr>
        <w:tabs>
          <w:tab w:val="num" w:pos="5760"/>
        </w:tabs>
        <w:ind w:left="5760" w:hanging="360"/>
      </w:pPr>
      <w:rPr>
        <w:rFonts w:hint="default" w:ascii="Wingdings" w:hAnsi="Wingdings"/>
        <w:sz w:val="20"/>
      </w:rPr>
    </w:lvl>
    <w:lvl w:ilvl="8" w:tplc="07049A90">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19" w15:restartNumberingAfterBreak="0">
    <w:nsid w:val="3FCE00AA"/>
    <w:multiLevelType w:val="hybridMultilevel"/>
    <w:tmpl w:val="5420B6DC"/>
    <w:lvl w:ilvl="0" w:tplc="8E88A0BC">
      <w:start w:val="1"/>
      <w:numFmt w:val="bullet"/>
      <w:lvlText w:val=""/>
      <w:lvlJc w:val="left"/>
      <w:pPr>
        <w:tabs>
          <w:tab w:val="num" w:pos="720"/>
        </w:tabs>
        <w:ind w:left="720" w:hanging="360"/>
      </w:pPr>
      <w:rPr>
        <w:rFonts w:hint="default" w:ascii="Symbol" w:hAnsi="Symbol"/>
        <w:sz w:val="20"/>
      </w:rPr>
    </w:lvl>
    <w:lvl w:ilvl="1" w:tplc="DD5227D4">
      <w:start w:val="1"/>
      <w:numFmt w:val="bullet"/>
      <w:lvlText w:val="o"/>
      <w:lvlJc w:val="left"/>
      <w:pPr>
        <w:tabs>
          <w:tab w:val="num" w:pos="1440"/>
        </w:tabs>
        <w:ind w:left="1440" w:hanging="360"/>
      </w:pPr>
      <w:rPr>
        <w:rFonts w:hint="default" w:ascii="Courier New" w:hAnsi="Courier New"/>
        <w:sz w:val="20"/>
      </w:rPr>
    </w:lvl>
    <w:lvl w:ilvl="2" w:tplc="66D6A198">
      <w:start w:val="1"/>
      <w:numFmt w:val="bullet"/>
      <w:lvlText w:val=""/>
      <w:lvlJc w:val="left"/>
      <w:pPr>
        <w:tabs>
          <w:tab w:val="num" w:pos="2160"/>
        </w:tabs>
        <w:ind w:left="2160" w:hanging="360"/>
      </w:pPr>
      <w:rPr>
        <w:rFonts w:hint="default" w:ascii="Wingdings" w:hAnsi="Wingdings"/>
        <w:sz w:val="20"/>
      </w:rPr>
    </w:lvl>
    <w:lvl w:ilvl="3" w:tplc="B4E44504">
      <w:start w:val="1"/>
      <w:numFmt w:val="bullet"/>
      <w:lvlText w:val=""/>
      <w:lvlJc w:val="left"/>
      <w:pPr>
        <w:tabs>
          <w:tab w:val="num" w:pos="2880"/>
        </w:tabs>
        <w:ind w:left="2880" w:hanging="360"/>
      </w:pPr>
      <w:rPr>
        <w:rFonts w:hint="default" w:ascii="Wingdings" w:hAnsi="Wingdings"/>
        <w:sz w:val="20"/>
      </w:rPr>
    </w:lvl>
    <w:lvl w:ilvl="4" w:tplc="15D83CEC">
      <w:start w:val="1"/>
      <w:numFmt w:val="bullet"/>
      <w:lvlText w:val=""/>
      <w:lvlJc w:val="left"/>
      <w:pPr>
        <w:tabs>
          <w:tab w:val="num" w:pos="3600"/>
        </w:tabs>
        <w:ind w:left="3600" w:hanging="360"/>
      </w:pPr>
      <w:rPr>
        <w:rFonts w:hint="default" w:ascii="Wingdings" w:hAnsi="Wingdings"/>
        <w:sz w:val="20"/>
      </w:rPr>
    </w:lvl>
    <w:lvl w:ilvl="5" w:tplc="A770F3DA">
      <w:start w:val="1"/>
      <w:numFmt w:val="bullet"/>
      <w:lvlText w:val=""/>
      <w:lvlJc w:val="left"/>
      <w:pPr>
        <w:tabs>
          <w:tab w:val="num" w:pos="4320"/>
        </w:tabs>
        <w:ind w:left="4320" w:hanging="360"/>
      </w:pPr>
      <w:rPr>
        <w:rFonts w:hint="default" w:ascii="Wingdings" w:hAnsi="Wingdings"/>
        <w:sz w:val="20"/>
      </w:rPr>
    </w:lvl>
    <w:lvl w:ilvl="6" w:tplc="9780B68E">
      <w:start w:val="1"/>
      <w:numFmt w:val="bullet"/>
      <w:lvlText w:val=""/>
      <w:lvlJc w:val="left"/>
      <w:pPr>
        <w:tabs>
          <w:tab w:val="num" w:pos="5040"/>
        </w:tabs>
        <w:ind w:left="5040" w:hanging="360"/>
      </w:pPr>
      <w:rPr>
        <w:rFonts w:hint="default" w:ascii="Wingdings" w:hAnsi="Wingdings"/>
        <w:sz w:val="20"/>
      </w:rPr>
    </w:lvl>
    <w:lvl w:ilvl="7" w:tplc="F198E480">
      <w:start w:val="1"/>
      <w:numFmt w:val="bullet"/>
      <w:lvlText w:val=""/>
      <w:lvlJc w:val="left"/>
      <w:pPr>
        <w:tabs>
          <w:tab w:val="num" w:pos="5760"/>
        </w:tabs>
        <w:ind w:left="5760" w:hanging="360"/>
      </w:pPr>
      <w:rPr>
        <w:rFonts w:hint="default" w:ascii="Wingdings" w:hAnsi="Wingdings"/>
        <w:sz w:val="20"/>
      </w:rPr>
    </w:lvl>
    <w:lvl w:ilvl="8" w:tplc="B84EFDD4">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77631DE"/>
    <w:multiLevelType w:val="hybridMultilevel"/>
    <w:tmpl w:val="9C24B170"/>
    <w:lvl w:ilvl="0" w:tplc="88BC3250">
      <w:start w:val="1"/>
      <w:numFmt w:val="bullet"/>
      <w:lvlText w:val=""/>
      <w:lvlJc w:val="left"/>
      <w:pPr>
        <w:tabs>
          <w:tab w:val="num" w:pos="720"/>
        </w:tabs>
        <w:ind w:left="720" w:hanging="360"/>
      </w:pPr>
      <w:rPr>
        <w:rFonts w:hint="default" w:ascii="Symbol" w:hAnsi="Symbol"/>
        <w:sz w:val="20"/>
      </w:rPr>
    </w:lvl>
    <w:lvl w:ilvl="1" w:tplc="73168500">
      <w:start w:val="1"/>
      <w:numFmt w:val="bullet"/>
      <w:lvlText w:val="o"/>
      <w:lvlJc w:val="left"/>
      <w:pPr>
        <w:tabs>
          <w:tab w:val="num" w:pos="1440"/>
        </w:tabs>
        <w:ind w:left="1440" w:hanging="360"/>
      </w:pPr>
      <w:rPr>
        <w:rFonts w:hint="default" w:ascii="Courier New" w:hAnsi="Courier New"/>
        <w:sz w:val="20"/>
      </w:rPr>
    </w:lvl>
    <w:lvl w:ilvl="2" w:tplc="F0602414">
      <w:start w:val="1"/>
      <w:numFmt w:val="bullet"/>
      <w:lvlText w:val=""/>
      <w:lvlJc w:val="left"/>
      <w:pPr>
        <w:tabs>
          <w:tab w:val="num" w:pos="2160"/>
        </w:tabs>
        <w:ind w:left="2160" w:hanging="360"/>
      </w:pPr>
      <w:rPr>
        <w:rFonts w:hint="default" w:ascii="Wingdings" w:hAnsi="Wingdings"/>
        <w:sz w:val="20"/>
      </w:rPr>
    </w:lvl>
    <w:lvl w:ilvl="3" w:tplc="84F07324">
      <w:start w:val="1"/>
      <w:numFmt w:val="bullet"/>
      <w:lvlText w:val=""/>
      <w:lvlJc w:val="left"/>
      <w:pPr>
        <w:tabs>
          <w:tab w:val="num" w:pos="2880"/>
        </w:tabs>
        <w:ind w:left="2880" w:hanging="360"/>
      </w:pPr>
      <w:rPr>
        <w:rFonts w:hint="default" w:ascii="Wingdings" w:hAnsi="Wingdings"/>
        <w:sz w:val="20"/>
      </w:rPr>
    </w:lvl>
    <w:lvl w:ilvl="4" w:tplc="8CECE4B2">
      <w:start w:val="1"/>
      <w:numFmt w:val="bullet"/>
      <w:lvlText w:val=""/>
      <w:lvlJc w:val="left"/>
      <w:pPr>
        <w:tabs>
          <w:tab w:val="num" w:pos="3600"/>
        </w:tabs>
        <w:ind w:left="3600" w:hanging="360"/>
      </w:pPr>
      <w:rPr>
        <w:rFonts w:hint="default" w:ascii="Wingdings" w:hAnsi="Wingdings"/>
        <w:sz w:val="20"/>
      </w:rPr>
    </w:lvl>
    <w:lvl w:ilvl="5" w:tplc="1B8AEF4A">
      <w:start w:val="1"/>
      <w:numFmt w:val="bullet"/>
      <w:lvlText w:val=""/>
      <w:lvlJc w:val="left"/>
      <w:pPr>
        <w:tabs>
          <w:tab w:val="num" w:pos="4320"/>
        </w:tabs>
        <w:ind w:left="4320" w:hanging="360"/>
      </w:pPr>
      <w:rPr>
        <w:rFonts w:hint="default" w:ascii="Wingdings" w:hAnsi="Wingdings"/>
        <w:sz w:val="20"/>
      </w:rPr>
    </w:lvl>
    <w:lvl w:ilvl="6" w:tplc="9E7227D0">
      <w:start w:val="1"/>
      <w:numFmt w:val="bullet"/>
      <w:lvlText w:val=""/>
      <w:lvlJc w:val="left"/>
      <w:pPr>
        <w:tabs>
          <w:tab w:val="num" w:pos="5040"/>
        </w:tabs>
        <w:ind w:left="5040" w:hanging="360"/>
      </w:pPr>
      <w:rPr>
        <w:rFonts w:hint="default" w:ascii="Wingdings" w:hAnsi="Wingdings"/>
        <w:sz w:val="20"/>
      </w:rPr>
    </w:lvl>
    <w:lvl w:ilvl="7" w:tplc="AAAAB832">
      <w:start w:val="1"/>
      <w:numFmt w:val="bullet"/>
      <w:lvlText w:val=""/>
      <w:lvlJc w:val="left"/>
      <w:pPr>
        <w:tabs>
          <w:tab w:val="num" w:pos="5760"/>
        </w:tabs>
        <w:ind w:left="5760" w:hanging="360"/>
      </w:pPr>
      <w:rPr>
        <w:rFonts w:hint="default" w:ascii="Wingdings" w:hAnsi="Wingdings"/>
        <w:sz w:val="20"/>
      </w:rPr>
    </w:lvl>
    <w:lvl w:ilvl="8" w:tplc="CC34A634">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80C45F4"/>
    <w:multiLevelType w:val="hybridMultilevel"/>
    <w:tmpl w:val="C2EC5B62"/>
    <w:lvl w:ilvl="0" w:tplc="5A4EE30E">
      <w:start w:val="1"/>
      <w:numFmt w:val="bullet"/>
      <w:lvlText w:val=""/>
      <w:lvlJc w:val="left"/>
      <w:pPr>
        <w:tabs>
          <w:tab w:val="num" w:pos="720"/>
        </w:tabs>
        <w:ind w:left="720" w:hanging="360"/>
      </w:pPr>
      <w:rPr>
        <w:rFonts w:hint="default" w:ascii="Symbol" w:hAnsi="Symbol"/>
        <w:sz w:val="20"/>
      </w:rPr>
    </w:lvl>
    <w:lvl w:ilvl="1" w:tplc="2EEA4234">
      <w:start w:val="1"/>
      <w:numFmt w:val="bullet"/>
      <w:lvlText w:val="o"/>
      <w:lvlJc w:val="left"/>
      <w:pPr>
        <w:tabs>
          <w:tab w:val="num" w:pos="1440"/>
        </w:tabs>
        <w:ind w:left="1440" w:hanging="360"/>
      </w:pPr>
      <w:rPr>
        <w:rFonts w:hint="default" w:ascii="Courier New" w:hAnsi="Courier New"/>
        <w:sz w:val="20"/>
      </w:rPr>
    </w:lvl>
    <w:lvl w:ilvl="2" w:tplc="3B8E22FE">
      <w:start w:val="1"/>
      <w:numFmt w:val="bullet"/>
      <w:lvlText w:val=""/>
      <w:lvlJc w:val="left"/>
      <w:pPr>
        <w:tabs>
          <w:tab w:val="num" w:pos="2160"/>
        </w:tabs>
        <w:ind w:left="2160" w:hanging="360"/>
      </w:pPr>
      <w:rPr>
        <w:rFonts w:hint="default" w:ascii="Wingdings" w:hAnsi="Wingdings"/>
        <w:sz w:val="20"/>
      </w:rPr>
    </w:lvl>
    <w:lvl w:ilvl="3" w:tplc="D18A26A6">
      <w:start w:val="1"/>
      <w:numFmt w:val="bullet"/>
      <w:lvlText w:val=""/>
      <w:lvlJc w:val="left"/>
      <w:pPr>
        <w:tabs>
          <w:tab w:val="num" w:pos="2880"/>
        </w:tabs>
        <w:ind w:left="2880" w:hanging="360"/>
      </w:pPr>
      <w:rPr>
        <w:rFonts w:hint="default" w:ascii="Wingdings" w:hAnsi="Wingdings"/>
        <w:sz w:val="20"/>
      </w:rPr>
    </w:lvl>
    <w:lvl w:ilvl="4" w:tplc="1492A5BE">
      <w:start w:val="1"/>
      <w:numFmt w:val="bullet"/>
      <w:lvlText w:val=""/>
      <w:lvlJc w:val="left"/>
      <w:pPr>
        <w:tabs>
          <w:tab w:val="num" w:pos="3600"/>
        </w:tabs>
        <w:ind w:left="3600" w:hanging="360"/>
      </w:pPr>
      <w:rPr>
        <w:rFonts w:hint="default" w:ascii="Wingdings" w:hAnsi="Wingdings"/>
        <w:sz w:val="20"/>
      </w:rPr>
    </w:lvl>
    <w:lvl w:ilvl="5" w:tplc="16EA8B04">
      <w:start w:val="1"/>
      <w:numFmt w:val="bullet"/>
      <w:lvlText w:val=""/>
      <w:lvlJc w:val="left"/>
      <w:pPr>
        <w:tabs>
          <w:tab w:val="num" w:pos="4320"/>
        </w:tabs>
        <w:ind w:left="4320" w:hanging="360"/>
      </w:pPr>
      <w:rPr>
        <w:rFonts w:hint="default" w:ascii="Wingdings" w:hAnsi="Wingdings"/>
        <w:sz w:val="20"/>
      </w:rPr>
    </w:lvl>
    <w:lvl w:ilvl="6" w:tplc="BA723BDA">
      <w:start w:val="1"/>
      <w:numFmt w:val="bullet"/>
      <w:lvlText w:val=""/>
      <w:lvlJc w:val="left"/>
      <w:pPr>
        <w:tabs>
          <w:tab w:val="num" w:pos="5040"/>
        </w:tabs>
        <w:ind w:left="5040" w:hanging="360"/>
      </w:pPr>
      <w:rPr>
        <w:rFonts w:hint="default" w:ascii="Wingdings" w:hAnsi="Wingdings"/>
        <w:sz w:val="20"/>
      </w:rPr>
    </w:lvl>
    <w:lvl w:ilvl="7" w:tplc="6CB6E4B8">
      <w:start w:val="1"/>
      <w:numFmt w:val="bullet"/>
      <w:lvlText w:val=""/>
      <w:lvlJc w:val="left"/>
      <w:pPr>
        <w:tabs>
          <w:tab w:val="num" w:pos="5760"/>
        </w:tabs>
        <w:ind w:left="5760" w:hanging="360"/>
      </w:pPr>
      <w:rPr>
        <w:rFonts w:hint="default" w:ascii="Wingdings" w:hAnsi="Wingdings"/>
        <w:sz w:val="20"/>
      </w:rPr>
    </w:lvl>
    <w:lvl w:ilvl="8" w:tplc="266699FA">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23" w15:restartNumberingAfterBreak="0">
    <w:nsid w:val="57970926"/>
    <w:multiLevelType w:val="hybridMultilevel"/>
    <w:tmpl w:val="41C6C6BC"/>
    <w:lvl w:ilvl="0" w:tplc="D640D1AC">
      <w:start w:val="1"/>
      <w:numFmt w:val="bullet"/>
      <w:lvlText w:val=""/>
      <w:lvlJc w:val="left"/>
      <w:pPr>
        <w:tabs>
          <w:tab w:val="num" w:pos="720"/>
        </w:tabs>
        <w:ind w:left="720" w:hanging="360"/>
      </w:pPr>
      <w:rPr>
        <w:rFonts w:hint="default" w:ascii="Symbol" w:hAnsi="Symbol"/>
        <w:sz w:val="20"/>
      </w:rPr>
    </w:lvl>
    <w:lvl w:ilvl="1" w:tplc="6A526456">
      <w:start w:val="1"/>
      <w:numFmt w:val="bullet"/>
      <w:lvlText w:val="o"/>
      <w:lvlJc w:val="left"/>
      <w:pPr>
        <w:tabs>
          <w:tab w:val="num" w:pos="1440"/>
        </w:tabs>
        <w:ind w:left="1440" w:hanging="360"/>
      </w:pPr>
      <w:rPr>
        <w:rFonts w:hint="default" w:ascii="Courier New" w:hAnsi="Courier New"/>
        <w:sz w:val="20"/>
      </w:rPr>
    </w:lvl>
    <w:lvl w:ilvl="2" w:tplc="C9323832">
      <w:start w:val="1"/>
      <w:numFmt w:val="bullet"/>
      <w:lvlText w:val=""/>
      <w:lvlJc w:val="left"/>
      <w:pPr>
        <w:tabs>
          <w:tab w:val="num" w:pos="2160"/>
        </w:tabs>
        <w:ind w:left="2160" w:hanging="360"/>
      </w:pPr>
      <w:rPr>
        <w:rFonts w:hint="default" w:ascii="Wingdings" w:hAnsi="Wingdings"/>
        <w:sz w:val="20"/>
      </w:rPr>
    </w:lvl>
    <w:lvl w:ilvl="3" w:tplc="444EF8E4">
      <w:start w:val="1"/>
      <w:numFmt w:val="bullet"/>
      <w:lvlText w:val=""/>
      <w:lvlJc w:val="left"/>
      <w:pPr>
        <w:tabs>
          <w:tab w:val="num" w:pos="2880"/>
        </w:tabs>
        <w:ind w:left="2880" w:hanging="360"/>
      </w:pPr>
      <w:rPr>
        <w:rFonts w:hint="default" w:ascii="Wingdings" w:hAnsi="Wingdings"/>
        <w:sz w:val="20"/>
      </w:rPr>
    </w:lvl>
    <w:lvl w:ilvl="4" w:tplc="D2F6B7EC">
      <w:start w:val="1"/>
      <w:numFmt w:val="bullet"/>
      <w:lvlText w:val=""/>
      <w:lvlJc w:val="left"/>
      <w:pPr>
        <w:tabs>
          <w:tab w:val="num" w:pos="3600"/>
        </w:tabs>
        <w:ind w:left="3600" w:hanging="360"/>
      </w:pPr>
      <w:rPr>
        <w:rFonts w:hint="default" w:ascii="Wingdings" w:hAnsi="Wingdings"/>
        <w:sz w:val="20"/>
      </w:rPr>
    </w:lvl>
    <w:lvl w:ilvl="5" w:tplc="6B889952">
      <w:start w:val="1"/>
      <w:numFmt w:val="bullet"/>
      <w:lvlText w:val=""/>
      <w:lvlJc w:val="left"/>
      <w:pPr>
        <w:tabs>
          <w:tab w:val="num" w:pos="4320"/>
        </w:tabs>
        <w:ind w:left="4320" w:hanging="360"/>
      </w:pPr>
      <w:rPr>
        <w:rFonts w:hint="default" w:ascii="Wingdings" w:hAnsi="Wingdings"/>
        <w:sz w:val="20"/>
      </w:rPr>
    </w:lvl>
    <w:lvl w:ilvl="6" w:tplc="63287D7E">
      <w:start w:val="1"/>
      <w:numFmt w:val="bullet"/>
      <w:lvlText w:val=""/>
      <w:lvlJc w:val="left"/>
      <w:pPr>
        <w:tabs>
          <w:tab w:val="num" w:pos="5040"/>
        </w:tabs>
        <w:ind w:left="5040" w:hanging="360"/>
      </w:pPr>
      <w:rPr>
        <w:rFonts w:hint="default" w:ascii="Wingdings" w:hAnsi="Wingdings"/>
        <w:sz w:val="20"/>
      </w:rPr>
    </w:lvl>
    <w:lvl w:ilvl="7" w:tplc="B0D6AF20">
      <w:start w:val="1"/>
      <w:numFmt w:val="bullet"/>
      <w:lvlText w:val=""/>
      <w:lvlJc w:val="left"/>
      <w:pPr>
        <w:tabs>
          <w:tab w:val="num" w:pos="5760"/>
        </w:tabs>
        <w:ind w:left="5760" w:hanging="360"/>
      </w:pPr>
      <w:rPr>
        <w:rFonts w:hint="default" w:ascii="Wingdings" w:hAnsi="Wingdings"/>
        <w:sz w:val="20"/>
      </w:rPr>
    </w:lvl>
    <w:lvl w:ilvl="8" w:tplc="14C8BE5E">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7B75DDE"/>
    <w:multiLevelType w:val="hybridMultilevel"/>
    <w:tmpl w:val="B8F2BE88"/>
    <w:lvl w:ilvl="0" w:tplc="0D1C5CE8">
      <w:start w:val="1"/>
      <w:numFmt w:val="bullet"/>
      <w:lvlText w:val=""/>
      <w:lvlJc w:val="left"/>
      <w:pPr>
        <w:tabs>
          <w:tab w:val="num" w:pos="720"/>
        </w:tabs>
        <w:ind w:left="720" w:hanging="360"/>
      </w:pPr>
      <w:rPr>
        <w:rFonts w:hint="default" w:ascii="Symbol" w:hAnsi="Symbol"/>
        <w:sz w:val="20"/>
      </w:rPr>
    </w:lvl>
    <w:lvl w:ilvl="1" w:tplc="A4002680">
      <w:start w:val="1"/>
      <w:numFmt w:val="bullet"/>
      <w:lvlText w:val="o"/>
      <w:lvlJc w:val="left"/>
      <w:pPr>
        <w:tabs>
          <w:tab w:val="num" w:pos="1440"/>
        </w:tabs>
        <w:ind w:left="1440" w:hanging="360"/>
      </w:pPr>
      <w:rPr>
        <w:rFonts w:hint="default" w:ascii="Courier New" w:hAnsi="Courier New"/>
        <w:sz w:val="20"/>
      </w:rPr>
    </w:lvl>
    <w:lvl w:ilvl="2" w:tplc="6AEC75AC">
      <w:start w:val="1"/>
      <w:numFmt w:val="bullet"/>
      <w:lvlText w:val=""/>
      <w:lvlJc w:val="left"/>
      <w:pPr>
        <w:tabs>
          <w:tab w:val="num" w:pos="2160"/>
        </w:tabs>
        <w:ind w:left="2160" w:hanging="360"/>
      </w:pPr>
      <w:rPr>
        <w:rFonts w:hint="default" w:ascii="Wingdings" w:hAnsi="Wingdings"/>
        <w:sz w:val="20"/>
      </w:rPr>
    </w:lvl>
    <w:lvl w:ilvl="3" w:tplc="AE0C7116">
      <w:start w:val="1"/>
      <w:numFmt w:val="bullet"/>
      <w:lvlText w:val=""/>
      <w:lvlJc w:val="left"/>
      <w:pPr>
        <w:tabs>
          <w:tab w:val="num" w:pos="2880"/>
        </w:tabs>
        <w:ind w:left="2880" w:hanging="360"/>
      </w:pPr>
      <w:rPr>
        <w:rFonts w:hint="default" w:ascii="Wingdings" w:hAnsi="Wingdings"/>
        <w:sz w:val="20"/>
      </w:rPr>
    </w:lvl>
    <w:lvl w:ilvl="4" w:tplc="BE461C4C">
      <w:start w:val="1"/>
      <w:numFmt w:val="bullet"/>
      <w:lvlText w:val=""/>
      <w:lvlJc w:val="left"/>
      <w:pPr>
        <w:tabs>
          <w:tab w:val="num" w:pos="3600"/>
        </w:tabs>
        <w:ind w:left="3600" w:hanging="360"/>
      </w:pPr>
      <w:rPr>
        <w:rFonts w:hint="default" w:ascii="Wingdings" w:hAnsi="Wingdings"/>
        <w:sz w:val="20"/>
      </w:rPr>
    </w:lvl>
    <w:lvl w:ilvl="5" w:tplc="EA8EDFAA">
      <w:start w:val="1"/>
      <w:numFmt w:val="bullet"/>
      <w:lvlText w:val=""/>
      <w:lvlJc w:val="left"/>
      <w:pPr>
        <w:tabs>
          <w:tab w:val="num" w:pos="4320"/>
        </w:tabs>
        <w:ind w:left="4320" w:hanging="360"/>
      </w:pPr>
      <w:rPr>
        <w:rFonts w:hint="default" w:ascii="Wingdings" w:hAnsi="Wingdings"/>
        <w:sz w:val="20"/>
      </w:rPr>
    </w:lvl>
    <w:lvl w:ilvl="6" w:tplc="3BC8E524">
      <w:start w:val="1"/>
      <w:numFmt w:val="bullet"/>
      <w:lvlText w:val=""/>
      <w:lvlJc w:val="left"/>
      <w:pPr>
        <w:tabs>
          <w:tab w:val="num" w:pos="5040"/>
        </w:tabs>
        <w:ind w:left="5040" w:hanging="360"/>
      </w:pPr>
      <w:rPr>
        <w:rFonts w:hint="default" w:ascii="Wingdings" w:hAnsi="Wingdings"/>
        <w:sz w:val="20"/>
      </w:rPr>
    </w:lvl>
    <w:lvl w:ilvl="7" w:tplc="1616BC02">
      <w:start w:val="1"/>
      <w:numFmt w:val="bullet"/>
      <w:lvlText w:val=""/>
      <w:lvlJc w:val="left"/>
      <w:pPr>
        <w:tabs>
          <w:tab w:val="num" w:pos="5760"/>
        </w:tabs>
        <w:ind w:left="5760" w:hanging="360"/>
      </w:pPr>
      <w:rPr>
        <w:rFonts w:hint="default" w:ascii="Wingdings" w:hAnsi="Wingdings"/>
        <w:sz w:val="20"/>
      </w:rPr>
    </w:lvl>
    <w:lvl w:ilvl="8" w:tplc="2CC03870">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86026B9"/>
    <w:multiLevelType w:val="hybridMultilevel"/>
    <w:tmpl w:val="9618B7C6"/>
    <w:lvl w:ilvl="0" w:tplc="95B49A4C">
      <w:start w:val="1"/>
      <w:numFmt w:val="bullet"/>
      <w:lvlText w:val=""/>
      <w:lvlJc w:val="left"/>
      <w:pPr>
        <w:tabs>
          <w:tab w:val="num" w:pos="720"/>
        </w:tabs>
        <w:ind w:left="720" w:hanging="360"/>
      </w:pPr>
      <w:rPr>
        <w:rFonts w:hint="default" w:ascii="Symbol" w:hAnsi="Symbol"/>
        <w:sz w:val="20"/>
      </w:rPr>
    </w:lvl>
    <w:lvl w:ilvl="1" w:tplc="C1FC6FF4">
      <w:start w:val="1"/>
      <w:numFmt w:val="bullet"/>
      <w:lvlText w:val="o"/>
      <w:lvlJc w:val="left"/>
      <w:pPr>
        <w:tabs>
          <w:tab w:val="num" w:pos="1440"/>
        </w:tabs>
        <w:ind w:left="1440" w:hanging="360"/>
      </w:pPr>
      <w:rPr>
        <w:rFonts w:hint="default" w:ascii="Courier New" w:hAnsi="Courier New"/>
        <w:sz w:val="20"/>
      </w:rPr>
    </w:lvl>
    <w:lvl w:ilvl="2" w:tplc="65A4CB74">
      <w:start w:val="1"/>
      <w:numFmt w:val="bullet"/>
      <w:lvlText w:val=""/>
      <w:lvlJc w:val="left"/>
      <w:pPr>
        <w:tabs>
          <w:tab w:val="num" w:pos="2160"/>
        </w:tabs>
        <w:ind w:left="2160" w:hanging="360"/>
      </w:pPr>
      <w:rPr>
        <w:rFonts w:hint="default" w:ascii="Wingdings" w:hAnsi="Wingdings"/>
        <w:sz w:val="20"/>
      </w:rPr>
    </w:lvl>
    <w:lvl w:ilvl="3" w:tplc="C0D2B522">
      <w:start w:val="1"/>
      <w:numFmt w:val="bullet"/>
      <w:lvlText w:val=""/>
      <w:lvlJc w:val="left"/>
      <w:pPr>
        <w:tabs>
          <w:tab w:val="num" w:pos="2880"/>
        </w:tabs>
        <w:ind w:left="2880" w:hanging="360"/>
      </w:pPr>
      <w:rPr>
        <w:rFonts w:hint="default" w:ascii="Wingdings" w:hAnsi="Wingdings"/>
        <w:sz w:val="20"/>
      </w:rPr>
    </w:lvl>
    <w:lvl w:ilvl="4" w:tplc="72DA972E">
      <w:start w:val="1"/>
      <w:numFmt w:val="bullet"/>
      <w:lvlText w:val=""/>
      <w:lvlJc w:val="left"/>
      <w:pPr>
        <w:tabs>
          <w:tab w:val="num" w:pos="3600"/>
        </w:tabs>
        <w:ind w:left="3600" w:hanging="360"/>
      </w:pPr>
      <w:rPr>
        <w:rFonts w:hint="default" w:ascii="Wingdings" w:hAnsi="Wingdings"/>
        <w:sz w:val="20"/>
      </w:rPr>
    </w:lvl>
    <w:lvl w:ilvl="5" w:tplc="5148CA48">
      <w:start w:val="1"/>
      <w:numFmt w:val="bullet"/>
      <w:lvlText w:val=""/>
      <w:lvlJc w:val="left"/>
      <w:pPr>
        <w:tabs>
          <w:tab w:val="num" w:pos="4320"/>
        </w:tabs>
        <w:ind w:left="4320" w:hanging="360"/>
      </w:pPr>
      <w:rPr>
        <w:rFonts w:hint="default" w:ascii="Wingdings" w:hAnsi="Wingdings"/>
        <w:sz w:val="20"/>
      </w:rPr>
    </w:lvl>
    <w:lvl w:ilvl="6" w:tplc="D0E0D9C0">
      <w:start w:val="1"/>
      <w:numFmt w:val="bullet"/>
      <w:lvlText w:val=""/>
      <w:lvlJc w:val="left"/>
      <w:pPr>
        <w:tabs>
          <w:tab w:val="num" w:pos="5040"/>
        </w:tabs>
        <w:ind w:left="5040" w:hanging="360"/>
      </w:pPr>
      <w:rPr>
        <w:rFonts w:hint="default" w:ascii="Wingdings" w:hAnsi="Wingdings"/>
        <w:sz w:val="20"/>
      </w:rPr>
    </w:lvl>
    <w:lvl w:ilvl="7" w:tplc="18EED396">
      <w:start w:val="1"/>
      <w:numFmt w:val="bullet"/>
      <w:lvlText w:val=""/>
      <w:lvlJc w:val="left"/>
      <w:pPr>
        <w:tabs>
          <w:tab w:val="num" w:pos="5760"/>
        </w:tabs>
        <w:ind w:left="5760" w:hanging="360"/>
      </w:pPr>
      <w:rPr>
        <w:rFonts w:hint="default" w:ascii="Wingdings" w:hAnsi="Wingdings"/>
        <w:sz w:val="20"/>
      </w:rPr>
    </w:lvl>
    <w:lvl w:ilvl="8" w:tplc="D46CD582">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27" w15:restartNumberingAfterBreak="0">
    <w:nsid w:val="6EF21A0D"/>
    <w:multiLevelType w:val="hybridMultilevel"/>
    <w:tmpl w:val="3628FD56"/>
    <w:lvl w:ilvl="0" w:tplc="978A394E">
      <w:start w:val="9"/>
      <w:numFmt w:val="bullet"/>
      <w:lvlText w:val=""/>
      <w:lvlJc w:val="left"/>
      <w:pPr>
        <w:ind w:left="720" w:hanging="360"/>
      </w:pPr>
      <w:rPr>
        <w:rFonts w:hint="default" w:ascii="Wingdings" w:hAnsi="Wingdings" w:cs="Times New Roman" w:eastAsiaTheme="minorHAnsi"/>
      </w:rPr>
    </w:lvl>
    <w:lvl w:ilvl="1" w:tplc="B144E91C">
      <w:start w:val="1"/>
      <w:numFmt w:val="bullet"/>
      <w:lvlText w:val="o"/>
      <w:lvlJc w:val="left"/>
      <w:pPr>
        <w:ind w:left="1440" w:hanging="360"/>
      </w:pPr>
      <w:rPr>
        <w:rFonts w:hint="default" w:ascii="Courier New" w:hAnsi="Courier New" w:cs="Courier New"/>
      </w:rPr>
    </w:lvl>
    <w:lvl w:ilvl="2" w:tplc="9BCA12A8">
      <w:start w:val="1"/>
      <w:numFmt w:val="bullet"/>
      <w:lvlText w:val=""/>
      <w:lvlJc w:val="left"/>
      <w:pPr>
        <w:ind w:left="2160" w:hanging="360"/>
      </w:pPr>
      <w:rPr>
        <w:rFonts w:hint="default" w:ascii="Wingdings" w:hAnsi="Wingdings"/>
      </w:rPr>
    </w:lvl>
    <w:lvl w:ilvl="3" w:tplc="3A7C0D54">
      <w:start w:val="1"/>
      <w:numFmt w:val="bullet"/>
      <w:lvlText w:val=""/>
      <w:lvlJc w:val="left"/>
      <w:pPr>
        <w:ind w:left="2880" w:hanging="360"/>
      </w:pPr>
      <w:rPr>
        <w:rFonts w:hint="default" w:ascii="Symbol" w:hAnsi="Symbol"/>
      </w:rPr>
    </w:lvl>
    <w:lvl w:ilvl="4" w:tplc="B1ACC8D2">
      <w:start w:val="1"/>
      <w:numFmt w:val="bullet"/>
      <w:lvlText w:val="o"/>
      <w:lvlJc w:val="left"/>
      <w:pPr>
        <w:ind w:left="3600" w:hanging="360"/>
      </w:pPr>
      <w:rPr>
        <w:rFonts w:hint="default" w:ascii="Courier New" w:hAnsi="Courier New" w:cs="Courier New"/>
      </w:rPr>
    </w:lvl>
    <w:lvl w:ilvl="5" w:tplc="DBB8A8C8">
      <w:start w:val="1"/>
      <w:numFmt w:val="bullet"/>
      <w:lvlText w:val=""/>
      <w:lvlJc w:val="left"/>
      <w:pPr>
        <w:ind w:left="4320" w:hanging="360"/>
      </w:pPr>
      <w:rPr>
        <w:rFonts w:hint="default" w:ascii="Wingdings" w:hAnsi="Wingdings"/>
      </w:rPr>
    </w:lvl>
    <w:lvl w:ilvl="6" w:tplc="B038C488">
      <w:start w:val="1"/>
      <w:numFmt w:val="bullet"/>
      <w:lvlText w:val=""/>
      <w:lvlJc w:val="left"/>
      <w:pPr>
        <w:ind w:left="5040" w:hanging="360"/>
      </w:pPr>
      <w:rPr>
        <w:rFonts w:hint="default" w:ascii="Symbol" w:hAnsi="Symbol"/>
      </w:rPr>
    </w:lvl>
    <w:lvl w:ilvl="7" w:tplc="3F1CA096">
      <w:start w:val="1"/>
      <w:numFmt w:val="bullet"/>
      <w:lvlText w:val="o"/>
      <w:lvlJc w:val="left"/>
      <w:pPr>
        <w:ind w:left="5760" w:hanging="360"/>
      </w:pPr>
      <w:rPr>
        <w:rFonts w:hint="default" w:ascii="Courier New" w:hAnsi="Courier New" w:cs="Courier New"/>
      </w:rPr>
    </w:lvl>
    <w:lvl w:ilvl="8" w:tplc="2820A866">
      <w:start w:val="1"/>
      <w:numFmt w:val="bullet"/>
      <w:lvlText w:val=""/>
      <w:lvlJc w:val="left"/>
      <w:pPr>
        <w:ind w:left="6480" w:hanging="360"/>
      </w:pPr>
      <w:rPr>
        <w:rFonts w:hint="default" w:ascii="Wingdings" w:hAnsi="Wingdings"/>
      </w:rPr>
    </w:lvl>
  </w:abstractNum>
  <w:abstractNum w:abstractNumId="28" w15:restartNumberingAfterBreak="0">
    <w:nsid w:val="75BB6A24"/>
    <w:multiLevelType w:val="hybridMultilevel"/>
    <w:tmpl w:val="870A1DA2"/>
    <w:lvl w:ilvl="0" w:tplc="21AE83F8">
      <w:start w:val="1"/>
      <w:numFmt w:val="bullet"/>
      <w:lvlText w:val=""/>
      <w:lvlJc w:val="left"/>
      <w:pPr>
        <w:tabs>
          <w:tab w:val="num" w:pos="720"/>
        </w:tabs>
        <w:ind w:left="720" w:hanging="360"/>
      </w:pPr>
      <w:rPr>
        <w:rFonts w:hint="default" w:ascii="Symbol" w:hAnsi="Symbol"/>
        <w:sz w:val="20"/>
      </w:rPr>
    </w:lvl>
    <w:lvl w:ilvl="1" w:tplc="64022264">
      <w:start w:val="1"/>
      <w:numFmt w:val="bullet"/>
      <w:lvlText w:val="o"/>
      <w:lvlJc w:val="left"/>
      <w:pPr>
        <w:tabs>
          <w:tab w:val="num" w:pos="1440"/>
        </w:tabs>
        <w:ind w:left="1440" w:hanging="360"/>
      </w:pPr>
      <w:rPr>
        <w:rFonts w:hint="default" w:ascii="Courier New" w:hAnsi="Courier New"/>
        <w:sz w:val="20"/>
      </w:rPr>
    </w:lvl>
    <w:lvl w:ilvl="2" w:tplc="C5FAB9EE">
      <w:start w:val="1"/>
      <w:numFmt w:val="bullet"/>
      <w:lvlText w:val=""/>
      <w:lvlJc w:val="left"/>
      <w:pPr>
        <w:tabs>
          <w:tab w:val="num" w:pos="2160"/>
        </w:tabs>
        <w:ind w:left="2160" w:hanging="360"/>
      </w:pPr>
      <w:rPr>
        <w:rFonts w:hint="default" w:ascii="Wingdings" w:hAnsi="Wingdings"/>
        <w:sz w:val="20"/>
      </w:rPr>
    </w:lvl>
    <w:lvl w:ilvl="3" w:tplc="8052686C">
      <w:start w:val="1"/>
      <w:numFmt w:val="bullet"/>
      <w:lvlText w:val=""/>
      <w:lvlJc w:val="left"/>
      <w:pPr>
        <w:tabs>
          <w:tab w:val="num" w:pos="2880"/>
        </w:tabs>
        <w:ind w:left="2880" w:hanging="360"/>
      </w:pPr>
      <w:rPr>
        <w:rFonts w:hint="default" w:ascii="Wingdings" w:hAnsi="Wingdings"/>
        <w:sz w:val="20"/>
      </w:rPr>
    </w:lvl>
    <w:lvl w:ilvl="4" w:tplc="56682FFA">
      <w:start w:val="1"/>
      <w:numFmt w:val="bullet"/>
      <w:lvlText w:val=""/>
      <w:lvlJc w:val="left"/>
      <w:pPr>
        <w:tabs>
          <w:tab w:val="num" w:pos="3600"/>
        </w:tabs>
        <w:ind w:left="3600" w:hanging="360"/>
      </w:pPr>
      <w:rPr>
        <w:rFonts w:hint="default" w:ascii="Wingdings" w:hAnsi="Wingdings"/>
        <w:sz w:val="20"/>
      </w:rPr>
    </w:lvl>
    <w:lvl w:ilvl="5" w:tplc="08B09C8C">
      <w:start w:val="1"/>
      <w:numFmt w:val="bullet"/>
      <w:lvlText w:val=""/>
      <w:lvlJc w:val="left"/>
      <w:pPr>
        <w:tabs>
          <w:tab w:val="num" w:pos="4320"/>
        </w:tabs>
        <w:ind w:left="4320" w:hanging="360"/>
      </w:pPr>
      <w:rPr>
        <w:rFonts w:hint="default" w:ascii="Wingdings" w:hAnsi="Wingdings"/>
        <w:sz w:val="20"/>
      </w:rPr>
    </w:lvl>
    <w:lvl w:ilvl="6" w:tplc="5080CB0E">
      <w:start w:val="1"/>
      <w:numFmt w:val="bullet"/>
      <w:lvlText w:val=""/>
      <w:lvlJc w:val="left"/>
      <w:pPr>
        <w:tabs>
          <w:tab w:val="num" w:pos="5040"/>
        </w:tabs>
        <w:ind w:left="5040" w:hanging="360"/>
      </w:pPr>
      <w:rPr>
        <w:rFonts w:hint="default" w:ascii="Wingdings" w:hAnsi="Wingdings"/>
        <w:sz w:val="20"/>
      </w:rPr>
    </w:lvl>
    <w:lvl w:ilvl="7" w:tplc="6832AA34">
      <w:start w:val="1"/>
      <w:numFmt w:val="bullet"/>
      <w:lvlText w:val=""/>
      <w:lvlJc w:val="left"/>
      <w:pPr>
        <w:tabs>
          <w:tab w:val="num" w:pos="5760"/>
        </w:tabs>
        <w:ind w:left="5760" w:hanging="360"/>
      </w:pPr>
      <w:rPr>
        <w:rFonts w:hint="default" w:ascii="Wingdings" w:hAnsi="Wingdings"/>
        <w:sz w:val="20"/>
      </w:rPr>
    </w:lvl>
    <w:lvl w:ilvl="8" w:tplc="2D6C0A60">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30" w15:restartNumberingAfterBreak="0">
    <w:nsid w:val="7726495F"/>
    <w:multiLevelType w:val="hybridMultilevel"/>
    <w:tmpl w:val="29C24F06"/>
    <w:lvl w:ilvl="0" w:tplc="F0B87F2A">
      <w:start w:val="1"/>
      <w:numFmt w:val="bullet"/>
      <w:lvlText w:val=""/>
      <w:lvlJc w:val="left"/>
      <w:pPr>
        <w:tabs>
          <w:tab w:val="num" w:pos="720"/>
        </w:tabs>
        <w:ind w:left="720" w:hanging="360"/>
      </w:pPr>
      <w:rPr>
        <w:rFonts w:hint="default" w:ascii="Symbol" w:hAnsi="Symbol"/>
        <w:sz w:val="20"/>
      </w:rPr>
    </w:lvl>
    <w:lvl w:ilvl="1" w:tplc="0AAA6BC0">
      <w:start w:val="1"/>
      <w:numFmt w:val="bullet"/>
      <w:lvlText w:val="o"/>
      <w:lvlJc w:val="left"/>
      <w:pPr>
        <w:tabs>
          <w:tab w:val="num" w:pos="1440"/>
        </w:tabs>
        <w:ind w:left="1440" w:hanging="360"/>
      </w:pPr>
      <w:rPr>
        <w:rFonts w:hint="default" w:ascii="Courier New" w:hAnsi="Courier New"/>
        <w:sz w:val="20"/>
      </w:rPr>
    </w:lvl>
    <w:lvl w:ilvl="2" w:tplc="0A8C09EC">
      <w:start w:val="1"/>
      <w:numFmt w:val="bullet"/>
      <w:lvlText w:val=""/>
      <w:lvlJc w:val="left"/>
      <w:pPr>
        <w:tabs>
          <w:tab w:val="num" w:pos="2160"/>
        </w:tabs>
        <w:ind w:left="2160" w:hanging="360"/>
      </w:pPr>
      <w:rPr>
        <w:rFonts w:hint="default" w:ascii="Wingdings" w:hAnsi="Wingdings"/>
        <w:sz w:val="20"/>
      </w:rPr>
    </w:lvl>
    <w:lvl w:ilvl="3" w:tplc="F970DD72">
      <w:start w:val="1"/>
      <w:numFmt w:val="bullet"/>
      <w:lvlText w:val=""/>
      <w:lvlJc w:val="left"/>
      <w:pPr>
        <w:tabs>
          <w:tab w:val="num" w:pos="2880"/>
        </w:tabs>
        <w:ind w:left="2880" w:hanging="360"/>
      </w:pPr>
      <w:rPr>
        <w:rFonts w:hint="default" w:ascii="Wingdings" w:hAnsi="Wingdings"/>
        <w:sz w:val="20"/>
      </w:rPr>
    </w:lvl>
    <w:lvl w:ilvl="4" w:tplc="13AC31A0">
      <w:start w:val="1"/>
      <w:numFmt w:val="bullet"/>
      <w:lvlText w:val=""/>
      <w:lvlJc w:val="left"/>
      <w:pPr>
        <w:tabs>
          <w:tab w:val="num" w:pos="3600"/>
        </w:tabs>
        <w:ind w:left="3600" w:hanging="360"/>
      </w:pPr>
      <w:rPr>
        <w:rFonts w:hint="default" w:ascii="Wingdings" w:hAnsi="Wingdings"/>
        <w:sz w:val="20"/>
      </w:rPr>
    </w:lvl>
    <w:lvl w:ilvl="5" w:tplc="4E602DE4">
      <w:start w:val="1"/>
      <w:numFmt w:val="bullet"/>
      <w:lvlText w:val=""/>
      <w:lvlJc w:val="left"/>
      <w:pPr>
        <w:tabs>
          <w:tab w:val="num" w:pos="4320"/>
        </w:tabs>
        <w:ind w:left="4320" w:hanging="360"/>
      </w:pPr>
      <w:rPr>
        <w:rFonts w:hint="default" w:ascii="Wingdings" w:hAnsi="Wingdings"/>
        <w:sz w:val="20"/>
      </w:rPr>
    </w:lvl>
    <w:lvl w:ilvl="6" w:tplc="FFAC076E">
      <w:start w:val="1"/>
      <w:numFmt w:val="bullet"/>
      <w:lvlText w:val=""/>
      <w:lvlJc w:val="left"/>
      <w:pPr>
        <w:tabs>
          <w:tab w:val="num" w:pos="5040"/>
        </w:tabs>
        <w:ind w:left="5040" w:hanging="360"/>
      </w:pPr>
      <w:rPr>
        <w:rFonts w:hint="default" w:ascii="Wingdings" w:hAnsi="Wingdings"/>
        <w:sz w:val="20"/>
      </w:rPr>
    </w:lvl>
    <w:lvl w:ilvl="7" w:tplc="721E6AF0">
      <w:start w:val="1"/>
      <w:numFmt w:val="bullet"/>
      <w:lvlText w:val=""/>
      <w:lvlJc w:val="left"/>
      <w:pPr>
        <w:tabs>
          <w:tab w:val="num" w:pos="5760"/>
        </w:tabs>
        <w:ind w:left="5760" w:hanging="360"/>
      </w:pPr>
      <w:rPr>
        <w:rFonts w:hint="default" w:ascii="Wingdings" w:hAnsi="Wingdings"/>
        <w:sz w:val="20"/>
      </w:rPr>
    </w:lvl>
    <w:lvl w:ilvl="8" w:tplc="E2B60220">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C26446"/>
    <w:multiLevelType w:val="hybridMultilevel"/>
    <w:tmpl w:val="49B64EB2"/>
    <w:lvl w:ilvl="0" w:tplc="9CEA5606">
      <w:start w:val="1"/>
      <w:numFmt w:val="bullet"/>
      <w:lvlText w:val=""/>
      <w:lvlJc w:val="left"/>
      <w:pPr>
        <w:tabs>
          <w:tab w:val="num" w:pos="720"/>
        </w:tabs>
        <w:ind w:left="720" w:hanging="360"/>
      </w:pPr>
      <w:rPr>
        <w:rFonts w:hint="default" w:ascii="Symbol" w:hAnsi="Symbol"/>
        <w:sz w:val="20"/>
      </w:rPr>
    </w:lvl>
    <w:lvl w:ilvl="1" w:tplc="8898BB2E">
      <w:start w:val="1"/>
      <w:numFmt w:val="bullet"/>
      <w:lvlText w:val="o"/>
      <w:lvlJc w:val="left"/>
      <w:pPr>
        <w:tabs>
          <w:tab w:val="num" w:pos="1440"/>
        </w:tabs>
        <w:ind w:left="1440" w:hanging="360"/>
      </w:pPr>
      <w:rPr>
        <w:rFonts w:hint="default" w:ascii="Courier New" w:hAnsi="Courier New"/>
        <w:sz w:val="20"/>
      </w:rPr>
    </w:lvl>
    <w:lvl w:ilvl="2" w:tplc="7B70D3A0">
      <w:start w:val="1"/>
      <w:numFmt w:val="bullet"/>
      <w:lvlText w:val=""/>
      <w:lvlJc w:val="left"/>
      <w:pPr>
        <w:tabs>
          <w:tab w:val="num" w:pos="2160"/>
        </w:tabs>
        <w:ind w:left="2160" w:hanging="360"/>
      </w:pPr>
      <w:rPr>
        <w:rFonts w:hint="default" w:ascii="Wingdings" w:hAnsi="Wingdings"/>
        <w:sz w:val="20"/>
      </w:rPr>
    </w:lvl>
    <w:lvl w:ilvl="3" w:tplc="2E5CDE5C">
      <w:start w:val="1"/>
      <w:numFmt w:val="bullet"/>
      <w:lvlText w:val=""/>
      <w:lvlJc w:val="left"/>
      <w:pPr>
        <w:tabs>
          <w:tab w:val="num" w:pos="2880"/>
        </w:tabs>
        <w:ind w:left="2880" w:hanging="360"/>
      </w:pPr>
      <w:rPr>
        <w:rFonts w:hint="default" w:ascii="Wingdings" w:hAnsi="Wingdings"/>
        <w:sz w:val="20"/>
      </w:rPr>
    </w:lvl>
    <w:lvl w:ilvl="4" w:tplc="25849BA0">
      <w:start w:val="1"/>
      <w:numFmt w:val="bullet"/>
      <w:lvlText w:val=""/>
      <w:lvlJc w:val="left"/>
      <w:pPr>
        <w:tabs>
          <w:tab w:val="num" w:pos="3600"/>
        </w:tabs>
        <w:ind w:left="3600" w:hanging="360"/>
      </w:pPr>
      <w:rPr>
        <w:rFonts w:hint="default" w:ascii="Wingdings" w:hAnsi="Wingdings"/>
        <w:sz w:val="20"/>
      </w:rPr>
    </w:lvl>
    <w:lvl w:ilvl="5" w:tplc="E9064220">
      <w:start w:val="1"/>
      <w:numFmt w:val="bullet"/>
      <w:lvlText w:val=""/>
      <w:lvlJc w:val="left"/>
      <w:pPr>
        <w:tabs>
          <w:tab w:val="num" w:pos="4320"/>
        </w:tabs>
        <w:ind w:left="4320" w:hanging="360"/>
      </w:pPr>
      <w:rPr>
        <w:rFonts w:hint="default" w:ascii="Wingdings" w:hAnsi="Wingdings"/>
        <w:sz w:val="20"/>
      </w:rPr>
    </w:lvl>
    <w:lvl w:ilvl="6" w:tplc="54C8D8BA">
      <w:start w:val="1"/>
      <w:numFmt w:val="bullet"/>
      <w:lvlText w:val=""/>
      <w:lvlJc w:val="left"/>
      <w:pPr>
        <w:tabs>
          <w:tab w:val="num" w:pos="5040"/>
        </w:tabs>
        <w:ind w:left="5040" w:hanging="360"/>
      </w:pPr>
      <w:rPr>
        <w:rFonts w:hint="default" w:ascii="Wingdings" w:hAnsi="Wingdings"/>
        <w:sz w:val="20"/>
      </w:rPr>
    </w:lvl>
    <w:lvl w:ilvl="7" w:tplc="0B56445A">
      <w:start w:val="1"/>
      <w:numFmt w:val="bullet"/>
      <w:lvlText w:val=""/>
      <w:lvlJc w:val="left"/>
      <w:pPr>
        <w:tabs>
          <w:tab w:val="num" w:pos="5760"/>
        </w:tabs>
        <w:ind w:left="5760" w:hanging="360"/>
      </w:pPr>
      <w:rPr>
        <w:rFonts w:hint="default" w:ascii="Wingdings" w:hAnsi="Wingdings"/>
        <w:sz w:val="20"/>
      </w:rPr>
    </w:lvl>
    <w:lvl w:ilvl="8" w:tplc="C5CCDB2C">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DB852FA"/>
    <w:multiLevelType w:val="hybridMultilevel"/>
    <w:tmpl w:val="239EAFCE"/>
    <w:lvl w:ilvl="0" w:tplc="FB929802">
      <w:start w:val="9"/>
      <w:numFmt w:val="bullet"/>
      <w:lvlText w:val=""/>
      <w:lvlJc w:val="left"/>
      <w:pPr>
        <w:ind w:left="720" w:hanging="360"/>
      </w:pPr>
      <w:rPr>
        <w:rFonts w:hint="default" w:ascii="Wingdings" w:hAnsi="Wingdings" w:cs="Arial,Bold" w:eastAsiaTheme="minorHAnsi"/>
      </w:rPr>
    </w:lvl>
    <w:lvl w:ilvl="1" w:tplc="1A0EF256">
      <w:start w:val="1"/>
      <w:numFmt w:val="bullet"/>
      <w:lvlText w:val="o"/>
      <w:lvlJc w:val="left"/>
      <w:pPr>
        <w:ind w:left="1440" w:hanging="360"/>
      </w:pPr>
      <w:rPr>
        <w:rFonts w:hint="default" w:ascii="Courier New" w:hAnsi="Courier New" w:cs="Courier New"/>
      </w:rPr>
    </w:lvl>
    <w:lvl w:ilvl="2" w:tplc="6AEE960A">
      <w:start w:val="1"/>
      <w:numFmt w:val="bullet"/>
      <w:lvlText w:val=""/>
      <w:lvlJc w:val="left"/>
      <w:pPr>
        <w:ind w:left="2160" w:hanging="360"/>
      </w:pPr>
      <w:rPr>
        <w:rFonts w:hint="default" w:ascii="Wingdings" w:hAnsi="Wingdings"/>
      </w:rPr>
    </w:lvl>
    <w:lvl w:ilvl="3" w:tplc="92567BAE">
      <w:start w:val="1"/>
      <w:numFmt w:val="bullet"/>
      <w:lvlText w:val=""/>
      <w:lvlJc w:val="left"/>
      <w:pPr>
        <w:ind w:left="2880" w:hanging="360"/>
      </w:pPr>
      <w:rPr>
        <w:rFonts w:hint="default" w:ascii="Symbol" w:hAnsi="Symbol"/>
      </w:rPr>
    </w:lvl>
    <w:lvl w:ilvl="4" w:tplc="65807B70">
      <w:start w:val="1"/>
      <w:numFmt w:val="bullet"/>
      <w:lvlText w:val="o"/>
      <w:lvlJc w:val="left"/>
      <w:pPr>
        <w:ind w:left="3600" w:hanging="360"/>
      </w:pPr>
      <w:rPr>
        <w:rFonts w:hint="default" w:ascii="Courier New" w:hAnsi="Courier New" w:cs="Courier New"/>
      </w:rPr>
    </w:lvl>
    <w:lvl w:ilvl="5" w:tplc="1BFCF1AE">
      <w:start w:val="1"/>
      <w:numFmt w:val="bullet"/>
      <w:lvlText w:val=""/>
      <w:lvlJc w:val="left"/>
      <w:pPr>
        <w:ind w:left="4320" w:hanging="360"/>
      </w:pPr>
      <w:rPr>
        <w:rFonts w:hint="default" w:ascii="Wingdings" w:hAnsi="Wingdings"/>
      </w:rPr>
    </w:lvl>
    <w:lvl w:ilvl="6" w:tplc="68225BE4">
      <w:start w:val="1"/>
      <w:numFmt w:val="bullet"/>
      <w:lvlText w:val=""/>
      <w:lvlJc w:val="left"/>
      <w:pPr>
        <w:ind w:left="5040" w:hanging="360"/>
      </w:pPr>
      <w:rPr>
        <w:rFonts w:hint="default" w:ascii="Symbol" w:hAnsi="Symbol"/>
      </w:rPr>
    </w:lvl>
    <w:lvl w:ilvl="7" w:tplc="9446CFAA">
      <w:start w:val="1"/>
      <w:numFmt w:val="bullet"/>
      <w:lvlText w:val="o"/>
      <w:lvlJc w:val="left"/>
      <w:pPr>
        <w:ind w:left="5760" w:hanging="360"/>
      </w:pPr>
      <w:rPr>
        <w:rFonts w:hint="default" w:ascii="Courier New" w:hAnsi="Courier New" w:cs="Courier New"/>
      </w:rPr>
    </w:lvl>
    <w:lvl w:ilvl="8" w:tplc="29D2D1C8">
      <w:start w:val="1"/>
      <w:numFmt w:val="bullet"/>
      <w:lvlText w:val=""/>
      <w:lvlJc w:val="left"/>
      <w:pPr>
        <w:ind w:left="6480" w:hanging="360"/>
      </w:pPr>
      <w:rPr>
        <w:rFonts w:hint="default" w:ascii="Wingdings" w:hAnsi="Wingdings"/>
      </w:rPr>
    </w:lvl>
  </w:abstractNum>
  <w:num w:numId="1" w16cid:durableId="1605186786">
    <w:abstractNumId w:val="27"/>
  </w:num>
  <w:num w:numId="2" w16cid:durableId="306250873">
    <w:abstractNumId w:val="32"/>
  </w:num>
  <w:num w:numId="3" w16cid:durableId="677388726">
    <w:abstractNumId w:val="5"/>
  </w:num>
  <w:num w:numId="4" w16cid:durableId="1047685675">
    <w:abstractNumId w:val="6"/>
  </w:num>
  <w:num w:numId="5" w16cid:durableId="721440985">
    <w:abstractNumId w:val="7"/>
  </w:num>
  <w:num w:numId="6" w16cid:durableId="1806388785">
    <w:abstractNumId w:val="29"/>
  </w:num>
  <w:num w:numId="7" w16cid:durableId="1750274423">
    <w:abstractNumId w:val="26"/>
  </w:num>
  <w:num w:numId="8" w16cid:durableId="1623338313">
    <w:abstractNumId w:val="18"/>
  </w:num>
  <w:num w:numId="9" w16cid:durableId="30689274">
    <w:abstractNumId w:val="3"/>
  </w:num>
  <w:num w:numId="10" w16cid:durableId="1698004936">
    <w:abstractNumId w:val="22"/>
  </w:num>
  <w:num w:numId="11" w16cid:durableId="1982075097">
    <w:abstractNumId w:val="10"/>
  </w:num>
  <w:num w:numId="12" w16cid:durableId="1728411462">
    <w:abstractNumId w:val="4"/>
  </w:num>
  <w:num w:numId="13" w16cid:durableId="655452802">
    <w:abstractNumId w:val="19"/>
  </w:num>
  <w:num w:numId="14" w16cid:durableId="1281952948">
    <w:abstractNumId w:val="31"/>
  </w:num>
  <w:num w:numId="15" w16cid:durableId="103888583">
    <w:abstractNumId w:val="12"/>
  </w:num>
  <w:num w:numId="16" w16cid:durableId="1451974577">
    <w:abstractNumId w:val="20"/>
  </w:num>
  <w:num w:numId="17" w16cid:durableId="1703506953">
    <w:abstractNumId w:val="11"/>
  </w:num>
  <w:num w:numId="18" w16cid:durableId="2026638350">
    <w:abstractNumId w:val="8"/>
  </w:num>
  <w:num w:numId="19" w16cid:durableId="1215431091">
    <w:abstractNumId w:val="9"/>
  </w:num>
  <w:num w:numId="20" w16cid:durableId="1899054223">
    <w:abstractNumId w:val="28"/>
  </w:num>
  <w:num w:numId="21" w16cid:durableId="1581677446">
    <w:abstractNumId w:val="17"/>
  </w:num>
  <w:num w:numId="22" w16cid:durableId="402145135">
    <w:abstractNumId w:val="2"/>
  </w:num>
  <w:num w:numId="23" w16cid:durableId="1958825558">
    <w:abstractNumId w:val="24"/>
  </w:num>
  <w:num w:numId="24" w16cid:durableId="1643582161">
    <w:abstractNumId w:val="23"/>
  </w:num>
  <w:num w:numId="25" w16cid:durableId="1396464771">
    <w:abstractNumId w:val="13"/>
  </w:num>
  <w:num w:numId="26" w16cid:durableId="579027903">
    <w:abstractNumId w:val="25"/>
  </w:num>
  <w:num w:numId="27" w16cid:durableId="507332749">
    <w:abstractNumId w:val="15"/>
  </w:num>
  <w:num w:numId="28" w16cid:durableId="522325421">
    <w:abstractNumId w:val="14"/>
  </w:num>
  <w:num w:numId="29" w16cid:durableId="1994405859">
    <w:abstractNumId w:val="30"/>
  </w:num>
  <w:num w:numId="30" w16cid:durableId="2041665161">
    <w:abstractNumId w:val="21"/>
  </w:num>
  <w:num w:numId="31" w16cid:durableId="825508633">
    <w:abstractNumId w:val="16"/>
  </w:num>
  <w:num w:numId="32" w16cid:durableId="1166626897">
    <w:abstractNumId w:val="0"/>
  </w:num>
  <w:num w:numId="33" w16cid:durableId="213563668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04"/>
    <w:rsid w:val="00000000"/>
    <w:rsid w:val="00040AC2"/>
    <w:rsid w:val="00077C0D"/>
    <w:rsid w:val="000A0C9E"/>
    <w:rsid w:val="000D5E35"/>
    <w:rsid w:val="001331C5"/>
    <w:rsid w:val="0015344D"/>
    <w:rsid w:val="00183A15"/>
    <w:rsid w:val="001D4B88"/>
    <w:rsid w:val="00265060"/>
    <w:rsid w:val="002B078A"/>
    <w:rsid w:val="0032790A"/>
    <w:rsid w:val="00351F4B"/>
    <w:rsid w:val="003827F5"/>
    <w:rsid w:val="003C2C91"/>
    <w:rsid w:val="0048296C"/>
    <w:rsid w:val="004E74A0"/>
    <w:rsid w:val="005D558B"/>
    <w:rsid w:val="005E0B12"/>
    <w:rsid w:val="0067269E"/>
    <w:rsid w:val="00674104"/>
    <w:rsid w:val="00694B26"/>
    <w:rsid w:val="006A03EE"/>
    <w:rsid w:val="006F25DF"/>
    <w:rsid w:val="00732D1C"/>
    <w:rsid w:val="007A5AED"/>
    <w:rsid w:val="007B66F3"/>
    <w:rsid w:val="008963EF"/>
    <w:rsid w:val="008A36CA"/>
    <w:rsid w:val="009204AA"/>
    <w:rsid w:val="00BA656E"/>
    <w:rsid w:val="00C668B4"/>
    <w:rsid w:val="00CC1302"/>
    <w:rsid w:val="00D07359"/>
    <w:rsid w:val="00E87B46"/>
    <w:rsid w:val="00EB3D00"/>
    <w:rsid w:val="00F0599E"/>
    <w:rsid w:val="00F332E4"/>
    <w:rsid w:val="128A43B6"/>
    <w:rsid w:val="55813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E6DB"/>
  <w15:docId w15:val="{2B7DC2A1-38FD-4E21-B0D2-146661F5C9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1302"/>
    <w:pPr>
      <w:spacing w:after="0" w:line="240" w:lineRule="auto"/>
    </w:pPr>
    <w:rPr>
      <w:rFonts w:ascii="Times New Roman" w:hAnsi="Times New Roman" w:eastAsia="Times New Roman" w:cs="Times New Roman"/>
      <w:sz w:val="24"/>
      <w:szCs w:val="24"/>
      <w:lang w:eastAsia="pt-BR"/>
    </w:rPr>
  </w:style>
  <w:style w:type="paragraph" w:styleId="Ttulo1">
    <w:name w:val="heading 1"/>
    <w:basedOn w:val="Normal"/>
    <w:link w:val="Ttulo1Char"/>
    <w:uiPriority w:val="1"/>
    <w:qFormat/>
    <w:pPr>
      <w:widowControl w:val="0"/>
      <w:ind w:left="100" w:right="3120"/>
      <w:outlineLvl w:val="0"/>
    </w:pPr>
    <w:rPr>
      <w:rFonts w:ascii="Calibri" w:hAnsi="Calibri" w:eastAsia="Calibri" w:cs="Calibri"/>
      <w:b/>
      <w:bCs/>
      <w:sz w:val="4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hAnsi="Calibri" w:eastAsia="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hAnsiTheme="majorHAnsi" w:eastAsiaTheme="majorEastAsia"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hAnsi="Arial" w:eastAsia="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hAnsi="Arial" w:eastAsia="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hAnsi="Arial" w:eastAsia="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hAnsi="Arial" w:eastAsia="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hAnsi="Arial" w:eastAsia="Arial" w:cs="Arial"/>
      <w:i/>
      <w:iCs/>
      <w:sz w:val="21"/>
      <w:szCs w:val="21"/>
    </w:rPr>
  </w:style>
  <w:style w:type="character" w:styleId="Fontepargpadro" w:default="1">
    <w:name w:val="Default Paragraph Font"/>
    <w:uiPriority w:val="1"/>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Heading1Char" w:customStyle="1">
    <w:name w:val="Heading 1 Char"/>
    <w:basedOn w:val="Fontepargpadro"/>
    <w:uiPriority w:val="9"/>
    <w:rPr>
      <w:rFonts w:ascii="Arial" w:hAnsi="Arial" w:eastAsia="Arial" w:cs="Arial"/>
      <w:sz w:val="40"/>
      <w:szCs w:val="40"/>
    </w:rPr>
  </w:style>
  <w:style w:type="character" w:styleId="Heading2Char" w:customStyle="1">
    <w:name w:val="Heading 2 Char"/>
    <w:basedOn w:val="Fontepargpadro"/>
    <w:uiPriority w:val="9"/>
    <w:rPr>
      <w:rFonts w:ascii="Arial" w:hAnsi="Arial" w:eastAsia="Arial" w:cs="Arial"/>
      <w:sz w:val="34"/>
    </w:rPr>
  </w:style>
  <w:style w:type="character" w:styleId="Heading3Char" w:customStyle="1">
    <w:name w:val="Heading 3 Char"/>
    <w:basedOn w:val="Fontepargpadro"/>
    <w:uiPriority w:val="9"/>
    <w:rPr>
      <w:rFonts w:ascii="Arial" w:hAnsi="Arial" w:eastAsia="Arial" w:cs="Arial"/>
      <w:sz w:val="30"/>
      <w:szCs w:val="30"/>
    </w:rPr>
  </w:style>
  <w:style w:type="character" w:styleId="Heading4Char" w:customStyle="1">
    <w:name w:val="Heading 4 Char"/>
    <w:basedOn w:val="Fontepargpadro"/>
    <w:uiPriority w:val="9"/>
    <w:rPr>
      <w:rFonts w:ascii="Arial" w:hAnsi="Arial" w:eastAsia="Arial" w:cs="Arial"/>
      <w:b/>
      <w:bCs/>
      <w:sz w:val="26"/>
      <w:szCs w:val="26"/>
    </w:rPr>
  </w:style>
  <w:style w:type="character" w:styleId="Ttulo5Char" w:customStyle="1">
    <w:name w:val="Título 5 Char"/>
    <w:basedOn w:val="Fontepargpadro"/>
    <w:link w:val="Ttulo5"/>
    <w:uiPriority w:val="9"/>
    <w:rPr>
      <w:rFonts w:ascii="Arial" w:hAnsi="Arial" w:eastAsia="Arial" w:cs="Arial"/>
      <w:b/>
      <w:bCs/>
      <w:sz w:val="24"/>
      <w:szCs w:val="24"/>
    </w:rPr>
  </w:style>
  <w:style w:type="character" w:styleId="Ttulo6Char" w:customStyle="1">
    <w:name w:val="Título 6 Char"/>
    <w:basedOn w:val="Fontepargpadro"/>
    <w:link w:val="Ttulo6"/>
    <w:uiPriority w:val="9"/>
    <w:rPr>
      <w:rFonts w:ascii="Arial" w:hAnsi="Arial" w:eastAsia="Arial" w:cs="Arial"/>
      <w:b/>
      <w:bCs/>
      <w:sz w:val="22"/>
      <w:szCs w:val="22"/>
    </w:rPr>
  </w:style>
  <w:style w:type="character" w:styleId="Ttulo7Char" w:customStyle="1">
    <w:name w:val="Título 7 Char"/>
    <w:basedOn w:val="Fontepargpadro"/>
    <w:link w:val="Ttulo7"/>
    <w:uiPriority w:val="9"/>
    <w:rPr>
      <w:rFonts w:ascii="Arial" w:hAnsi="Arial" w:eastAsia="Arial" w:cs="Arial"/>
      <w:b/>
      <w:bCs/>
      <w:i/>
      <w:iCs/>
      <w:sz w:val="22"/>
      <w:szCs w:val="22"/>
    </w:rPr>
  </w:style>
  <w:style w:type="character" w:styleId="Ttulo8Char" w:customStyle="1">
    <w:name w:val="Título 8 Char"/>
    <w:basedOn w:val="Fontepargpadro"/>
    <w:link w:val="Ttulo8"/>
    <w:uiPriority w:val="9"/>
    <w:rPr>
      <w:rFonts w:ascii="Arial" w:hAnsi="Arial" w:eastAsia="Arial" w:cs="Arial"/>
      <w:i/>
      <w:iCs/>
      <w:sz w:val="22"/>
      <w:szCs w:val="22"/>
    </w:rPr>
  </w:style>
  <w:style w:type="character" w:styleId="Ttulo9Char" w:customStyle="1">
    <w:name w:val="Título 9 Char"/>
    <w:basedOn w:val="Fontepargpadro"/>
    <w:link w:val="Ttulo9"/>
    <w:uiPriority w:val="9"/>
    <w:rPr>
      <w:rFonts w:ascii="Arial" w:hAnsi="Arial" w:eastAsia="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styleId="TtuloChar" w:customStyle="1">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styleId="SubttuloChar" w:customStyle="1">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styleId="CitaoChar" w:customStyle="1">
    <w:name w:val="Citação Char"/>
    <w:link w:val="Citao"/>
    <w:uiPriority w:val="29"/>
    <w:rPr>
      <w:i/>
    </w:rPr>
  </w:style>
  <w:style w:type="paragraph" w:styleId="CitaoIntensa">
    <w:name w:val="Intense Quote"/>
    <w:basedOn w:val="Normal"/>
    <w:next w:val="Normal"/>
    <w:link w:val="CitaoIntensa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CitaoIntensaChar" w:customStyle="1">
    <w:name w:val="Citação Intensa Char"/>
    <w:link w:val="CitaoIntensa"/>
    <w:uiPriority w:val="30"/>
    <w:rPr>
      <w:i/>
    </w:rPr>
  </w:style>
  <w:style w:type="character" w:styleId="HeaderChar" w:customStyle="1">
    <w:name w:val="Header Char"/>
    <w:basedOn w:val="Fontepargpadro"/>
    <w:uiPriority w:val="99"/>
  </w:style>
  <w:style w:type="character" w:styleId="FooterChar" w:customStyle="1">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styleId="CaptionChar" w:customStyle="1">
    <w:name w:val="Caption Char"/>
    <w:uiPriority w:val="99"/>
  </w:style>
  <w:style w:type="table" w:styleId="TableGridLight" w:customStyle="1">
    <w:name w:val="Grid Table Light"/>
    <w:basedOn w:val="Tabela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SimplesTabela1">
    <w:name w:val="Plain Table 1"/>
    <w:basedOn w:val="Tabela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customStyle="1">
    <w:name w:val="Grid Table 1 Light Accent 1"/>
    <w:basedOn w:val="Tabelanormal"/>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color w:val="404040"/>
      </w:rPr>
      <w:tblPr/>
      <w:tcPr>
        <w:tcBorders>
          <w:bottom w:val="single" w:color="97B4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style>
  <w:style w:type="table" w:styleId="GridTable1Light-Accent2" w:customStyle="1">
    <w:name w:val="Grid Table 1 Light Accent 2"/>
    <w:basedOn w:val="Tabelanormal"/>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style>
  <w:style w:type="table" w:styleId="GridTable1Light-Accent3" w:customStyle="1">
    <w:name w:val="Grid Table 1 Light Accent 3"/>
    <w:basedOn w:val="Tabelanormal"/>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D"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styleId="GridTable1Light-Accent4" w:customStyle="1">
    <w:name w:val="Grid Table 1 Light Accent 4"/>
    <w:basedOn w:val="Tabelanormal"/>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styleId="GridTable1Light-Accent5" w:customStyle="1">
    <w:name w:val="Grid Table 1 Light Accent 5"/>
    <w:basedOn w:val="Tabelanormal"/>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style>
  <w:style w:type="table" w:styleId="GridTable1Light-Accent6" w:customStyle="1">
    <w:name w:val="Grid Table 1 Light Accent 6"/>
    <w:basedOn w:val="Tabelanormal"/>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FFFFFF" w:fill="auto"/>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customStyle="1">
    <w:name w:val="Grid Table 2 Accent 1"/>
    <w:basedOn w:val="Tabelanormal"/>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single" w:color="5D8AC2" w:themeColor="accent1" w:themeTint="EA" w:sz="12" w:space="0"/>
          <w:right w:val="none" w:color="000000" w:sz="4" w:space="0"/>
        </w:tcBorders>
        <w:shd w:val="clear" w:color="FFFFFF" w:fill="auto"/>
      </w:tcPr>
    </w:tblStylePr>
    <w:tblStylePr w:type="lastRow">
      <w:rPr>
        <w:b/>
        <w:color w:val="404040"/>
      </w:rPr>
      <w:tblPr/>
      <w:tcPr>
        <w:tcBorders>
          <w:top w:val="single" w:color="5D8AC2" w:themeColor="accent1" w:themeTint="E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customStyle="1">
    <w:name w:val="Grid Table 2 Accent 2"/>
    <w:basedOn w:val="Tabelanormal"/>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single" w:color="D99695" w:themeColor="accent2" w:themeTint="97" w:sz="12" w:space="0"/>
          <w:right w:val="none" w:color="000000" w:sz="4" w:space="0"/>
        </w:tcBorders>
        <w:shd w:val="clear" w:color="FFFFFF" w:fill="auto"/>
      </w:tcPr>
    </w:tblStylePr>
    <w:tblStylePr w:type="lastRow">
      <w:rPr>
        <w:b/>
        <w:color w:val="404040"/>
      </w:rPr>
      <w:tblPr/>
      <w:tcPr>
        <w:tcBorders>
          <w:top w:val="single" w:color="D99695" w:themeColor="accent2" w:themeTint="97"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customStyle="1">
    <w:name w:val="Grid Table 2 Accent 3"/>
    <w:basedOn w:val="Tabelanormal"/>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single" w:color="9ABB59" w:themeColor="accent3" w:themeTint="FE" w:sz="12" w:space="0"/>
          <w:right w:val="none" w:color="000000" w:sz="4" w:space="0"/>
        </w:tcBorders>
        <w:shd w:val="clear" w:color="FFFFFF" w:fill="auto"/>
      </w:tcPr>
    </w:tblStylePr>
    <w:tblStylePr w:type="lastRow">
      <w:rPr>
        <w:b/>
        <w:color w:val="404040"/>
      </w:rPr>
      <w:tblPr/>
      <w:tcPr>
        <w:tcBorders>
          <w:top w:val="single" w:color="9ABB59" w:themeColor="accent3" w:themeTint="FE"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customStyle="1">
    <w:name w:val="Grid Table 2 Accent 4"/>
    <w:basedOn w:val="Tabelanormal"/>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single" w:color="B2A1C6" w:themeColor="accent4" w:themeTint="9A" w:sz="12" w:space="0"/>
          <w:right w:val="none" w:color="000000" w:sz="4" w:space="0"/>
        </w:tcBorders>
        <w:shd w:val="clear" w:color="FFFFFF" w:fill="auto"/>
      </w:tcPr>
    </w:tblStylePr>
    <w:tblStylePr w:type="lastRow">
      <w:rPr>
        <w:b/>
        <w:color w:val="404040"/>
      </w:rPr>
      <w:tblPr/>
      <w:tcPr>
        <w:tcBorders>
          <w:top w:val="single" w:color="B2A1C6" w:themeColor="accent4" w:themeTint="9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customStyle="1">
    <w:name w:val="Grid Table 2 Accent 5"/>
    <w:basedOn w:val="Tabelanormal"/>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customStyle="1">
    <w:name w:val="Grid Table 2 Accent 6"/>
    <w:basedOn w:val="Tabelanormal"/>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customStyle="1">
    <w:name w:val="Grid Table 3 Accent 1"/>
    <w:basedOn w:val="Tabelanormal"/>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customStyle="1">
    <w:name w:val="Grid Table 3 Accent 2"/>
    <w:basedOn w:val="Tabelanormal"/>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customStyle="1">
    <w:name w:val="Grid Table 3 Accent 3"/>
    <w:basedOn w:val="Tabelanormal"/>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customStyle="1">
    <w:name w:val="Grid Table 3 Accent 4"/>
    <w:basedOn w:val="Tabelanormal"/>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customStyle="1">
    <w:name w:val="Grid Table 3 Accent 5"/>
    <w:basedOn w:val="Tabelanormal"/>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customStyle="1">
    <w:name w:val="Grid Table 3 Accent 6"/>
    <w:basedOn w:val="Tabelanormal"/>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customStyle="1">
    <w:name w:val="Grid Table 4 Accent 1"/>
    <w:basedOn w:val="Tabelanormal"/>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shd w:val="clear" w:color="5D8AC2" w:themeColor="accent1" w:themeTint="EA" w:fill="5D8AC2" w:themeFill="accent1" w:themeFillTint="EA"/>
      </w:tcPr>
    </w:tblStylePr>
    <w:tblStylePr w:type="lastRow">
      <w:rPr>
        <w:b/>
        <w:color w:val="404040"/>
      </w:rPr>
      <w:tblPr/>
      <w:tcPr>
        <w:tcBorders>
          <w:top w:val="single" w:color="5D8A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customStyle="1">
    <w:name w:val="Grid Table 4 Accent 2"/>
    <w:basedOn w:val="Tabelanormal"/>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rFonts w:ascii="Arial" w:hAnsi="Arial"/>
        <w:b/>
        <w:color w:val="FFFFFF"/>
        <w:sz w:val="22"/>
      </w:rPr>
      <w:tblPr/>
      <w:tcPr>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shd w:val="clear" w:color="D99695" w:themeColor="accent2" w:themeTint="97" w:fill="D99695" w:themeFill="accent2" w:themeFillTint="97"/>
      </w:tcPr>
    </w:tblStylePr>
    <w:tblStylePr w:type="lastRow">
      <w:rPr>
        <w:b/>
        <w:color w:val="404040"/>
      </w:rPr>
      <w:tblPr/>
      <w:tcPr>
        <w:tcBorders>
          <w:top w:val="single" w:color="D996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customStyle="1">
    <w:name w:val="Grid Table 4 Accent 3"/>
    <w:basedOn w:val="Tabelanormal"/>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shd w:val="clear" w:color="9ABB59" w:themeColor="accent3" w:themeTint="FE" w:fill="9ABB59" w:themeFill="accent3" w:themeFillTint="FE"/>
      </w:tcPr>
    </w:tblStylePr>
    <w:tblStylePr w:type="lastRow">
      <w:rPr>
        <w:b/>
        <w:color w:val="404040"/>
      </w:rPr>
      <w:tblPr/>
      <w:tcPr>
        <w:tcBorders>
          <w:top w:val="single" w:color="9A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customStyle="1">
    <w:name w:val="Grid Table 4 Accent 4"/>
    <w:basedOn w:val="Tabelanormal"/>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customStyle="1">
    <w:name w:val="Grid Table 4 Accent 5"/>
    <w:basedOn w:val="Tabelanormal"/>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customStyle="1">
    <w:name w:val="Grid Table 4 Accent 6"/>
    <w:basedOn w:val="Tabelanormal"/>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1" w:customStyle="1">
    <w:name w:val="Grid Table 5 Dark Accent 1"/>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customStyle="1">
    <w:name w:val="Grid Table 5 Dark Accent 2"/>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customStyle="1">
    <w:name w:val="Grid Table 5 Dark Accent 3"/>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4" w:customStyle="1">
    <w:name w:val="Grid Table 5 Dark Accent 4"/>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customStyle="1">
    <w:name w:val="Grid Table 5 Dark Accent 5"/>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customStyle="1">
    <w:name w:val="Grid Table 5 Dark Accent 6"/>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customStyle="1">
    <w:name w:val="Grid Table 6 Colorful Accent 1"/>
    <w:basedOn w:val="Tabelanormal"/>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rPr>
      <w:tblPr/>
      <w:tcPr>
        <w:tcBorders>
          <w:bottom w:val="single" w:color="A6BFDD" w:themeColor="accent1" w:themeTint="80" w:sz="12" w:space="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customStyle="1">
    <w:name w:val="Grid Table 6 Colorful Accent 2"/>
    <w:basedOn w:val="Tabelanormal"/>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rPr>
      <w:tblPr/>
      <w:tcPr>
        <w:tcBorders>
          <w:bottom w:val="single" w:color="D99695" w:themeColor="accent2" w:themeTint="97" w:sz="12" w:space="0"/>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customStyle="1">
    <w:name w:val="Grid Table 6 Colorful Accent 3"/>
    <w:basedOn w:val="Tabelanormal"/>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rPr>
      <w:tblPr/>
      <w:tcPr>
        <w:tcBorders>
          <w:bottom w:val="single" w:color="9ABB59" w:themeColor="accent3" w:themeTint="FE" w:sz="12" w:space="0"/>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customStyle="1">
    <w:name w:val="Grid Table 6 Colorful Accent 4"/>
    <w:basedOn w:val="Tabelanormal"/>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rPr>
      <w:tblPr/>
      <w:tcPr>
        <w:tcBorders>
          <w:bottom w:val="single" w:color="B2A1C6" w:themeColor="accent4" w:themeTint="9A" w:sz="12" w:space="0"/>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customStyle="1">
    <w:name w:val="Grid Table 6 Colorful Accent 5"/>
    <w:basedOn w:val="Tabelanormal"/>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customStyle="1">
    <w:name w:val="Grid Table 6 Colorful Accent 6"/>
    <w:basedOn w:val="Tabelanormal"/>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bl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customStyle="1">
    <w:name w:val="Grid Table 7 Colorful Accent 1"/>
    <w:basedOn w:val="Tabelanormal"/>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Tint="80" w:themeShade="95"/>
        <w:sz w:val="22"/>
      </w:rPr>
      <w:tblPr/>
      <w:tcPr>
        <w:tcBorders>
          <w:top w:val="none" w:color="000000" w:sz="4" w:space="0"/>
          <w:left w:val="none" w:color="000000" w:sz="4" w:space="0"/>
          <w:bottom w:val="single" w:color="A6BFDD" w:themeColor="accent1" w:themeTint="80" w:sz="4" w:space="0"/>
          <w:right w:val="none" w:color="000000" w:sz="4" w:space="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color="A6BFDD" w:themeColor="accent1" w:themeTint="8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color="000000" w:sz="4" w:space="0"/>
          <w:left w:val="none" w:color="000000" w:sz="4" w:space="0"/>
          <w:bottom w:val="none" w:color="000000" w:sz="4" w:space="0"/>
          <w:right w:val="single" w:color="A6BFDD" w:themeColor="accent1" w:themeTint="80" w:sz="4" w:space="0"/>
        </w:tcBorders>
        <w:shd w:val="clear" w:color="FFFFFF" w:fill="auto"/>
      </w:tcPr>
    </w:tblStylePr>
    <w:tblStylePr w:type="lastCol">
      <w:rPr>
        <w:rFonts w:ascii="Arial" w:hAnsi="Arial"/>
        <w:i/>
        <w:color w:val="A6BFDD" w:themeColor="accent1" w:themeTint="80" w:themeShade="95"/>
        <w:sz w:val="22"/>
      </w:rPr>
      <w:tblPr/>
      <w:tcPr>
        <w:tcBorders>
          <w:top w:val="none" w:color="000000" w:sz="4" w:space="0"/>
          <w:left w:val="single" w:color="A6BFDD" w:themeColor="accent1" w:themeTint="80" w:sz="4" w:space="0"/>
          <w:bottom w:val="none" w:color="000000" w:sz="4" w:space="0"/>
          <w:right w:val="none" w:color="000000" w:sz="4" w:space="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customStyle="1">
    <w:name w:val="Grid Table 7 Colorful Accent 2"/>
    <w:basedOn w:val="Tabelanormal"/>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rFonts w:ascii="Arial" w:hAnsi="Arial"/>
        <w:b/>
        <w:color w:val="D99695" w:themeColor="accent2" w:themeTint="97" w:themeShade="95"/>
        <w:sz w:val="22"/>
      </w:rPr>
      <w:tbl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lastCol">
      <w:rPr>
        <w:rFonts w:ascii="Arial" w:hAnsi="Arial"/>
        <w:i/>
        <w:color w:val="D99695" w:themeColor="accent2" w:themeTint="97" w:themeShade="95"/>
        <w:sz w:val="22"/>
      </w:rPr>
      <w:tbl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customStyle="1">
    <w:name w:val="Grid Table 7 Colorful Accent 3"/>
    <w:basedOn w:val="Tabelanormal"/>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rFonts w:ascii="Arial" w:hAnsi="Arial"/>
        <w:b/>
        <w:color w:val="9ABB59" w:themeColor="accent3" w:themeTint="FE" w:themeShade="95"/>
        <w:sz w:val="22"/>
      </w:rPr>
      <w:tblPr/>
      <w:tcPr>
        <w:tcBorders>
          <w:top w:val="none" w:color="000000" w:sz="4" w:space="0"/>
          <w:left w:val="none" w:color="000000" w:sz="4" w:space="0"/>
          <w:bottom w:val="single" w:color="9ABB59" w:themeColor="accent3" w:themeTint="FE" w:sz="4" w:space="0"/>
          <w:right w:val="none" w:color="000000" w:sz="4" w:space="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color="9ABB59" w:themeColor="accent3" w:themeTint="FE"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color="000000" w:sz="4" w:space="0"/>
          <w:left w:val="none" w:color="000000" w:sz="4" w:space="0"/>
          <w:bottom w:val="none" w:color="000000" w:sz="4" w:space="0"/>
          <w:right w:val="single" w:color="9ABB59" w:themeColor="accent3" w:themeTint="FE" w:sz="4" w:space="0"/>
        </w:tcBorders>
        <w:shd w:val="clear" w:color="FFFFFF" w:fill="auto"/>
      </w:tcPr>
    </w:tblStylePr>
    <w:tblStylePr w:type="lastCol">
      <w:rPr>
        <w:rFonts w:ascii="Arial" w:hAnsi="Arial"/>
        <w:i/>
        <w:color w:val="9ABB59" w:themeColor="accent3" w:themeTint="FE" w:themeShade="95"/>
        <w:sz w:val="22"/>
      </w:rPr>
      <w:tblPr/>
      <w:tcPr>
        <w:tcBorders>
          <w:top w:val="none" w:color="000000" w:sz="4" w:space="0"/>
          <w:left w:val="single" w:color="9ABB59" w:themeColor="accent3" w:themeTint="FE" w:sz="4" w:space="0"/>
          <w:bottom w:val="none" w:color="000000" w:sz="4" w:space="0"/>
          <w:right w:val="none" w:color="000000" w:sz="4" w:space="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customStyle="1">
    <w:name w:val="Grid Table 7 Colorful Accent 4"/>
    <w:basedOn w:val="Tabelanormal"/>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Tint="9A" w:themeShade="95"/>
        <w:sz w:val="22"/>
      </w:rPr>
      <w:tbl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lastCol">
      <w:rPr>
        <w:rFonts w:ascii="Arial" w:hAnsi="Arial"/>
        <w:i/>
        <w:color w:val="B2A1C6" w:themeColor="accent4" w:themeTint="9A" w:themeShade="95"/>
        <w:sz w:val="22"/>
      </w:rPr>
      <w:tbl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customStyle="1">
    <w:name w:val="Grid Table 7 Colorful Accent 5"/>
    <w:basedOn w:val="Tabelanormal"/>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one" w:color="000000" w:sz="4" w:space="0"/>
          <w:left w:val="none" w:color="000000" w:sz="4" w:space="0"/>
          <w:bottom w:val="single" w:color="99D0DE" w:themeColor="accent5" w:themeTint="90" w:sz="4" w:space="0"/>
          <w:right w:val="none" w:color="000000" w:sz="4" w:space="0"/>
        </w:tcBorders>
        <w:shd w:val="clear" w:color="FFFFFF" w:themeColor="light1"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color="000000" w:sz="4" w:space="0"/>
          <w:left w:val="none" w:color="000000" w:sz="4" w:space="0"/>
          <w:bottom w:val="none" w:color="000000" w:sz="4" w:space="0"/>
          <w:right w:val="single" w:color="99D0DE" w:themeColor="accent5" w:themeTint="90" w:sz="4" w:space="0"/>
        </w:tcBorders>
        <w:shd w:val="clear" w:color="FFFFFF" w:fill="auto"/>
      </w:tcPr>
    </w:tblStylePr>
    <w:tblStylePr w:type="lastCol">
      <w:rPr>
        <w:rFonts w:ascii="Arial" w:hAnsi="Arial"/>
        <w:i/>
        <w:color w:val="266779" w:themeColor="accent5" w:themeShade="95"/>
        <w:sz w:val="22"/>
      </w:rPr>
      <w:tblPr/>
      <w:tcPr>
        <w:tcBorders>
          <w:top w:val="none" w:color="000000" w:sz="4" w:space="0"/>
          <w:left w:val="single" w:color="99D0DE" w:themeColor="accent5" w:themeTint="90" w:sz="4" w:space="0"/>
          <w:bottom w:val="none" w:color="000000" w:sz="4" w:space="0"/>
          <w:right w:val="none" w:color="000000" w:sz="4" w:space="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customStyle="1">
    <w:name w:val="Grid Table 7 Colorful Accent 6"/>
    <w:basedOn w:val="Tabelanormal"/>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one" w:color="000000" w:sz="4" w:space="0"/>
          <w:left w:val="none" w:color="000000" w:sz="4" w:space="0"/>
          <w:bottom w:val="single" w:color="FAC396" w:themeColor="accent6" w:themeTint="90" w:sz="4" w:space="0"/>
          <w:right w:val="none" w:color="000000" w:sz="4" w:space="0"/>
        </w:tcBorders>
        <w:shd w:val="clear" w:color="FFFFFF" w:themeColor="light1"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color="000000" w:sz="4" w:space="0"/>
          <w:left w:val="none" w:color="000000" w:sz="4" w:space="0"/>
          <w:bottom w:val="none" w:color="000000" w:sz="4" w:space="0"/>
          <w:right w:val="single" w:color="FAC396" w:themeColor="accent6" w:themeTint="90" w:sz="4" w:space="0"/>
        </w:tcBorders>
        <w:shd w:val="clear" w:color="FFFFFF" w:fill="auto"/>
      </w:tcPr>
    </w:tblStylePr>
    <w:tblStylePr w:type="lastCol">
      <w:rPr>
        <w:rFonts w:ascii="Arial" w:hAnsi="Arial"/>
        <w:i/>
        <w:color w:val="B15407" w:themeColor="accent6" w:themeShade="95"/>
        <w:sz w:val="22"/>
      </w:rPr>
      <w:tblPr/>
      <w:tcPr>
        <w:tcBorders>
          <w:top w:val="none" w:color="000000" w:sz="4" w:space="0"/>
          <w:left w:val="single" w:color="FAC396" w:themeColor="accent6" w:themeTint="90" w:sz="4" w:space="0"/>
          <w:bottom w:val="none" w:color="000000" w:sz="4" w:space="0"/>
          <w:right w:val="none" w:color="000000" w:sz="4" w:space="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customStyle="1">
    <w:name w:val="List Table 1 Light Accent 1"/>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customStyle="1">
    <w:name w:val="List Table 1 Light Accent 2"/>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customStyle="1">
    <w:name w:val="List Table 1 Light Accent 3"/>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customStyle="1">
    <w:name w:val="List Table 1 Light Accent 4"/>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customStyle="1">
    <w:name w:val="List Table 1 Light Accent 5"/>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customStyle="1">
    <w:name w:val="List Table 1 Light Accent 6"/>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customStyle="1">
    <w:name w:val="List Table 2 Accent 1"/>
    <w:basedOn w:val="Tabelanormal"/>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Row">
      <w:rPr>
        <w:rFonts w:ascii="Arial" w:hAnsi="Arial"/>
        <w:b/>
        <w:color w:val="404040"/>
        <w:sz w:val="22"/>
      </w:rPr>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customStyle="1">
    <w:name w:val="List Table 2 Accent 2"/>
    <w:basedOn w:val="Tabelanormal"/>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rFonts w:ascii="Arial" w:hAnsi="Arial"/>
        <w:b/>
        <w:color w:val="404040"/>
        <w:sz w:val="22"/>
      </w:rPr>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Row">
      <w:rPr>
        <w:rFonts w:ascii="Arial" w:hAnsi="Arial"/>
        <w:b/>
        <w:color w:val="404040"/>
        <w:sz w:val="22"/>
      </w:rPr>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customStyle="1">
    <w:name w:val="List Table 2 Accent 3"/>
    <w:basedOn w:val="Tabelanormal"/>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Row">
      <w:rPr>
        <w:rFonts w:ascii="Arial" w:hAnsi="Arial"/>
        <w:b/>
        <w:color w:val="404040"/>
        <w:sz w:val="22"/>
      </w:rPr>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customStyle="1">
    <w:name w:val="List Table 2 Accent 4"/>
    <w:basedOn w:val="Tabelanormal"/>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Row">
      <w:rPr>
        <w:rFonts w:ascii="Arial" w:hAnsi="Arial"/>
        <w:b/>
        <w:color w:val="404040"/>
        <w:sz w:val="22"/>
      </w:rPr>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customStyle="1">
    <w:name w:val="List Table 2 Accent 5"/>
    <w:basedOn w:val="Tabelanormal"/>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Row">
      <w:rPr>
        <w:rFonts w:ascii="Arial" w:hAnsi="Arial"/>
        <w:b/>
        <w:color w:val="404040"/>
        <w:sz w:val="22"/>
      </w:rPr>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customStyle="1">
    <w:name w:val="List Table 2 Accent 6"/>
    <w:basedOn w:val="Tabelanormal"/>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Row">
      <w:rPr>
        <w:rFonts w:ascii="Arial" w:hAnsi="Arial"/>
        <w:b/>
        <w:color w:val="404040"/>
        <w:sz w:val="22"/>
      </w:rPr>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customStyle="1">
    <w:name w:val="List Table 3 Accent 1"/>
    <w:basedOn w:val="Tabelanormal"/>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style>
  <w:style w:type="table" w:styleId="ListTable3-Accent2" w:customStyle="1">
    <w:name w:val="List Table 3 Accent 2"/>
    <w:basedOn w:val="Tabelanormal"/>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D99695" w:themeColor="accent2" w:themeTint="97" w:sz="4" w:space="0"/>
          <w:right w:val="single" w:color="D99695" w:themeColor="accent2" w:themeTint="97" w:sz="4" w:space="0"/>
        </w:tcBorders>
      </w:tcPr>
    </w:tblStylePr>
    <w:tblStylePr w:type="band1Horz">
      <w:rPr>
        <w:rFonts w:ascii="Arial" w:hAnsi="Arial"/>
        <w:color w:val="404040"/>
        <w:sz w:val="22"/>
      </w:rPr>
      <w:tblPr/>
      <w:tcPr>
        <w:tcBorders>
          <w:top w:val="single" w:color="D99695" w:themeColor="accent2" w:themeTint="97" w:sz="4" w:space="0"/>
          <w:bottom w:val="single" w:color="D99695" w:themeColor="accent2" w:themeTint="97" w:sz="4" w:space="0"/>
        </w:tcBorders>
      </w:tcPr>
    </w:tblStylePr>
  </w:style>
  <w:style w:type="table" w:styleId="ListTable3-Accent3" w:customStyle="1">
    <w:name w:val="List Table 3 Accent 3"/>
    <w:basedOn w:val="Tabelanormal"/>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D69B" w:themeColor="accent3" w:themeTint="98" w:sz="4" w:space="0"/>
          <w:right w:val="single" w:color="C3D69B" w:themeColor="accent3" w:themeTint="98" w:sz="4" w:space="0"/>
        </w:tcBorders>
      </w:tcPr>
    </w:tblStylePr>
    <w:tblStylePr w:type="band1Horz">
      <w:rPr>
        <w:rFonts w:ascii="Arial" w:hAnsi="Arial"/>
        <w:color w:val="404040"/>
        <w:sz w:val="22"/>
      </w:rPr>
      <w:tblPr/>
      <w:tcPr>
        <w:tcBorders>
          <w:top w:val="single" w:color="C3D69B" w:themeColor="accent3" w:themeTint="98" w:sz="4" w:space="0"/>
          <w:bottom w:val="single" w:color="C3D69B" w:themeColor="accent3" w:themeTint="98" w:sz="4" w:space="0"/>
        </w:tcBorders>
      </w:tcPr>
    </w:tblStylePr>
  </w:style>
  <w:style w:type="table" w:styleId="ListTable3-Accent4" w:customStyle="1">
    <w:name w:val="List Table 3 Accent 4"/>
    <w:basedOn w:val="Tabelanormal"/>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style>
  <w:style w:type="table" w:styleId="ListTable3-Accent5" w:customStyle="1">
    <w:name w:val="List Table 3 Accent 5"/>
    <w:basedOn w:val="Tabelanormal"/>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style>
  <w:style w:type="table" w:styleId="ListTable3-Accent6" w:customStyle="1">
    <w:name w:val="List Table 3 Accent 6"/>
    <w:basedOn w:val="Tabelanormal"/>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customStyle="1">
    <w:name w:val="List Table 4 Accent 1"/>
    <w:basedOn w:val="Tabelanormal"/>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customStyle="1">
    <w:name w:val="List Table 4 Accent 2"/>
    <w:basedOn w:val="Tabelanormal"/>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customStyle="1">
    <w:name w:val="List Table 4 Accent 3"/>
    <w:basedOn w:val="Tabelanormal"/>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customStyle="1">
    <w:name w:val="List Table 4 Accent 4"/>
    <w:basedOn w:val="Tabelanormal"/>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customStyle="1">
    <w:name w:val="List Table 4 Accent 5"/>
    <w:basedOn w:val="Tabelanormal"/>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customStyle="1">
    <w:name w:val="List Table 4 Accent 6"/>
    <w:basedOn w:val="Tabelanormal"/>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F7F7F" w:themeColor="text1" w:themeTint="80"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style>
  <w:style w:type="table" w:styleId="ListTable5Dark-Accent1" w:customStyle="1">
    <w:name w:val="List Table 5 Dark Accent 1"/>
    <w:basedOn w:val="Tabelanormal"/>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style>
  <w:style w:type="table" w:styleId="ListTable5Dark-Accent2" w:customStyle="1">
    <w:name w:val="List Table 5 Dark Accent 2"/>
    <w:basedOn w:val="Tabelanormal"/>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color="D99695" w:themeColor="accent2" w:themeTint="97" w:sz="32" w:space="0"/>
          <w:bottom w:val="single" w:color="FFFFFF" w:themeColor="light1" w:sz="12" w:space="0"/>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D99695" w:themeColor="accent2" w:themeTint="97" w:sz="32" w:space="0"/>
          <w:right w:val="single" w:color="FFFFFF" w:themeColor="light1" w:sz="4" w:space="0"/>
        </w:tcBorders>
      </w:tcPr>
    </w:tblStylePr>
    <w:tblStylePr w:type="lastCol">
      <w:tblPr/>
      <w:tcPr>
        <w:tcBorders>
          <w:left w:val="single" w:color="FFFFFF" w:themeColor="light1" w:sz="4" w:space="0"/>
          <w:right w:val="single" w:color="D996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695" w:themeColor="accent2" w:themeTint="97"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themeColor="accent2" w:themeTint="97" w:fill="D99695" w:themeFill="accent2" w:themeFillTint="97"/>
      </w:tcPr>
    </w:tblStylePr>
  </w:style>
  <w:style w:type="table" w:styleId="ListTable5Dark-Accent3" w:customStyle="1">
    <w:name w:val="List Table 5 Dark Accent 3"/>
    <w:basedOn w:val="Tabelanormal"/>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color="C3D69B" w:themeColor="accent3" w:themeTint="98" w:sz="32" w:space="0"/>
          <w:bottom w:val="single" w:color="FFFFFF" w:themeColor="light1" w:sz="12" w:space="0"/>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D69B" w:themeColor="accent3" w:themeTint="98" w:sz="32" w:space="0"/>
          <w:right w:val="single" w:color="FFFFFF" w:themeColor="light1" w:sz="4" w:space="0"/>
        </w:tcBorders>
      </w:tcPr>
    </w:tblStylePr>
    <w:tblStylePr w:type="lastCol">
      <w:tblPr/>
      <w:tcPr>
        <w:tcBorders>
          <w:left w:val="single" w:color="FFFFFF" w:themeColor="light1" w:sz="4" w:space="0"/>
          <w:right w:val="single" w:color="C3D69B"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B" w:themeColor="accent3" w:themeTint="98"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themeColor="accent3" w:themeTint="98" w:fill="C3D69B" w:themeFill="accent3" w:themeFillTint="98"/>
      </w:tcPr>
    </w:tblStylePr>
  </w:style>
  <w:style w:type="table" w:styleId="ListTable5Dark-Accent4" w:customStyle="1">
    <w:name w:val="List Table 5 Dark Accent 4"/>
    <w:basedOn w:val="Tabelanormal"/>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styleId="ListTable5Dark-Accent5" w:customStyle="1">
    <w:name w:val="List Table 5 Dark Accent 5"/>
    <w:basedOn w:val="Tabelanormal"/>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styleId="ListTable5Dark-Accent6" w:customStyle="1">
    <w:name w:val="List Table 5 Dark Accent 6"/>
    <w:basedOn w:val="Tabelanormal"/>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customStyle="1">
    <w:name w:val="List Table 6 Colorful Accent 1"/>
    <w:basedOn w:val="Tabelanormal"/>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customStyle="1">
    <w:name w:val="List Table 6 Colorful Accent 2"/>
    <w:basedOn w:val="Tabelanormal"/>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val="D99695" w:themeColor="accent2" w:themeTint="97" w:themeShade="95"/>
      </w:rPr>
      <w:tblPr/>
      <w:tcPr>
        <w:tcBorders>
          <w:bottom w:val="single" w:color="D99695" w:themeColor="accent2" w:themeTint="97" w:sz="4" w:space="0"/>
        </w:tcBorders>
      </w:tcPr>
    </w:tblStylePr>
    <w:tblStylePr w:type="lastRow">
      <w:rPr>
        <w:b/>
        <w:color w:val="D99695" w:themeColor="accent2" w:themeTint="97" w:themeShade="95"/>
      </w:rPr>
      <w:tblPr/>
      <w:tcPr>
        <w:tcBorders>
          <w:top w:val="single" w:color="D99695" w:themeColor="accent2" w:themeTint="97" w:sz="4" w:space="0"/>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customStyle="1">
    <w:name w:val="List Table 6 Colorful Accent 3"/>
    <w:basedOn w:val="Tabelanormal"/>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val="C3D69B" w:themeColor="accent3" w:themeTint="98" w:themeShade="95"/>
      </w:rPr>
      <w:tblPr/>
      <w:tcPr>
        <w:tcBorders>
          <w:bottom w:val="single" w:color="C3D69B" w:themeColor="accent3" w:themeTint="98" w:sz="4" w:space="0"/>
        </w:tcBorders>
      </w:tcPr>
    </w:tblStylePr>
    <w:tblStylePr w:type="lastRow">
      <w:rPr>
        <w:b/>
        <w:color w:val="C3D69B" w:themeColor="accent3" w:themeTint="98" w:themeShade="95"/>
      </w:rPr>
      <w:tblPr/>
      <w:tcPr>
        <w:tcBorders>
          <w:top w:val="single" w:color="C3D69B" w:themeColor="accent3" w:themeTint="98" w:sz="4" w:space="0"/>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customStyle="1">
    <w:name w:val="List Table 6 Colorful Accent 4"/>
    <w:basedOn w:val="Tabelanormal"/>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val="B2A1C6" w:themeColor="accent4" w:themeTint="9A" w:themeShade="95"/>
      </w:rPr>
      <w:tblPr/>
      <w:tcPr>
        <w:tcBorders>
          <w:bottom w:val="single" w:color="B2A1C6" w:themeColor="accent4" w:themeTint="9A" w:sz="4" w:space="0"/>
        </w:tcBorders>
      </w:tcPr>
    </w:tblStylePr>
    <w:tblStylePr w:type="lastRow">
      <w:rPr>
        <w:b/>
        <w:color w:val="B2A1C6" w:themeColor="accent4" w:themeTint="9A" w:themeShade="95"/>
      </w:rPr>
      <w:tblPr/>
      <w:tcPr>
        <w:tcBorders>
          <w:top w:val="single" w:color="B2A1C6" w:themeColor="accent4" w:themeTint="9A" w:sz="4" w:space="0"/>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customStyle="1">
    <w:name w:val="List Table 6 Colorful Accent 5"/>
    <w:basedOn w:val="Tabelanormal"/>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val="92CCDC" w:themeColor="accent5" w:themeTint="9A" w:themeShade="95"/>
      </w:rPr>
      <w:tblPr/>
      <w:tcPr>
        <w:tcBorders>
          <w:bottom w:val="single" w:color="92CCDC" w:themeColor="accent5" w:themeTint="9A" w:sz="4" w:space="0"/>
        </w:tcBorders>
      </w:tcPr>
    </w:tblStylePr>
    <w:tblStylePr w:type="lastRow">
      <w:rPr>
        <w:b/>
        <w:color w:val="92CCDC" w:themeColor="accent5" w:themeTint="9A" w:themeShade="95"/>
      </w:rPr>
      <w:tblPr/>
      <w:tcPr>
        <w:tcBorders>
          <w:top w:val="single" w:color="92CCDC" w:themeColor="accent5" w:themeTint="9A" w:sz="4" w:space="0"/>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customStyle="1">
    <w:name w:val="List Table 6 Colorful Accent 6"/>
    <w:basedOn w:val="Tabelanormal"/>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val="FAC090" w:themeColor="accent6" w:themeTint="98" w:themeShade="95"/>
      </w:rPr>
      <w:tblPr/>
      <w:tcPr>
        <w:tcBorders>
          <w:bottom w:val="single" w:color="FAC090" w:themeColor="accent6" w:themeTint="98" w:sz="4" w:space="0"/>
        </w:tcBorders>
      </w:tcPr>
    </w:tblStylePr>
    <w:tblStylePr w:type="lastRow">
      <w:rPr>
        <w:b/>
        <w:color w:val="FAC090" w:themeColor="accent6" w:themeTint="98" w:themeShade="95"/>
      </w:rPr>
      <w:tblPr/>
      <w:tcPr>
        <w:tcBorders>
          <w:top w:val="single" w:color="FAC090" w:themeColor="accent6" w:themeTint="98" w:sz="4" w:space="0"/>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bl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customStyle="1">
    <w:name w:val="List Table 7 Colorful Accent 1"/>
    <w:basedOn w:val="Tabelanormal"/>
    <w:uiPriority w:val="99"/>
    <w:pPr>
      <w:spacing w:after="0" w:line="240" w:lineRule="auto"/>
    </w:pPr>
    <w:tblPr>
      <w:tblStyleRowBandSize w:val="1"/>
      <w:tblStyleColBandSize w:val="1"/>
      <w:tblBorders>
        <w:right w:val="single" w:color="4F81BD" w:themeColor="accent1" w:sz="4" w:space="0"/>
      </w:tblBorders>
    </w:tblPr>
    <w:tblStylePr w:type="firstRow">
      <w:rPr>
        <w:rFonts w:ascii="Arial" w:hAnsi="Arial"/>
        <w:i/>
        <w:color w:val="2A4A71"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themeColor="light1" w:fill="FFFFFF" w:themeFill="light1"/>
      </w:tcPr>
    </w:tblStylePr>
    <w:tblStylePr w:type="lastRow">
      <w:rPr>
        <w:rFonts w:ascii="Arial" w:hAnsi="Arial"/>
        <w:i/>
        <w:color w:val="2A4A71"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rFonts w:ascii="Arial" w:hAnsi="Arial"/>
        <w:i/>
        <w:color w:val="2A4A71"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customStyle="1">
    <w:name w:val="List Table 7 Colorful Accent 2"/>
    <w:basedOn w:val="Tabelanormal"/>
    <w:uiPriority w:val="99"/>
    <w:pPr>
      <w:spacing w:after="0" w:line="240" w:lineRule="auto"/>
    </w:pPr>
    <w:tblPr>
      <w:tblStyleRowBandSize w:val="1"/>
      <w:tblStyleColBandSize w:val="1"/>
      <w:tblBorders>
        <w:right w:val="single" w:color="D99695" w:themeColor="accent2" w:themeTint="97" w:sz="4" w:space="0"/>
      </w:tblBorders>
    </w:tblPr>
    <w:tblStylePr w:type="firstRow">
      <w:rPr>
        <w:rFonts w:ascii="Arial" w:hAnsi="Arial"/>
        <w:i/>
        <w:color w:val="D99695" w:themeColor="accent2" w:themeTint="97" w:themeShade="95"/>
        <w:sz w:val="22"/>
      </w:rPr>
      <w:tbl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lastCol">
      <w:rPr>
        <w:rFonts w:ascii="Arial" w:hAnsi="Arial"/>
        <w:i/>
        <w:color w:val="D99695" w:themeColor="accent2" w:themeTint="97" w:themeShade="95"/>
        <w:sz w:val="22"/>
      </w:rPr>
      <w:tbl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customStyle="1">
    <w:name w:val="List Table 7 Colorful Accent 3"/>
    <w:basedOn w:val="Tabelanormal"/>
    <w:uiPriority w:val="99"/>
    <w:pPr>
      <w:spacing w:after="0" w:line="240" w:lineRule="auto"/>
    </w:pPr>
    <w:tblPr>
      <w:tblStyleRowBandSize w:val="1"/>
      <w:tblStyleColBandSize w:val="1"/>
      <w:tblBorders>
        <w:right w:val="single" w:color="C3D69B" w:themeColor="accent3" w:themeTint="98" w:sz="4" w:space="0"/>
      </w:tblBorders>
    </w:tblPr>
    <w:tblStylePr w:type="firstRow">
      <w:rPr>
        <w:rFonts w:ascii="Arial" w:hAnsi="Arial"/>
        <w:i/>
        <w:color w:val="C3D69B" w:themeColor="accent3" w:themeTint="98" w:themeShade="95"/>
        <w:sz w:val="22"/>
      </w:rPr>
      <w:tblPr/>
      <w:tcPr>
        <w:tcBorders>
          <w:top w:val="none" w:color="000000" w:sz="4" w:space="0"/>
          <w:left w:val="none" w:color="000000" w:sz="4" w:space="0"/>
          <w:bottom w:val="single" w:color="C3D69B" w:themeColor="accent3" w:themeTint="98" w:sz="4" w:space="0"/>
          <w:right w:val="none" w:color="000000" w:sz="4" w:space="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color="C3D69B" w:themeColor="accent3" w:themeTint="98"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color="000000" w:sz="4" w:space="0"/>
          <w:left w:val="none" w:color="000000" w:sz="4" w:space="0"/>
          <w:bottom w:val="none" w:color="000000" w:sz="4" w:space="0"/>
          <w:right w:val="single" w:color="C3D69B" w:themeColor="accent3" w:themeTint="98" w:sz="4" w:space="0"/>
        </w:tcBorders>
        <w:shd w:val="clear" w:color="FFFFFF" w:fill="auto"/>
      </w:tcPr>
    </w:tblStylePr>
    <w:tblStylePr w:type="lastCol">
      <w:rPr>
        <w:rFonts w:ascii="Arial" w:hAnsi="Arial"/>
        <w:i/>
        <w:color w:val="C3D69B" w:themeColor="accent3" w:themeTint="98" w:themeShade="95"/>
        <w:sz w:val="22"/>
      </w:rPr>
      <w:tblPr/>
      <w:tcPr>
        <w:tcBorders>
          <w:top w:val="none" w:color="000000" w:sz="4" w:space="0"/>
          <w:left w:val="single" w:color="C3D69B" w:themeColor="accent3" w:themeTint="98" w:sz="4" w:space="0"/>
          <w:bottom w:val="none" w:color="000000" w:sz="4" w:space="0"/>
          <w:right w:val="none" w:color="000000" w:sz="4" w:space="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customStyle="1">
    <w:name w:val="List Table 7 Colorful Accent 4"/>
    <w:basedOn w:val="Tabelanormal"/>
    <w:uiPriority w:val="99"/>
    <w:pPr>
      <w:spacing w:after="0" w:line="240" w:lineRule="auto"/>
    </w:pPr>
    <w:tblPr>
      <w:tblStyleRowBandSize w:val="1"/>
      <w:tblStyleColBandSize w:val="1"/>
      <w:tblBorders>
        <w:right w:val="single" w:color="B2A1C6" w:themeColor="accent4" w:themeTint="9A" w:sz="4" w:space="0"/>
      </w:tblBorders>
    </w:tblPr>
    <w:tblStylePr w:type="firstRow">
      <w:rPr>
        <w:rFonts w:ascii="Arial" w:hAnsi="Arial"/>
        <w:i/>
        <w:color w:val="B2A1C6" w:themeColor="accent4" w:themeTint="9A" w:themeShade="95"/>
        <w:sz w:val="22"/>
      </w:rPr>
      <w:tbl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lastCol">
      <w:rPr>
        <w:rFonts w:ascii="Arial" w:hAnsi="Arial"/>
        <w:i/>
        <w:color w:val="B2A1C6" w:themeColor="accent4" w:themeTint="9A" w:themeShade="95"/>
        <w:sz w:val="22"/>
      </w:rPr>
      <w:tbl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customStyle="1">
    <w:name w:val="List Table 7 Colorful Accent 5"/>
    <w:basedOn w:val="Tabelanormal"/>
    <w:uiPriority w:val="99"/>
    <w:pPr>
      <w:spacing w:after="0" w:line="240" w:lineRule="auto"/>
    </w:pPr>
    <w:tblPr>
      <w:tblStyleRowBandSize w:val="1"/>
      <w:tblStyleColBandSize w:val="1"/>
      <w:tblBorders>
        <w:right w:val="single" w:color="92CCDC" w:themeColor="accent5" w:themeTint="9A" w:sz="4" w:space="0"/>
      </w:tblBorders>
    </w:tblPr>
    <w:tblStylePr w:type="firstRow">
      <w:rPr>
        <w:rFonts w:ascii="Arial" w:hAnsi="Arial"/>
        <w:i/>
        <w:color w:val="92CCDC" w:themeColor="accent5" w:themeTint="9A" w:themeShade="95"/>
        <w:sz w:val="22"/>
      </w:rPr>
      <w:tblPr/>
      <w:tcPr>
        <w:tcBorders>
          <w:top w:val="none" w:color="000000" w:sz="4" w:space="0"/>
          <w:left w:val="none" w:color="000000" w:sz="4" w:space="0"/>
          <w:bottom w:val="single" w:color="92CCDC" w:themeColor="accent5" w:themeTint="9A" w:sz="4" w:space="0"/>
          <w:right w:val="none" w:color="000000" w:sz="4" w:space="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color="92CCDC" w:themeColor="accent5" w:themeTint="9A"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color="000000" w:sz="4" w:space="0"/>
          <w:left w:val="none" w:color="000000" w:sz="4" w:space="0"/>
          <w:bottom w:val="none" w:color="000000" w:sz="4" w:space="0"/>
          <w:right w:val="single" w:color="92CCDC" w:themeColor="accent5" w:themeTint="9A" w:sz="4" w:space="0"/>
        </w:tcBorders>
        <w:shd w:val="clear" w:color="FFFFFF" w:fill="auto"/>
      </w:tcPr>
    </w:tblStylePr>
    <w:tblStylePr w:type="lastCol">
      <w:rPr>
        <w:rFonts w:ascii="Arial" w:hAnsi="Arial"/>
        <w:i/>
        <w:color w:val="92CCDC" w:themeColor="accent5" w:themeTint="9A" w:themeShade="95"/>
        <w:sz w:val="22"/>
      </w:rPr>
      <w:tblPr/>
      <w:tcPr>
        <w:tcBorders>
          <w:top w:val="none" w:color="000000" w:sz="4" w:space="0"/>
          <w:left w:val="single" w:color="92CCDC" w:themeColor="accent5" w:themeTint="9A" w:sz="4" w:space="0"/>
          <w:bottom w:val="none" w:color="000000" w:sz="4" w:space="0"/>
          <w:right w:val="none" w:color="000000" w:sz="4" w:space="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customStyle="1">
    <w:name w:val="List Table 7 Colorful Accent 6"/>
    <w:basedOn w:val="Tabelanormal"/>
    <w:uiPriority w:val="99"/>
    <w:pPr>
      <w:spacing w:after="0" w:line="240" w:lineRule="auto"/>
    </w:pPr>
    <w:tblPr>
      <w:tblStyleRowBandSize w:val="1"/>
      <w:tblStyleColBandSize w:val="1"/>
      <w:tblBorders>
        <w:right w:val="single" w:color="FAC090" w:themeColor="accent6" w:themeTint="98" w:sz="4" w:space="0"/>
      </w:tblBorders>
    </w:tblPr>
    <w:tblStylePr w:type="firstRow">
      <w:rPr>
        <w:rFonts w:ascii="Arial" w:hAnsi="Arial"/>
        <w:i/>
        <w:color w:val="FAC090" w:themeColor="accent6" w:themeTint="98" w:themeShade="95"/>
        <w:sz w:val="22"/>
      </w:rPr>
      <w:tblPr/>
      <w:tcPr>
        <w:tcBorders>
          <w:top w:val="none" w:color="000000" w:sz="4" w:space="0"/>
          <w:left w:val="none" w:color="000000" w:sz="4" w:space="0"/>
          <w:bottom w:val="single" w:color="FAC090" w:themeColor="accent6" w:themeTint="98" w:sz="4" w:space="0"/>
          <w:right w:val="none" w:color="000000" w:sz="4" w:space="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color="FAC090" w:themeColor="accent6" w:themeTint="98"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color="000000" w:sz="4" w:space="0"/>
          <w:left w:val="none" w:color="000000" w:sz="4" w:space="0"/>
          <w:bottom w:val="none" w:color="000000" w:sz="4" w:space="0"/>
          <w:right w:val="single" w:color="FAC090" w:themeColor="accent6" w:themeTint="98" w:sz="4" w:space="0"/>
        </w:tcBorders>
        <w:shd w:val="clear" w:color="FFFFFF" w:fill="auto"/>
      </w:tcPr>
    </w:tblStylePr>
    <w:tblStylePr w:type="lastCol">
      <w:rPr>
        <w:rFonts w:ascii="Arial" w:hAnsi="Arial"/>
        <w:i/>
        <w:color w:val="FAC090" w:themeColor="accent6" w:themeTint="98" w:themeShade="95"/>
        <w:sz w:val="22"/>
      </w:rPr>
      <w:tblPr/>
      <w:tcPr>
        <w:tcBorders>
          <w:top w:val="none" w:color="000000" w:sz="4" w:space="0"/>
          <w:left w:val="single" w:color="FAC090" w:themeColor="accent6" w:themeTint="98" w:sz="4" w:space="0"/>
          <w:bottom w:val="none" w:color="000000" w:sz="4" w:space="0"/>
          <w:right w:val="none" w:color="000000" w:sz="4" w:space="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ned-Accent" w:customStyle="1">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styleId="Lined-Accent1" w:customStyle="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styleId="Lined-Accent2" w:customStyle="1">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styleId="Lined-Accent3" w:customStyle="1">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styleId="Lined-Accent4" w:customStyle="1">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styleId="Lined-Accent5" w:customStyle="1">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styleId="Lined-Accent6" w:customStyle="1">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styleId="BorderedLined-Accent" w:customStyle="1">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styleId="BorderedLined-Accent1" w:customStyle="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styleId="BorderedLined-Accent2" w:customStyle="1">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styleId="BorderedLined-Accent3" w:customStyle="1">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styleId="BorderedLined-Accent4" w:customStyle="1">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styleId="BorderedLined-Accent5" w:customStyle="1">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styleId="BorderedLined-Accent6" w:customStyle="1">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styleId="Bordered" w:customStyle="1">
    <w:name w:val="Bordered"/>
    <w:basedOn w:val="Tabelanormal"/>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elanormal"/>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4F81BD" w:themeColor="accent1" w:sz="12" w:space="0"/>
        </w:tcBorders>
      </w:tcPr>
    </w:tblStylePr>
    <w:tblStylePr w:type="band1Horz">
      <w:rPr>
        <w:rFonts w:ascii="Arial" w:hAnsi="Arial"/>
        <w:color w:val="404040"/>
        <w:sz w:val="22"/>
      </w:rPr>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style>
  <w:style w:type="table" w:styleId="Bordered-Accent2" w:customStyle="1">
    <w:name w:val="Bordered - Accent 2"/>
    <w:basedOn w:val="Tabelanormal"/>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rFonts w:ascii="Arial" w:hAnsi="Arial"/>
        <w:color w:val="404040"/>
        <w:sz w:val="22"/>
      </w:rPr>
      <w:tblPr/>
      <w:tcPr>
        <w:tcBorders>
          <w:bottom w:val="single" w:color="D99695" w:themeColor="accent2" w:themeTint="97" w:sz="12" w:space="0"/>
        </w:tcBorders>
      </w:tcPr>
    </w:tblStylePr>
    <w:tblStylePr w:type="lastRow">
      <w:rPr>
        <w:rFonts w:ascii="Arial" w:hAnsi="Arial"/>
        <w:color w:val="404040"/>
        <w:sz w:val="22"/>
      </w:rPr>
      <w:tblPr/>
      <w:tcPr>
        <w:tcBorders>
          <w:top w:val="single" w:color="D996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D99695" w:themeColor="accent2" w:themeTint="97" w:sz="12" w:space="0"/>
        </w:tcBorders>
      </w:tcPr>
    </w:tblStylePr>
    <w:tblStylePr w:type="band1Horz">
      <w:rPr>
        <w:rFonts w:ascii="Arial" w:hAnsi="Arial"/>
        <w:color w:val="404040"/>
        <w:sz w:val="22"/>
      </w:rPr>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style>
  <w:style w:type="table" w:styleId="Bordered-Accent3" w:customStyle="1">
    <w:name w:val="Bordered - Accent 3"/>
    <w:basedOn w:val="Tabelanormal"/>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B" w:themeColor="accent3" w:themeTint="98" w:sz="12" w:space="0"/>
        </w:tcBorders>
      </w:tcPr>
    </w:tblStylePr>
    <w:tblStylePr w:type="lastRow">
      <w:rPr>
        <w:rFonts w:ascii="Arial" w:hAnsi="Arial"/>
        <w:color w:val="404040"/>
        <w:sz w:val="22"/>
      </w:rPr>
      <w:tblPr/>
      <w:tcPr>
        <w:tcBorders>
          <w:top w:val="single" w:color="C3D69B"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D69B" w:themeColor="accent3" w:themeTint="98" w:sz="12" w:space="0"/>
        </w:tcBorders>
      </w:tc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styleId="Bordered-Accent4" w:customStyle="1">
    <w:name w:val="Bordered - Accent 4"/>
    <w:basedOn w:val="Tabelanormal"/>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B2A1C6" w:themeColor="accent4" w:themeTint="9A" w:sz="12" w:space="0"/>
        </w:tcBorders>
      </w:tc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styleId="Bordered-Accent5" w:customStyle="1">
    <w:name w:val="Bordered - Accent 5"/>
    <w:basedOn w:val="Tabelanormal"/>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2CCDC" w:themeColor="accent5" w:themeTint="9A" w:sz="12" w:space="0"/>
        </w:tcBorders>
      </w:tcPr>
    </w:tblStylePr>
    <w:tblStylePr w:type="band1Horz">
      <w:rPr>
        <w:rFonts w:ascii="Arial" w:hAnsi="Arial"/>
        <w:color w:val="404040"/>
        <w:sz w:val="22"/>
      </w:rPr>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style>
  <w:style w:type="table" w:styleId="Bordered-Accent6" w:customStyle="1">
    <w:name w:val="Bordered - Accent 6"/>
    <w:basedOn w:val="Tabelanormal"/>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AC090" w:themeColor="accent6" w:themeTint="98" w:sz="12" w:space="0"/>
        </w:tcBorders>
      </w:tc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styleId="FootnoteTextChar" w:customStyle="1">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styleId="TextodenotadefimChar" w:customStyle="1">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styleId="TextodenotaderodapChar" w:customStyle="1">
    <w:name w:val="Texto de nota de rodapé Char"/>
    <w:basedOn w:val="Fontepargpadro"/>
    <w:link w:val="Textodenotaderodap"/>
    <w:rPr>
      <w:rFonts w:ascii="Times New Roman" w:hAnsi="Times New Roman" w:eastAsia="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hAnsi="Tahoma" w:cs="Tahoma" w:eastAsiaTheme="minorHAnsi"/>
      <w:sz w:val="16"/>
      <w:szCs w:val="16"/>
      <w:lang w:eastAsia="en-US"/>
    </w:rPr>
  </w:style>
  <w:style w:type="character" w:styleId="TextodebaloChar" w:customStyle="1">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hAnsi="Calibri" w:eastAsiaTheme="minorHAnsi"/>
      <w:sz w:val="22"/>
      <w:szCs w:val="22"/>
      <w:lang w:eastAsia="en-US"/>
    </w:rPr>
  </w:style>
  <w:style w:type="paragraph" w:styleId="Sumrio2">
    <w:name w:val="toc 2"/>
    <w:basedOn w:val="Normal"/>
    <w:uiPriority w:val="1"/>
    <w:qFormat/>
    <w:pPr>
      <w:widowControl w:val="0"/>
      <w:spacing w:before="113"/>
      <w:ind w:left="100"/>
    </w:pPr>
    <w:rPr>
      <w:rFonts w:ascii="Arial Narrow" w:hAnsi="Arial Narrow" w:eastAsia="Arial Narrow" w:cs="Arial Narrow"/>
      <w:sz w:val="18"/>
      <w:szCs w:val="18"/>
      <w:lang w:val="en-US" w:eastAsia="en-US"/>
    </w:rPr>
  </w:style>
  <w:style w:type="paragraph" w:styleId="Sumrio1">
    <w:name w:val="toc 1"/>
    <w:basedOn w:val="Normal"/>
    <w:next w:val="Normal"/>
    <w:uiPriority w:val="39"/>
    <w:semiHidden/>
    <w:unhideWhenUsed/>
    <w:pPr>
      <w:spacing w:after="100" w:line="276" w:lineRule="auto"/>
    </w:pPr>
    <w:rPr>
      <w:rFonts w:ascii="Calibri" w:hAnsi="Calibri" w:eastAsiaTheme="minorHAnsi"/>
      <w:sz w:val="22"/>
      <w:szCs w:val="22"/>
      <w:lang w:eastAsia="en-US"/>
    </w:rPr>
  </w:style>
  <w:style w:type="paragraph" w:styleId="Corpodetexto">
    <w:name w:val="Body Text"/>
    <w:basedOn w:val="Normal"/>
    <w:link w:val="CorpodetextoChar"/>
    <w:uiPriority w:val="1"/>
    <w:qFormat/>
    <w:pPr>
      <w:widowControl w:val="0"/>
    </w:pPr>
    <w:rPr>
      <w:rFonts w:ascii="Arial Narrow" w:hAnsi="Arial Narrow" w:eastAsia="Arial Narrow" w:cs="Arial Narrow"/>
      <w:sz w:val="26"/>
      <w:szCs w:val="26"/>
      <w:lang w:val="en-US" w:eastAsia="en-US"/>
    </w:rPr>
  </w:style>
  <w:style w:type="character" w:styleId="CorpodetextoChar" w:customStyle="1">
    <w:name w:val="Corpo de texto Char"/>
    <w:basedOn w:val="Fontepargpadro"/>
    <w:link w:val="Corpodetexto"/>
    <w:uiPriority w:val="1"/>
    <w:rPr>
      <w:rFonts w:ascii="Arial Narrow" w:hAnsi="Arial Narrow" w:eastAsia="Arial Narrow" w:cs="Arial Narrow"/>
      <w:sz w:val="26"/>
      <w:szCs w:val="26"/>
      <w:lang w:val="en-US"/>
    </w:rPr>
  </w:style>
  <w:style w:type="character" w:styleId="Ttulo1Char" w:customStyle="1">
    <w:name w:val="Título 1 Char"/>
    <w:basedOn w:val="Fontepargpadro"/>
    <w:link w:val="Ttulo1"/>
    <w:uiPriority w:val="1"/>
    <w:rPr>
      <w:rFonts w:ascii="Calibri" w:hAnsi="Calibri" w:eastAsia="Calibri" w:cs="Calibri"/>
      <w:b/>
      <w:bCs/>
      <w:sz w:val="40"/>
      <w:szCs w:val="40"/>
      <w:lang w:val="en-US"/>
    </w:rPr>
  </w:style>
  <w:style w:type="character" w:styleId="Ttulo2Char" w:customStyle="1">
    <w:name w:val="Título 2 Char"/>
    <w:basedOn w:val="Fontepargpadro"/>
    <w:link w:val="Ttulo2"/>
    <w:uiPriority w:val="1"/>
    <w:rPr>
      <w:rFonts w:ascii="Calibri" w:hAnsi="Calibri" w:eastAsia="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styleId="CabealhoChar" w:customStyle="1">
    <w:name w:val="Cabeçalho Char"/>
    <w:basedOn w:val="Fontepargpadro"/>
    <w:link w:val="Cabealho"/>
    <w:uiPriority w:val="99"/>
    <w:rPr>
      <w:rFonts w:ascii="Times New Roman" w:hAnsi="Times New Roman" w:eastAsia="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styleId="RodapChar" w:customStyle="1">
    <w:name w:val="Rodapé Char"/>
    <w:basedOn w:val="Fontepargpadro"/>
    <w:link w:val="Rodap"/>
    <w:uiPriority w:val="99"/>
    <w:rPr>
      <w:rFonts w:ascii="Times New Roman" w:hAnsi="Times New Roman" w:eastAsia="Times New Roman" w:cs="Times New Roman"/>
      <w:sz w:val="24"/>
    </w:rPr>
  </w:style>
  <w:style w:type="paragraph" w:styleId="Default" w:customStyle="1">
    <w:name w:val="Default"/>
    <w:pPr>
      <w:spacing w:after="0" w:line="240" w:lineRule="auto"/>
    </w:pPr>
    <w:rPr>
      <w:rFonts w:ascii="Arial" w:hAnsi="Arial" w:cs="Arial"/>
      <w:color w:val="000000"/>
      <w:sz w:val="24"/>
      <w:szCs w:val="24"/>
    </w:rPr>
  </w:style>
  <w:style w:type="character" w:styleId="apple-converted-space" w:customStyle="1">
    <w:name w:val="apple-converted-space"/>
    <w:basedOn w:val="Fontepargpadro"/>
  </w:style>
  <w:style w:type="paragraph" w:styleId="body10" w:customStyle="1">
    <w:name w:val="body10"/>
    <w:link w:val="body10Char"/>
    <w:pPr>
      <w:spacing w:after="0" w:line="220" w:lineRule="atLeast"/>
      <w:ind w:firstLine="454"/>
      <w:jc w:val="both"/>
    </w:pPr>
    <w:rPr>
      <w:rFonts w:ascii="Times New Roman" w:hAnsi="Times New Roman" w:eastAsia="Times New Roman" w:cs="Times New Roman"/>
      <w:sz w:val="20"/>
      <w:szCs w:val="20"/>
      <w:lang w:eastAsia="pt-BR"/>
    </w:rPr>
  </w:style>
  <w:style w:type="character" w:styleId="body10Char" w:customStyle="1">
    <w:name w:val="body10 Char"/>
    <w:basedOn w:val="Fontepargpadro"/>
    <w:link w:val="body10"/>
    <w:rPr>
      <w:rFonts w:ascii="Times New Roman" w:hAnsi="Times New Roman" w:eastAsia="Times New Roman" w:cs="Times New Roman"/>
      <w:sz w:val="20"/>
      <w:szCs w:val="20"/>
      <w:lang w:eastAsia="pt-BR"/>
    </w:rPr>
  </w:style>
  <w:style w:type="paragraph" w:styleId="TCU-Epgrafe" w:customStyle="1">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styleId="Meno1" w:customStyle="1">
    <w:name w:val="Menção1"/>
    <w:basedOn w:val="Fontepargpadro"/>
    <w:uiPriority w:val="99"/>
    <w:semiHidden/>
    <w:unhideWhenUsed/>
    <w:rPr>
      <w:color w:val="2B579A"/>
      <w:shd w:val="clear" w:color="auto" w:fill="E6E6E6"/>
    </w:rPr>
  </w:style>
  <w:style w:type="paragraph" w:styleId="tcu-epgrafe0" w:customStyle="1">
    <w:name w:val="tcu-epgrafe"/>
    <w:basedOn w:val="Normal"/>
    <w:pPr>
      <w:spacing w:before="100" w:beforeAutospacing="1" w:after="100" w:afterAutospacing="1"/>
    </w:pPr>
  </w:style>
  <w:style w:type="character" w:styleId="MenoPendente1" w:customStyl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hAnsi="Calibri" w:eastAsiaTheme="minorHAnsi"/>
      <w:sz w:val="20"/>
      <w:szCs w:val="20"/>
      <w:lang w:eastAsia="en-US"/>
    </w:rPr>
  </w:style>
  <w:style w:type="character" w:styleId="TextodecomentrioChar" w:customStyle="1">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styleId="AssuntodocomentrioChar" w:customStyle="1">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eladeGrade2-nfase1">
    <w:name w:val="Grid Table 2 Accent 10"/>
    <w:basedOn w:val="Tabelanormal"/>
    <w:uiPriority w:val="47"/>
    <w:pPr>
      <w:spacing w:after="0" w:line="240" w:lineRule="auto"/>
    </w:pPr>
    <w:tblPr>
      <w:tblStyleRowBandSize w:val="1"/>
      <w:tblStyleColBandSize w:val="1"/>
      <w:tblBorders>
        <w:top w:val="single" w:color="95B3D7" w:themeColor="accent1" w:themeTint="99" w:sz="2" w:space="0"/>
        <w:bottom w:val="single" w:color="95B3D7" w:themeColor="accent1" w:themeTint="99" w:sz="2" w:space="0"/>
        <w:insideH w:val="single" w:color="95B3D7" w:themeColor="accent1" w:themeTint="99" w:sz="2" w:space="0"/>
        <w:insideV w:val="single" w:color="95B3D7" w:themeColor="accent1" w:themeTint="99" w:sz="2" w:space="0"/>
      </w:tblBorders>
    </w:tblPr>
    <w:tblStylePr w:type="firstRow">
      <w:rPr>
        <w:b/>
        <w:bCs/>
      </w:rPr>
      <w:tblPr/>
      <w:tcPr>
        <w:tcBorders>
          <w:top w:val="none" w:color="000000" w:sz="4" w:space="0"/>
          <w:bottom w:val="single" w:color="95B3D7" w:themeColor="accent1" w:themeTint="99" w:sz="12" w:space="0"/>
          <w:insideH w:val="none" w:color="000000" w:sz="4" w:space="0"/>
          <w:insideV w:val="none" w:color="000000" w:sz="4" w:space="0"/>
        </w:tcBorders>
        <w:shd w:val="clear" w:color="auto" w:fill="FFFFFF" w:themeFill="background1"/>
      </w:tcPr>
    </w:tblStylePr>
    <w:tblStylePr w:type="lastRow">
      <w:rPr>
        <w:b/>
        <w:bCs/>
      </w:rPr>
      <w:tblPr/>
      <w:tcPr>
        <w:tcBorders>
          <w:top w:val="single" w:color="95B3D7" w:themeColor="accent1" w:themeTint="99" w:sz="2" w:space="0"/>
          <w:bottom w:val="none" w:color="000000" w:sz="4" w:space="0"/>
          <w:insideH w:val="none" w:color="000000" w:sz="4" w:space="0"/>
          <w:insideV w:val="none" w:color="000000" w:sz="4" w:space="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Ttulo3Char" w:customStyle="1">
    <w:name w:val="Título 3 Char"/>
    <w:basedOn w:val="Fontepargpadro"/>
    <w:link w:val="Ttulo3"/>
    <w:uiPriority w:val="9"/>
    <w:semiHidden/>
    <w:rPr>
      <w:rFonts w:asciiTheme="majorHAnsi" w:hAnsiTheme="majorHAnsi" w:eastAsiaTheme="majorEastAsia"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Pr-formataoHTMLChar" w:customStyle="1">
    <w:name w:val="Pré-formatação HTML Char"/>
    <w:basedOn w:val="Fontepargpadro"/>
    <w:link w:val="Pr-formataoHTML"/>
    <w:uiPriority w:val="99"/>
    <w:rPr>
      <w:rFonts w:ascii="Courier New" w:hAnsi="Courier New" w:eastAsia="Times New Roman" w:cs="Courier New"/>
      <w:sz w:val="20"/>
      <w:szCs w:val="20"/>
      <w:lang w:eastAsia="pt-BR"/>
    </w:rPr>
  </w:style>
  <w:style w:type="character" w:styleId="highlightbrs" w:customStyle="1">
    <w:name w:val="highlightbrs"/>
    <w:basedOn w:val="Fontepargpadro"/>
  </w:style>
  <w:style w:type="character" w:styleId="Ttulo4Char" w:customStyle="1">
    <w:name w:val="Título 4 Char"/>
    <w:basedOn w:val="Fontepargpadro"/>
    <w:link w:val="Ttulo4"/>
    <w:uiPriority w:val="9"/>
    <w:semiHidden/>
    <w:rPr>
      <w:rFonts w:asciiTheme="majorHAnsi" w:hAnsiTheme="majorHAnsi" w:eastAsiaTheme="majorEastAsia" w:cstheme="majorBidi"/>
      <w:i/>
      <w:iCs/>
      <w:color w:val="365F91" w:themeColor="accent1" w:themeShade="BF"/>
    </w:rPr>
  </w:style>
  <w:style w:type="paragraph" w:styleId="mostratitulonota" w:customStyle="1">
    <w:name w:val="mostratitulonota"/>
    <w:basedOn w:val="Normal"/>
    <w:pPr>
      <w:spacing w:before="100" w:beforeAutospacing="1" w:after="100" w:afterAutospacing="1"/>
    </w:pPr>
  </w:style>
  <w:style w:type="character" w:styleId="lista-resultadotitulo" w:customStyle="1">
    <w:name w:val="lista-resultado__titulo"/>
    <w:basedOn w:val="Fontepargpadro"/>
  </w:style>
  <w:style w:type="paragraph" w:styleId="col-lg-2" w:customStyle="1">
    <w:name w:val="col-lg-2"/>
    <w:basedOn w:val="Normal"/>
    <w:pPr>
      <w:spacing w:before="100" w:beforeAutospacing="1" w:after="100" w:afterAutospacing="1"/>
    </w:pPr>
  </w:style>
  <w:style w:type="paragraph" w:styleId="col-lg-10" w:customStyle="1">
    <w:name w:val="col-lg-10"/>
    <w:basedOn w:val="Normal"/>
    <w:pPr>
      <w:spacing w:before="100" w:beforeAutospacing="1" w:after="100" w:afterAutospacing="1"/>
    </w:pPr>
  </w:style>
  <w:style w:type="paragraph" w:styleId="col-lg-12" w:customStyle="1">
    <w:name w:val="col-lg-12"/>
    <w:basedOn w:val="Normal"/>
    <w:pPr>
      <w:spacing w:before="100" w:beforeAutospacing="1" w:after="100" w:afterAutospacing="1"/>
    </w:pPr>
  </w:style>
  <w:style w:type="character" w:styleId="blue-info" w:customStyle="1">
    <w:name w:val="blue-info"/>
    <w:basedOn w:val="Fontepargpadro"/>
  </w:style>
  <w:style w:type="character" w:styleId="notification" w:customStyle="1">
    <w:name w:val="notification"/>
    <w:basedOn w:val="Fontepargpadro"/>
  </w:style>
  <w:style w:type="character" w:styleId="MenoPendente2" w:customStyle="1">
    <w:name w:val="Menção Pendente2"/>
    <w:basedOn w:val="Fontepargpadro"/>
    <w:uiPriority w:val="99"/>
    <w:semiHidden/>
    <w:unhideWhenUsed/>
    <w:rPr>
      <w:color w:val="605E5C"/>
      <w:shd w:val="clear" w:color="auto" w:fill="E1DFDD"/>
    </w:rPr>
  </w:style>
  <w:style w:type="paragraph" w:styleId="TCU-Ac-item9-" w:customStyle="1">
    <w:name w:val="TCU - Ac - item 9 - §§"/>
    <w:basedOn w:val="Normal"/>
    <w:qFormat/>
    <w:pPr>
      <w:ind w:firstLine="1134"/>
      <w:jc w:val="both"/>
    </w:pPr>
    <w:rPr>
      <w:szCs w:val="22"/>
      <w:lang w:eastAsia="en-US"/>
    </w:rPr>
  </w:style>
  <w:style w:type="paragraph" w:styleId="titulojurisprudencia" w:customStyle="1">
    <w:name w:val="titulojurisprudencia"/>
    <w:basedOn w:val="Normal"/>
    <w:pPr>
      <w:spacing w:before="100" w:beforeAutospacing="1" w:after="45" w:line="300" w:lineRule="atLeast"/>
    </w:pPr>
    <w:rPr>
      <w:b/>
      <w:bCs/>
      <w:sz w:val="20"/>
      <w:szCs w:val="20"/>
    </w:rPr>
  </w:style>
  <w:style w:type="character" w:styleId="lista-resultadoinfo-descricao" w:customStyle="1">
    <w:name w:val="lista-resultado__info-descricao"/>
    <w:basedOn w:val="Fontepargpadro"/>
  </w:style>
  <w:style w:type="character" w:styleId="mat-button-wrapper" w:customStyle="1">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styleId="tcu-ac-item9-0" w:customStyle="1">
    <w:name w:val="tcu_-_ac_-_item_9_-_§§"/>
    <w:basedOn w:val="Normal"/>
    <w:pPr>
      <w:spacing w:before="100" w:beforeAutospacing="1" w:after="100" w:afterAutospacing="1"/>
    </w:pPr>
  </w:style>
  <w:style w:type="character" w:styleId="highlightbrs2" w:customStyle="1">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 w:id="50346217">
              <w:marLeft w:val="0"/>
              <w:marRight w:val="0"/>
              <w:marTop w:val="0"/>
              <w:marBottom w:val="0"/>
              <w:divBdr>
                <w:top w:val="none" w:sz="0" w:space="0" w:color="auto"/>
                <w:left w:val="none" w:sz="0" w:space="0" w:color="auto"/>
                <w:bottom w:val="none" w:sz="0" w:space="0" w:color="auto"/>
                <w:right w:val="none" w:sz="0" w:space="0" w:color="auto"/>
              </w:divBdr>
              <w:divsChild>
                <w:div w:id="1878422132">
                  <w:marLeft w:val="0"/>
                  <w:marRight w:val="0"/>
                  <w:marTop w:val="0"/>
                  <w:marBottom w:val="0"/>
                  <w:divBdr>
                    <w:top w:val="none" w:sz="0" w:space="0" w:color="auto"/>
                    <w:left w:val="none" w:sz="0" w:space="0" w:color="auto"/>
                    <w:bottom w:val="none" w:sz="0" w:space="0" w:color="auto"/>
                    <w:right w:val="none" w:sz="0" w:space="0" w:color="auto"/>
                  </w:divBdr>
                </w:div>
                <w:div w:id="17020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contas.tcu.gov.br/sagas/SvlVisualizarRelVotoAcRtf?codFiltro=SAGAS-SESSAO-ENCERRADA&amp;seOcultaPagina=S&amp;item0=805826" TargetMode="External" Id="rId8" /><Relationship Type="http://schemas.openxmlformats.org/officeDocument/2006/relationships/hyperlink" Target="http://www1.tce.pr.gov.br/conteudo/pesquisas-prontas/308475/area/249" TargetMode="External"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s://scon.stj.jus.br/SCON/GetInteiroTeorDoAcordao?num_registro=202102496103&amp;dt_publicacao=24/11/2022" TargetMode="External" Id="rId12" /><Relationship Type="http://schemas.openxmlformats.org/officeDocument/2006/relationships/hyperlink" Target="http://www1.tce.pr.gov.br/conteudo/sumulas-selecionadas/316602/area/249" TargetMode="External" Id="rId17" /><Relationship Type="http://schemas.openxmlformats.org/officeDocument/2006/relationships/numbering" Target="numbering.xml" Id="rId2" /><Relationship Type="http://schemas.openxmlformats.org/officeDocument/2006/relationships/hyperlink" Target="http://www1.tce.pr.gov.br/conteudo/repercussao-geral-no-stf-e-os-tribunais-de-contas/307026/area/249"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yperlink" Target="http://www1.tce.pr.gov.br/conteudo/boletim-de-jurisprudencia-internacional/316601/area/249" TargetMode="External" Id="rId15" /><Relationship Type="http://schemas.openxmlformats.org/officeDocument/2006/relationships/hyperlink" Target="https://acessoidentificado.tcees.tc.br/DocumentoDisponibilizado/BaixarDocumentoDisponibilizado?idDocumento=3301178&amp;key=996ebf3bb6a2e0ac2ab7b78cb389e58b463f0e090f99bb4d7fe93d7e8c67a3fd0cf76ba531d2114ad631d36a3d6ee7a4f69a48fb72b9e94b421cbbf05ebd1f7f"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s://www1.tce.pr.gov.br/multimidia/2022/8/pdf/00368639.pdf" TargetMode="External" Id="rId9" /><Relationship Type="http://schemas.openxmlformats.org/officeDocument/2006/relationships/hyperlink" Target="http://www1.tce.pr.gov.br/conteudo/boletim-informativo-de-jurisprudencia/280400/area/249" TargetMode="External" Id="rId14" /><Relationship Type="http://schemas.openxmlformats.org/officeDocument/2006/relationships/hyperlink" Target="https://redir.stf.jus.br/paginadorpub/paginador.jsp?docTP=TP&amp;docID=763392091" TargetMode="External" Id="Rcda36c4ed80d4b2f" /></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g"/><Relationship Id="rId1" Type="http://schemas.openxmlformats.org/officeDocument/2006/relationships/image" Target="media/image1.jpg"/><Relationship Id="rId4" Type="http://schemas.openxmlformats.org/officeDocument/2006/relationships/image" Target="media/image2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C74D022-C9B6-4C98-8292-5C7868A597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Guilherme Hansen Faraj</dc:creator>
  <lastModifiedBy>Andre Isidio Martins</lastModifiedBy>
  <revision>5</revision>
  <dcterms:created xsi:type="dcterms:W3CDTF">2023-02-01T02:06:00.0000000Z</dcterms:created>
  <dcterms:modified xsi:type="dcterms:W3CDTF">2023-02-02T15:31:13.8881383Z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