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500D" w14:textId="77777777" w:rsidR="00674104" w:rsidRDefault="00000000">
      <w:pPr>
        <w:pStyle w:val="Cabealho"/>
        <w:spacing w:line="276" w:lineRule="auto"/>
        <w:jc w:val="center"/>
        <w:rPr>
          <w:rFonts w:ascii="Arial" w:hAnsi="Arial" w:cs="Arial"/>
          <w:sz w:val="20"/>
          <w:szCs w:val="20"/>
        </w:rPr>
      </w:pPr>
      <w:r>
        <w:rPr>
          <w:rFonts w:ascii="Arial" w:hAnsi="Arial" w:cs="Arial"/>
          <w:b/>
          <w:sz w:val="20"/>
          <w:szCs w:val="20"/>
        </w:rPr>
        <w:t>TESES AMBIENTAIS</w:t>
      </w:r>
      <w:r>
        <w:rPr>
          <w:rFonts w:ascii="Arial" w:hAnsi="Arial" w:cs="Arial"/>
          <w:sz w:val="20"/>
          <w:szCs w:val="20"/>
        </w:rPr>
        <w:t xml:space="preserve"> </w:t>
      </w:r>
    </w:p>
    <w:p w14:paraId="3270AF62" w14:textId="77777777" w:rsidR="00674104" w:rsidRDefault="00674104">
      <w:pPr>
        <w:jc w:val="center"/>
        <w:rPr>
          <w:rFonts w:ascii="Arial" w:hAnsi="Arial" w:cs="Arial"/>
          <w:b/>
          <w:sz w:val="20"/>
          <w:szCs w:val="20"/>
        </w:rPr>
      </w:pPr>
    </w:p>
    <w:p w14:paraId="2804FFF8" w14:textId="3EDBDE21" w:rsidR="00674104" w:rsidRDefault="00000000">
      <w:pPr>
        <w:jc w:val="center"/>
        <w:rPr>
          <w:rFonts w:ascii="Arial" w:hAnsi="Arial" w:cs="Arial"/>
          <w:b/>
          <w:sz w:val="20"/>
          <w:szCs w:val="20"/>
        </w:rPr>
      </w:pPr>
      <w:r>
        <w:rPr>
          <w:rFonts w:ascii="Arial" w:hAnsi="Arial" w:cs="Arial"/>
          <w:b/>
          <w:sz w:val="20"/>
          <w:szCs w:val="20"/>
        </w:rPr>
        <w:t>Número 2</w:t>
      </w:r>
      <w:r w:rsidR="009F144D">
        <w:rPr>
          <w:rFonts w:ascii="Arial" w:hAnsi="Arial" w:cs="Arial"/>
          <w:b/>
          <w:sz w:val="20"/>
          <w:szCs w:val="20"/>
        </w:rPr>
        <w:t>5</w:t>
      </w:r>
    </w:p>
    <w:p w14:paraId="62DC9DDD" w14:textId="77777777" w:rsidR="00674104" w:rsidRDefault="00674104">
      <w:pPr>
        <w:jc w:val="center"/>
        <w:rPr>
          <w:rFonts w:ascii="Arial" w:hAnsi="Arial" w:cs="Arial"/>
          <w:b/>
          <w:sz w:val="20"/>
          <w:szCs w:val="20"/>
        </w:rPr>
      </w:pPr>
    </w:p>
    <w:p w14:paraId="44A12025" w14:textId="2D78B9F0" w:rsidR="00674104" w:rsidRDefault="00000000">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 evidenciando sobretudo o vetor axiológico da sustentabilidade.</w:t>
      </w:r>
    </w:p>
    <w:p w14:paraId="745B04C1" w14:textId="77777777" w:rsidR="00674104" w:rsidRDefault="00000000">
      <w:pPr>
        <w:jc w:val="both"/>
        <w:rPr>
          <w:rFonts w:ascii="Arial" w:hAnsi="Arial" w:cs="Arial"/>
          <w:sz w:val="20"/>
          <w:szCs w:val="20"/>
        </w:rPr>
      </w:pPr>
      <w:r>
        <w:rPr>
          <w:rFonts w:ascii="Arial" w:hAnsi="Arial" w:cs="Arial"/>
          <w:sz w:val="20"/>
          <w:szCs w:val="20"/>
        </w:rPr>
        <w:t xml:space="preserve"> </w:t>
      </w:r>
    </w:p>
    <w:p w14:paraId="62D24DBB" w14:textId="77777777" w:rsidR="00674104" w:rsidRDefault="00000000">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38FCF53F" w14:textId="77777777" w:rsidR="00674104" w:rsidRDefault="00674104">
      <w:pPr>
        <w:jc w:val="both"/>
        <w:rPr>
          <w:rFonts w:ascii="Arial" w:hAnsi="Arial" w:cs="Arial"/>
          <w:sz w:val="20"/>
          <w:szCs w:val="20"/>
        </w:rPr>
      </w:pPr>
    </w:p>
    <w:p w14:paraId="5B594475" w14:textId="77777777" w:rsidR="00674104" w:rsidRDefault="00000000">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0AA41CCA" w14:textId="77777777" w:rsidR="00674104" w:rsidRDefault="00674104">
      <w:pPr>
        <w:jc w:val="both"/>
        <w:rPr>
          <w:rFonts w:ascii="Arial" w:hAnsi="Arial" w:cs="Arial"/>
          <w:sz w:val="20"/>
          <w:szCs w:val="20"/>
        </w:rPr>
      </w:pPr>
    </w:p>
    <w:p w14:paraId="54F13485" w14:textId="77777777" w:rsidR="00674104" w:rsidRDefault="00000000">
      <w:pPr>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0800" behindDoc="0" locked="0" layoutInCell="1" allowOverlap="1" wp14:anchorId="59835C21" wp14:editId="1F723F06">
                <wp:simplePos x="0" y="0"/>
                <wp:positionH relativeFrom="margin">
                  <wp:posOffset>-635</wp:posOffset>
                </wp:positionH>
                <wp:positionV relativeFrom="paragraph">
                  <wp:posOffset>29845</wp:posOffset>
                </wp:positionV>
                <wp:extent cx="5397500" cy="0"/>
                <wp:effectExtent l="0" t="0" r="12700" b="57150"/>
                <wp:wrapNone/>
                <wp:docPr id="4" name="Conector reto 1"/>
                <wp:cNvGraphicFramePr/>
                <a:graphic xmlns:a="http://schemas.openxmlformats.org/drawingml/2006/main">
                  <a:graphicData uri="http://schemas.microsoft.com/office/word/2010/wordprocessingShape">
                    <wps:wsp>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 style="position:absolute;mso-wrap-distance-left:9.0pt;mso-wrap-distance-top:0.0pt;mso-wrap-distance-right:9.0pt;mso-wrap-distance-bottom:0.0pt;z-index:251660800;o:allowoverlap:true;o:allowincell:true;mso-position-horizontal-relative:margin;margin-left:-0.0pt;mso-position-horizontal:absolute;mso-position-vertical-relative:text;margin-top:2.4pt;mso-position-vertical:absolute;width:425.0pt;height:0.0pt;" coordsize="100000,100000" path="" filled="f" strokecolor="#000000" strokeweight="2.00pt">
                <v:path textboxrect="0,0,0,0"/>
              </v:shape>
            </w:pict>
          </mc:Fallback>
        </mc:AlternateContent>
      </w:r>
    </w:p>
    <w:p w14:paraId="4478A291" w14:textId="77777777"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p w14:paraId="63015CC1" w14:textId="77777777" w:rsidR="00674104" w:rsidRDefault="00674104">
      <w:pPr>
        <w:spacing w:line="276" w:lineRule="auto"/>
        <w:jc w:val="both"/>
        <w:rPr>
          <w:rFonts w:ascii="Arial" w:eastAsia="Arial" w:hAnsi="Arial" w:cs="Arial"/>
          <w:sz w:val="20"/>
          <w:szCs w:val="20"/>
        </w:rPr>
      </w:pPr>
    </w:p>
    <w:p w14:paraId="46504E46" w14:textId="3205309C" w:rsidR="00674104" w:rsidRPr="009F144D" w:rsidRDefault="00000000">
      <w:pPr>
        <w:spacing w:line="276" w:lineRule="auto"/>
        <w:jc w:val="both"/>
        <w:rPr>
          <w:rFonts w:ascii="Arial" w:eastAsia="Arial" w:hAnsi="Arial" w:cs="Arial"/>
        </w:rPr>
      </w:pPr>
      <w:r w:rsidRPr="009F144D">
        <w:rPr>
          <w:rFonts w:ascii="Arial" w:eastAsia="Arial" w:hAnsi="Arial" w:cs="Arial"/>
          <w:sz w:val="20"/>
          <w:szCs w:val="20"/>
        </w:rPr>
        <w:t xml:space="preserve">1. </w:t>
      </w:r>
      <w:r w:rsidR="009F144D" w:rsidRPr="009F144D">
        <w:rPr>
          <w:rFonts w:ascii="Arial" w:eastAsia="Arial" w:hAnsi="Arial" w:cs="Arial"/>
          <w:sz w:val="20"/>
        </w:rPr>
        <w:t>Solicitação do Congresso Nacional. Lei 14.182/2021. Privatização da ELETROBRAS. Contratação de energia térmica movida a gás natural na modalidade leilão de reserva de capacidade em regiões e quantidade pré-determinada pelo legislador. Potencial incompatibilidade entre o comando legal e demais leis e princípios do setor elétrico brasileiro e da administração pública. Antinomia jurídica. Contratação em montantes pré-determinados sem respaldo de estudo oficial indicando necessidade sistêmica. Eventual desvirtuamento do conceito da modalidade “energia de reserva”, com oneração dos consumidores. Deficiência de motivação para alocação de montantes de energia por unidade da federação.  Carência de estudos quanto às consequências tarifárias e ambientais das contratações. Conhecimento. Comunicações à comissão da câmara dos deputados. Ciência ao MME. Encaminhamento dos autos ao MPF. Cumprimento da SCN. Arquivamento.</w:t>
      </w:r>
    </w:p>
    <w:p w14:paraId="11D7BE6E" w14:textId="77777777" w:rsidR="00674104" w:rsidRDefault="00674104">
      <w:pPr>
        <w:spacing w:line="276" w:lineRule="auto"/>
        <w:jc w:val="both"/>
        <w:rPr>
          <w:rFonts w:ascii="Arial" w:eastAsia="Arial" w:hAnsi="Arial" w:cs="Arial"/>
          <w:sz w:val="20"/>
          <w:szCs w:val="20"/>
        </w:rPr>
      </w:pPr>
    </w:p>
    <w:p w14:paraId="5F8D7D36" w14:textId="58C56671" w:rsidR="009763CE" w:rsidRPr="009763CE" w:rsidRDefault="009763CE" w:rsidP="009763CE">
      <w:pPr>
        <w:spacing w:line="276" w:lineRule="auto"/>
        <w:jc w:val="both"/>
        <w:rPr>
          <w:rFonts w:ascii="Arial" w:eastAsia="Arial" w:hAnsi="Arial" w:cs="Arial"/>
          <w:bCs/>
          <w:color w:val="000000"/>
          <w:sz w:val="20"/>
          <w:szCs w:val="20"/>
        </w:rPr>
      </w:pPr>
      <w:r w:rsidRPr="009763CE">
        <w:rPr>
          <w:rFonts w:ascii="Arial" w:eastAsia="Arial" w:hAnsi="Arial" w:cs="Arial"/>
          <w:bCs/>
          <w:color w:val="000000"/>
          <w:sz w:val="20"/>
          <w:szCs w:val="20"/>
        </w:rPr>
        <w:t xml:space="preserve">2. </w:t>
      </w:r>
      <w:proofErr w:type="spellStart"/>
      <w:r w:rsidRPr="009763CE">
        <w:rPr>
          <w:rFonts w:ascii="Arial" w:eastAsia="Arial" w:hAnsi="Arial" w:cs="Arial"/>
          <w:bCs/>
          <w:color w:val="000000"/>
          <w:sz w:val="20"/>
          <w:szCs w:val="20"/>
        </w:rPr>
        <w:t>Homologação</w:t>
      </w:r>
      <w:proofErr w:type="spellEnd"/>
      <w:r w:rsidRPr="009763CE">
        <w:rPr>
          <w:rFonts w:ascii="Arial" w:eastAsia="Arial" w:hAnsi="Arial" w:cs="Arial"/>
          <w:bCs/>
          <w:color w:val="000000"/>
          <w:sz w:val="20"/>
          <w:szCs w:val="20"/>
        </w:rPr>
        <w:t xml:space="preserve"> de </w:t>
      </w:r>
      <w:proofErr w:type="spellStart"/>
      <w:r w:rsidRPr="009763CE">
        <w:rPr>
          <w:rFonts w:ascii="Arial" w:eastAsia="Arial" w:hAnsi="Arial" w:cs="Arial"/>
          <w:bCs/>
          <w:color w:val="000000"/>
          <w:sz w:val="20"/>
          <w:szCs w:val="20"/>
        </w:rPr>
        <w:t>recomendações</w:t>
      </w:r>
      <w:proofErr w:type="spellEnd"/>
      <w:r w:rsidRPr="009763CE">
        <w:rPr>
          <w:rFonts w:ascii="Arial" w:eastAsia="Arial" w:hAnsi="Arial" w:cs="Arial"/>
          <w:bCs/>
          <w:color w:val="000000"/>
          <w:sz w:val="20"/>
          <w:szCs w:val="20"/>
        </w:rPr>
        <w:t xml:space="preserve"> propostas pela 3ª </w:t>
      </w:r>
      <w:r>
        <w:rPr>
          <w:rFonts w:ascii="Arial" w:eastAsia="Arial" w:hAnsi="Arial" w:cs="Arial"/>
          <w:bCs/>
          <w:color w:val="000000"/>
          <w:sz w:val="20"/>
          <w:szCs w:val="20"/>
        </w:rPr>
        <w:t>I</w:t>
      </w:r>
      <w:r w:rsidRPr="009763CE">
        <w:rPr>
          <w:rFonts w:ascii="Arial" w:eastAsia="Arial" w:hAnsi="Arial" w:cs="Arial"/>
          <w:bCs/>
          <w:color w:val="000000"/>
          <w:sz w:val="20"/>
          <w:szCs w:val="20"/>
        </w:rPr>
        <w:t xml:space="preserve">nspetoria de </w:t>
      </w:r>
      <w:r>
        <w:rPr>
          <w:rFonts w:ascii="Arial" w:eastAsia="Arial" w:hAnsi="Arial" w:cs="Arial"/>
          <w:bCs/>
          <w:color w:val="000000"/>
          <w:sz w:val="20"/>
          <w:szCs w:val="20"/>
        </w:rPr>
        <w:t>C</w:t>
      </w:r>
      <w:r w:rsidRPr="009763CE">
        <w:rPr>
          <w:rFonts w:ascii="Arial" w:eastAsia="Arial" w:hAnsi="Arial" w:cs="Arial"/>
          <w:bCs/>
          <w:color w:val="000000"/>
          <w:sz w:val="20"/>
          <w:szCs w:val="20"/>
        </w:rPr>
        <w:t xml:space="preserve">ontrole </w:t>
      </w:r>
      <w:r>
        <w:rPr>
          <w:rFonts w:ascii="Arial" w:eastAsia="Arial" w:hAnsi="Arial" w:cs="Arial"/>
          <w:bCs/>
          <w:color w:val="000000"/>
          <w:sz w:val="20"/>
          <w:szCs w:val="20"/>
        </w:rPr>
        <w:t>E</w:t>
      </w:r>
      <w:r w:rsidRPr="009763CE">
        <w:rPr>
          <w:rFonts w:ascii="Arial" w:eastAsia="Arial" w:hAnsi="Arial" w:cs="Arial"/>
          <w:bCs/>
          <w:color w:val="000000"/>
          <w:sz w:val="20"/>
          <w:szCs w:val="20"/>
        </w:rPr>
        <w:t xml:space="preserve">xterno relativamente ao controle dos ingressos e </w:t>
      </w:r>
      <w:proofErr w:type="spellStart"/>
      <w:r w:rsidRPr="009763CE">
        <w:rPr>
          <w:rFonts w:ascii="Arial" w:eastAsia="Arial" w:hAnsi="Arial" w:cs="Arial"/>
          <w:bCs/>
          <w:color w:val="000000"/>
          <w:sz w:val="20"/>
          <w:szCs w:val="20"/>
        </w:rPr>
        <w:t>aplicações</w:t>
      </w:r>
      <w:proofErr w:type="spellEnd"/>
      <w:r w:rsidRPr="009763CE">
        <w:rPr>
          <w:rFonts w:ascii="Arial" w:eastAsia="Arial" w:hAnsi="Arial" w:cs="Arial"/>
          <w:bCs/>
          <w:color w:val="000000"/>
          <w:sz w:val="20"/>
          <w:szCs w:val="20"/>
        </w:rPr>
        <w:t xml:space="preserve"> de recursos provenientes de </w:t>
      </w:r>
      <w:proofErr w:type="spellStart"/>
      <w:r w:rsidRPr="009763CE">
        <w:rPr>
          <w:rFonts w:ascii="Arial" w:eastAsia="Arial" w:hAnsi="Arial" w:cs="Arial"/>
          <w:bCs/>
          <w:color w:val="000000"/>
          <w:sz w:val="20"/>
          <w:szCs w:val="20"/>
        </w:rPr>
        <w:t>indenizações</w:t>
      </w:r>
      <w:proofErr w:type="spellEnd"/>
      <w:r w:rsidRPr="009763CE">
        <w:rPr>
          <w:rFonts w:ascii="Arial" w:eastAsia="Arial" w:hAnsi="Arial" w:cs="Arial"/>
          <w:bCs/>
          <w:color w:val="000000"/>
          <w:sz w:val="20"/>
          <w:szCs w:val="20"/>
        </w:rPr>
        <w:t xml:space="preserve"> ambientais no </w:t>
      </w:r>
      <w:proofErr w:type="spellStart"/>
      <w:r w:rsidRPr="009763CE">
        <w:rPr>
          <w:rFonts w:ascii="Arial" w:eastAsia="Arial" w:hAnsi="Arial" w:cs="Arial"/>
          <w:bCs/>
          <w:color w:val="000000"/>
          <w:sz w:val="20"/>
          <w:szCs w:val="20"/>
        </w:rPr>
        <w:t>âmbito</w:t>
      </w:r>
      <w:proofErr w:type="spellEnd"/>
      <w:r w:rsidRPr="009763CE">
        <w:rPr>
          <w:rFonts w:ascii="Arial" w:eastAsia="Arial" w:hAnsi="Arial" w:cs="Arial"/>
          <w:bCs/>
          <w:color w:val="000000"/>
          <w:sz w:val="20"/>
          <w:szCs w:val="20"/>
        </w:rPr>
        <w:t xml:space="preserve"> do </w:t>
      </w:r>
      <w:r>
        <w:rPr>
          <w:rFonts w:ascii="Arial" w:eastAsia="Arial" w:hAnsi="Arial" w:cs="Arial"/>
          <w:bCs/>
          <w:color w:val="000000"/>
          <w:sz w:val="20"/>
          <w:szCs w:val="20"/>
        </w:rPr>
        <w:t>I</w:t>
      </w:r>
      <w:r w:rsidRPr="009763CE">
        <w:rPr>
          <w:rFonts w:ascii="Arial" w:eastAsia="Arial" w:hAnsi="Arial" w:cs="Arial"/>
          <w:bCs/>
          <w:color w:val="000000"/>
          <w:sz w:val="20"/>
          <w:szCs w:val="20"/>
        </w:rPr>
        <w:t xml:space="preserve">nstituto </w:t>
      </w:r>
      <w:r>
        <w:rPr>
          <w:rFonts w:ascii="Arial" w:eastAsia="Arial" w:hAnsi="Arial" w:cs="Arial"/>
          <w:bCs/>
          <w:color w:val="000000"/>
          <w:sz w:val="20"/>
          <w:szCs w:val="20"/>
        </w:rPr>
        <w:t>Á</w:t>
      </w:r>
      <w:r w:rsidRPr="009763CE">
        <w:rPr>
          <w:rFonts w:ascii="Arial" w:eastAsia="Arial" w:hAnsi="Arial" w:cs="Arial"/>
          <w:bCs/>
          <w:color w:val="000000"/>
          <w:sz w:val="20"/>
          <w:szCs w:val="20"/>
        </w:rPr>
        <w:t xml:space="preserve">gua e </w:t>
      </w:r>
      <w:r>
        <w:rPr>
          <w:rFonts w:ascii="Arial" w:eastAsia="Arial" w:hAnsi="Arial" w:cs="Arial"/>
          <w:bCs/>
          <w:color w:val="000000"/>
          <w:sz w:val="20"/>
          <w:szCs w:val="20"/>
        </w:rPr>
        <w:t>T</w:t>
      </w:r>
      <w:r w:rsidRPr="009763CE">
        <w:rPr>
          <w:rFonts w:ascii="Arial" w:eastAsia="Arial" w:hAnsi="Arial" w:cs="Arial"/>
          <w:bCs/>
          <w:color w:val="000000"/>
          <w:sz w:val="20"/>
          <w:szCs w:val="20"/>
        </w:rPr>
        <w:t>erra</w:t>
      </w:r>
    </w:p>
    <w:p w14:paraId="578F4203" w14:textId="77777777" w:rsidR="00674104" w:rsidRDefault="00674104">
      <w:pPr>
        <w:spacing w:line="276" w:lineRule="auto"/>
        <w:jc w:val="both"/>
        <w:rPr>
          <w:rFonts w:ascii="Arial" w:eastAsia="Arial" w:hAnsi="Arial" w:cs="Arial"/>
          <w:sz w:val="20"/>
        </w:rPr>
      </w:pPr>
    </w:p>
    <w:p w14:paraId="68A0531F" w14:textId="07E564C7" w:rsidR="009763CE" w:rsidRPr="009763CE" w:rsidRDefault="009763CE" w:rsidP="009763CE">
      <w:pPr>
        <w:spacing w:line="276" w:lineRule="auto"/>
        <w:jc w:val="both"/>
        <w:rPr>
          <w:rFonts w:ascii="Arial" w:eastAsia="Arial" w:hAnsi="Arial" w:cs="Arial"/>
          <w:bCs/>
          <w:sz w:val="20"/>
        </w:rPr>
      </w:pPr>
      <w:r w:rsidRPr="009763CE">
        <w:rPr>
          <w:rFonts w:ascii="Arial" w:eastAsia="Arial" w:hAnsi="Arial" w:cs="Arial"/>
          <w:bCs/>
          <w:sz w:val="20"/>
        </w:rPr>
        <w:t xml:space="preserve">3. </w:t>
      </w:r>
      <w:r w:rsidRPr="009763CE">
        <w:rPr>
          <w:rFonts w:ascii="Arial" w:eastAsia="Arial" w:hAnsi="Arial" w:cs="Arial"/>
          <w:bCs/>
          <w:sz w:val="20"/>
        </w:rPr>
        <w:t xml:space="preserve">Tomada de </w:t>
      </w:r>
      <w:r>
        <w:rPr>
          <w:rFonts w:ascii="Arial" w:eastAsia="Arial" w:hAnsi="Arial" w:cs="Arial"/>
          <w:bCs/>
          <w:sz w:val="20"/>
        </w:rPr>
        <w:t>C</w:t>
      </w:r>
      <w:r w:rsidRPr="009763CE">
        <w:rPr>
          <w:rFonts w:ascii="Arial" w:eastAsia="Arial" w:hAnsi="Arial" w:cs="Arial"/>
          <w:bCs/>
          <w:sz w:val="20"/>
        </w:rPr>
        <w:t xml:space="preserve">ontas </w:t>
      </w:r>
      <w:r>
        <w:rPr>
          <w:rFonts w:ascii="Arial" w:eastAsia="Arial" w:hAnsi="Arial" w:cs="Arial"/>
          <w:bCs/>
          <w:sz w:val="20"/>
        </w:rPr>
        <w:t>E</w:t>
      </w:r>
      <w:r w:rsidRPr="009763CE">
        <w:rPr>
          <w:rFonts w:ascii="Arial" w:eastAsia="Arial" w:hAnsi="Arial" w:cs="Arial"/>
          <w:bCs/>
          <w:sz w:val="20"/>
        </w:rPr>
        <w:t>special (</w:t>
      </w:r>
      <w:r>
        <w:rPr>
          <w:rFonts w:ascii="Arial" w:eastAsia="Arial" w:hAnsi="Arial" w:cs="Arial"/>
          <w:bCs/>
          <w:sz w:val="20"/>
        </w:rPr>
        <w:t>TCE</w:t>
      </w:r>
      <w:r w:rsidRPr="009763CE">
        <w:rPr>
          <w:rFonts w:ascii="Arial" w:eastAsia="Arial" w:hAnsi="Arial" w:cs="Arial"/>
          <w:bCs/>
          <w:sz w:val="20"/>
        </w:rPr>
        <w:t xml:space="preserve">). Licitação. Contrato. Obra. Projeto básico deficitário; composição de custos sem parâmetros de mercado; alterações, por aditivo, além dos limites legais; sobrepreço, superfaturamento e jogo de planilha; ausência de alvará de construção, relatório de impacto sobre o tráfego urbano e relatório de impacto ambiental; dilação de prazo para a conclusão da obra, sem estudos técnicos; não comprovação do cumprimento das obrigações contratuais e dos recolhimentos legais; descumprimento às determinações do </w:t>
      </w:r>
      <w:r>
        <w:rPr>
          <w:rFonts w:ascii="Arial" w:eastAsia="Arial" w:hAnsi="Arial" w:cs="Arial"/>
          <w:bCs/>
          <w:sz w:val="20"/>
        </w:rPr>
        <w:t>T</w:t>
      </w:r>
      <w:r w:rsidRPr="009763CE">
        <w:rPr>
          <w:rFonts w:ascii="Arial" w:eastAsia="Arial" w:hAnsi="Arial" w:cs="Arial"/>
          <w:bCs/>
          <w:sz w:val="20"/>
        </w:rPr>
        <w:t xml:space="preserve">ribunal de </w:t>
      </w:r>
      <w:r>
        <w:rPr>
          <w:rFonts w:ascii="Arial" w:eastAsia="Arial" w:hAnsi="Arial" w:cs="Arial"/>
          <w:bCs/>
          <w:sz w:val="20"/>
        </w:rPr>
        <w:t>C</w:t>
      </w:r>
      <w:r w:rsidRPr="009763CE">
        <w:rPr>
          <w:rFonts w:ascii="Arial" w:eastAsia="Arial" w:hAnsi="Arial" w:cs="Arial"/>
          <w:bCs/>
          <w:sz w:val="20"/>
        </w:rPr>
        <w:t>ontas, outros. Ausência de dano em face de atuação preventiva da corte de contas. Atos de gestão ilegais, ilegítimos e antieconômicos. Alterações contratuais, além do limite legal. Responsabilização de parecerista e demais agentes públicos por culpa e/ou erro grosseiro. Desnecessidade de comprovação de dolo ou má-fé.</w:t>
      </w:r>
    </w:p>
    <w:p w14:paraId="29202E88" w14:textId="77777777" w:rsidR="00674104" w:rsidRDefault="00674104">
      <w:pPr>
        <w:spacing w:line="276" w:lineRule="auto"/>
        <w:jc w:val="both"/>
        <w:rPr>
          <w:rFonts w:ascii="Arial" w:eastAsia="Arial" w:hAnsi="Arial" w:cs="Arial"/>
          <w:sz w:val="20"/>
        </w:rPr>
      </w:pPr>
    </w:p>
    <w:p w14:paraId="5F0BA4A7" w14:textId="5808C75D" w:rsidR="009763CE" w:rsidRPr="009763CE" w:rsidRDefault="009763CE" w:rsidP="009763CE">
      <w:pPr>
        <w:spacing w:line="276" w:lineRule="auto"/>
        <w:jc w:val="both"/>
        <w:rPr>
          <w:rFonts w:ascii="Arial" w:eastAsia="Arial" w:hAnsi="Arial" w:cs="Arial"/>
          <w:sz w:val="20"/>
        </w:rPr>
      </w:pPr>
      <w:r w:rsidRPr="009763CE">
        <w:rPr>
          <w:rFonts w:ascii="Arial" w:eastAsia="Arial" w:hAnsi="Arial" w:cs="Arial"/>
          <w:sz w:val="20"/>
        </w:rPr>
        <w:lastRenderedPageBreak/>
        <w:t xml:space="preserve">4. Ação </w:t>
      </w:r>
      <w:r>
        <w:rPr>
          <w:rFonts w:ascii="Arial" w:eastAsia="Arial" w:hAnsi="Arial" w:cs="Arial"/>
          <w:sz w:val="20"/>
        </w:rPr>
        <w:t>D</w:t>
      </w:r>
      <w:r w:rsidRPr="009763CE">
        <w:rPr>
          <w:rFonts w:ascii="Arial" w:eastAsia="Arial" w:hAnsi="Arial" w:cs="Arial"/>
          <w:sz w:val="20"/>
        </w:rPr>
        <w:t xml:space="preserve">ireta de </w:t>
      </w:r>
      <w:r>
        <w:rPr>
          <w:rFonts w:ascii="Arial" w:eastAsia="Arial" w:hAnsi="Arial" w:cs="Arial"/>
          <w:sz w:val="20"/>
        </w:rPr>
        <w:t>I</w:t>
      </w:r>
      <w:r w:rsidRPr="009763CE">
        <w:rPr>
          <w:rFonts w:ascii="Arial" w:eastAsia="Arial" w:hAnsi="Arial" w:cs="Arial"/>
          <w:sz w:val="20"/>
        </w:rPr>
        <w:t xml:space="preserve">nconstitucionalidade. Lei </w:t>
      </w:r>
      <w:r>
        <w:rPr>
          <w:rFonts w:ascii="Arial" w:eastAsia="Arial" w:hAnsi="Arial" w:cs="Arial"/>
          <w:sz w:val="20"/>
        </w:rPr>
        <w:t>E</w:t>
      </w:r>
      <w:r w:rsidRPr="009763CE">
        <w:rPr>
          <w:rFonts w:ascii="Arial" w:eastAsia="Arial" w:hAnsi="Arial" w:cs="Arial"/>
          <w:sz w:val="20"/>
        </w:rPr>
        <w:t xml:space="preserve">stadual nº 1.255, de 2018, de </w:t>
      </w:r>
      <w:r>
        <w:rPr>
          <w:rFonts w:ascii="Arial" w:eastAsia="Arial" w:hAnsi="Arial" w:cs="Arial"/>
          <w:sz w:val="20"/>
        </w:rPr>
        <w:t>R</w:t>
      </w:r>
      <w:r w:rsidRPr="009763CE">
        <w:rPr>
          <w:rFonts w:ascii="Arial" w:eastAsia="Arial" w:hAnsi="Arial" w:cs="Arial"/>
          <w:sz w:val="20"/>
        </w:rPr>
        <w:t xml:space="preserve">oraima. Acréscimo remuneratório dos servidores efetivos da fundação estadual do meio ambiente e recursos hídricos de </w:t>
      </w:r>
      <w:r>
        <w:rPr>
          <w:rFonts w:ascii="Arial" w:eastAsia="Arial" w:hAnsi="Arial" w:cs="Arial"/>
          <w:sz w:val="20"/>
        </w:rPr>
        <w:t>R</w:t>
      </w:r>
      <w:r w:rsidRPr="009763CE">
        <w:rPr>
          <w:rFonts w:ascii="Arial" w:eastAsia="Arial" w:hAnsi="Arial" w:cs="Arial"/>
          <w:sz w:val="20"/>
        </w:rPr>
        <w:t>oraima (</w:t>
      </w:r>
      <w:r>
        <w:rPr>
          <w:rFonts w:ascii="Arial" w:eastAsia="Arial" w:hAnsi="Arial" w:cs="Arial"/>
          <w:sz w:val="20"/>
        </w:rPr>
        <w:t>FEMARH</w:t>
      </w:r>
      <w:r w:rsidRPr="009763CE">
        <w:rPr>
          <w:rFonts w:ascii="Arial" w:eastAsia="Arial" w:hAnsi="Arial" w:cs="Arial"/>
          <w:sz w:val="20"/>
        </w:rPr>
        <w:t>/</w:t>
      </w:r>
      <w:r>
        <w:rPr>
          <w:rFonts w:ascii="Arial" w:eastAsia="Arial" w:hAnsi="Arial" w:cs="Arial"/>
          <w:sz w:val="20"/>
        </w:rPr>
        <w:t>RR</w:t>
      </w:r>
      <w:r w:rsidRPr="009763CE">
        <w:rPr>
          <w:rFonts w:ascii="Arial" w:eastAsia="Arial" w:hAnsi="Arial" w:cs="Arial"/>
          <w:sz w:val="20"/>
        </w:rPr>
        <w:t xml:space="preserve">) e do </w:t>
      </w:r>
      <w:r>
        <w:rPr>
          <w:rFonts w:ascii="Arial" w:eastAsia="Arial" w:hAnsi="Arial" w:cs="Arial"/>
          <w:sz w:val="20"/>
        </w:rPr>
        <w:t>I</w:t>
      </w:r>
      <w:r w:rsidRPr="009763CE">
        <w:rPr>
          <w:rFonts w:ascii="Arial" w:eastAsia="Arial" w:hAnsi="Arial" w:cs="Arial"/>
          <w:sz w:val="20"/>
        </w:rPr>
        <w:t xml:space="preserve">nstituto de </w:t>
      </w:r>
      <w:r>
        <w:rPr>
          <w:rFonts w:ascii="Arial" w:eastAsia="Arial" w:hAnsi="Arial" w:cs="Arial"/>
          <w:sz w:val="20"/>
        </w:rPr>
        <w:t>A</w:t>
      </w:r>
      <w:r w:rsidRPr="009763CE">
        <w:rPr>
          <w:rFonts w:ascii="Arial" w:eastAsia="Arial" w:hAnsi="Arial" w:cs="Arial"/>
          <w:sz w:val="20"/>
        </w:rPr>
        <w:t xml:space="preserve">mparo à </w:t>
      </w:r>
      <w:r>
        <w:rPr>
          <w:rFonts w:ascii="Arial" w:eastAsia="Arial" w:hAnsi="Arial" w:cs="Arial"/>
          <w:sz w:val="20"/>
        </w:rPr>
        <w:t>C</w:t>
      </w:r>
      <w:r w:rsidRPr="009763CE">
        <w:rPr>
          <w:rFonts w:ascii="Arial" w:eastAsia="Arial" w:hAnsi="Arial" w:cs="Arial"/>
          <w:sz w:val="20"/>
        </w:rPr>
        <w:t xml:space="preserve">iência, </w:t>
      </w:r>
      <w:r>
        <w:rPr>
          <w:rFonts w:ascii="Arial" w:eastAsia="Arial" w:hAnsi="Arial" w:cs="Arial"/>
          <w:sz w:val="20"/>
        </w:rPr>
        <w:t>T</w:t>
      </w:r>
      <w:r w:rsidRPr="009763CE">
        <w:rPr>
          <w:rFonts w:ascii="Arial" w:eastAsia="Arial" w:hAnsi="Arial" w:cs="Arial"/>
          <w:sz w:val="20"/>
        </w:rPr>
        <w:t xml:space="preserve">ecnologia e </w:t>
      </w:r>
      <w:r>
        <w:rPr>
          <w:rFonts w:ascii="Arial" w:eastAsia="Arial" w:hAnsi="Arial" w:cs="Arial"/>
          <w:sz w:val="20"/>
        </w:rPr>
        <w:t>I</w:t>
      </w:r>
      <w:r w:rsidRPr="009763CE">
        <w:rPr>
          <w:rFonts w:ascii="Arial" w:eastAsia="Arial" w:hAnsi="Arial" w:cs="Arial"/>
          <w:sz w:val="20"/>
        </w:rPr>
        <w:t xml:space="preserve">novação do </w:t>
      </w:r>
      <w:r>
        <w:rPr>
          <w:rFonts w:ascii="Arial" w:eastAsia="Arial" w:hAnsi="Arial" w:cs="Arial"/>
          <w:sz w:val="20"/>
        </w:rPr>
        <w:t>E</w:t>
      </w:r>
      <w:r w:rsidRPr="009763CE">
        <w:rPr>
          <w:rFonts w:ascii="Arial" w:eastAsia="Arial" w:hAnsi="Arial" w:cs="Arial"/>
          <w:sz w:val="20"/>
        </w:rPr>
        <w:t xml:space="preserve">stado de </w:t>
      </w:r>
      <w:r>
        <w:rPr>
          <w:rFonts w:ascii="Arial" w:eastAsia="Arial" w:hAnsi="Arial" w:cs="Arial"/>
          <w:sz w:val="20"/>
        </w:rPr>
        <w:t>R</w:t>
      </w:r>
      <w:r w:rsidRPr="009763CE">
        <w:rPr>
          <w:rFonts w:ascii="Arial" w:eastAsia="Arial" w:hAnsi="Arial" w:cs="Arial"/>
          <w:sz w:val="20"/>
        </w:rPr>
        <w:t>oraima (</w:t>
      </w:r>
      <w:r>
        <w:rPr>
          <w:rFonts w:ascii="Arial" w:eastAsia="Arial" w:hAnsi="Arial" w:cs="Arial"/>
          <w:sz w:val="20"/>
        </w:rPr>
        <w:t>IACTI</w:t>
      </w:r>
      <w:r w:rsidRPr="009763CE">
        <w:rPr>
          <w:rFonts w:ascii="Arial" w:eastAsia="Arial" w:hAnsi="Arial" w:cs="Arial"/>
          <w:sz w:val="20"/>
        </w:rPr>
        <w:t>/</w:t>
      </w:r>
      <w:r>
        <w:rPr>
          <w:rFonts w:ascii="Arial" w:eastAsia="Arial" w:hAnsi="Arial" w:cs="Arial"/>
          <w:sz w:val="20"/>
        </w:rPr>
        <w:t>RR</w:t>
      </w:r>
      <w:r w:rsidRPr="009763CE">
        <w:rPr>
          <w:rFonts w:ascii="Arial" w:eastAsia="Arial" w:hAnsi="Arial" w:cs="Arial"/>
          <w:sz w:val="20"/>
        </w:rPr>
        <w:t xml:space="preserve">). Ausência de prévia dotação orçamentária e de estudo do impacto econômico e financeiro do aumento conferido pela norma impugnada. Ofensa aos </w:t>
      </w:r>
      <w:proofErr w:type="spellStart"/>
      <w:r w:rsidRPr="009763CE">
        <w:rPr>
          <w:rFonts w:ascii="Arial" w:eastAsia="Arial" w:hAnsi="Arial" w:cs="Arial"/>
          <w:sz w:val="20"/>
        </w:rPr>
        <w:t>arts</w:t>
      </w:r>
      <w:proofErr w:type="spellEnd"/>
      <w:r w:rsidRPr="009763CE">
        <w:rPr>
          <w:rFonts w:ascii="Arial" w:eastAsia="Arial" w:hAnsi="Arial" w:cs="Arial"/>
          <w:sz w:val="20"/>
        </w:rPr>
        <w:t xml:space="preserve">. 169, § 1º, da </w:t>
      </w:r>
      <w:r>
        <w:rPr>
          <w:rFonts w:ascii="Arial" w:eastAsia="Arial" w:hAnsi="Arial" w:cs="Arial"/>
          <w:sz w:val="20"/>
        </w:rPr>
        <w:t>CRFB</w:t>
      </w:r>
      <w:r w:rsidRPr="009763CE">
        <w:rPr>
          <w:rFonts w:ascii="Arial" w:eastAsia="Arial" w:hAnsi="Arial" w:cs="Arial"/>
          <w:sz w:val="20"/>
        </w:rPr>
        <w:t xml:space="preserve">, e 113 do </w:t>
      </w:r>
      <w:r>
        <w:rPr>
          <w:rFonts w:ascii="Arial" w:eastAsia="Arial" w:hAnsi="Arial" w:cs="Arial"/>
          <w:sz w:val="20"/>
        </w:rPr>
        <w:t>ADCT</w:t>
      </w:r>
      <w:r w:rsidRPr="009763CE">
        <w:rPr>
          <w:rFonts w:ascii="Arial" w:eastAsia="Arial" w:hAnsi="Arial" w:cs="Arial"/>
          <w:sz w:val="20"/>
        </w:rPr>
        <w:t>. Procedência. Modulação dos efeitos da decisão.</w:t>
      </w:r>
    </w:p>
    <w:p w14:paraId="4113E75B" w14:textId="77777777" w:rsidR="00674104" w:rsidRDefault="00674104">
      <w:pPr>
        <w:spacing w:line="276" w:lineRule="auto"/>
        <w:jc w:val="both"/>
        <w:rPr>
          <w:rFonts w:ascii="Arial" w:eastAsia="Arial" w:hAnsi="Arial" w:cs="Arial"/>
          <w:sz w:val="20"/>
        </w:rPr>
      </w:pPr>
    </w:p>
    <w:p w14:paraId="3BB8F28E" w14:textId="4FDD8F07" w:rsidR="009763CE" w:rsidRPr="009763CE" w:rsidRDefault="009763CE" w:rsidP="009763CE">
      <w:pPr>
        <w:spacing w:line="276" w:lineRule="auto"/>
        <w:jc w:val="both"/>
        <w:rPr>
          <w:rFonts w:ascii="Arial" w:eastAsia="Arial" w:hAnsi="Arial" w:cs="Arial"/>
          <w:color w:val="000000"/>
          <w:sz w:val="20"/>
          <w:szCs w:val="20"/>
        </w:rPr>
      </w:pPr>
      <w:r w:rsidRPr="009763CE">
        <w:rPr>
          <w:rFonts w:ascii="Arial" w:eastAsia="Arial" w:hAnsi="Arial" w:cs="Arial"/>
          <w:color w:val="000000"/>
          <w:sz w:val="20"/>
          <w:szCs w:val="20"/>
        </w:rPr>
        <w:t xml:space="preserve">5. </w:t>
      </w:r>
      <w:r w:rsidRPr="009763CE">
        <w:rPr>
          <w:rFonts w:ascii="Arial" w:eastAsia="Arial" w:hAnsi="Arial" w:cs="Arial"/>
          <w:color w:val="000000"/>
          <w:sz w:val="20"/>
          <w:szCs w:val="20"/>
        </w:rPr>
        <w:t xml:space="preserve">Processual </w:t>
      </w:r>
      <w:r>
        <w:rPr>
          <w:rFonts w:ascii="Arial" w:eastAsia="Arial" w:hAnsi="Arial" w:cs="Arial"/>
          <w:color w:val="000000"/>
          <w:sz w:val="20"/>
          <w:szCs w:val="20"/>
        </w:rPr>
        <w:t>C</w:t>
      </w:r>
      <w:r w:rsidRPr="009763CE">
        <w:rPr>
          <w:rFonts w:ascii="Arial" w:eastAsia="Arial" w:hAnsi="Arial" w:cs="Arial"/>
          <w:color w:val="000000"/>
          <w:sz w:val="20"/>
          <w:szCs w:val="20"/>
        </w:rPr>
        <w:t xml:space="preserve">ivil. Agravo </w:t>
      </w:r>
      <w:r>
        <w:rPr>
          <w:rFonts w:ascii="Arial" w:eastAsia="Arial" w:hAnsi="Arial" w:cs="Arial"/>
          <w:color w:val="000000"/>
          <w:sz w:val="20"/>
          <w:szCs w:val="20"/>
        </w:rPr>
        <w:t>I</w:t>
      </w:r>
      <w:r w:rsidRPr="009763CE">
        <w:rPr>
          <w:rFonts w:ascii="Arial" w:eastAsia="Arial" w:hAnsi="Arial" w:cs="Arial"/>
          <w:color w:val="000000"/>
          <w:sz w:val="20"/>
          <w:szCs w:val="20"/>
        </w:rPr>
        <w:t xml:space="preserve">nterno no </w:t>
      </w:r>
      <w:r>
        <w:rPr>
          <w:rFonts w:ascii="Arial" w:eastAsia="Arial" w:hAnsi="Arial" w:cs="Arial"/>
          <w:color w:val="000000"/>
          <w:sz w:val="20"/>
          <w:szCs w:val="20"/>
        </w:rPr>
        <w:t>A</w:t>
      </w:r>
      <w:r w:rsidRPr="009763CE">
        <w:rPr>
          <w:rFonts w:ascii="Arial" w:eastAsia="Arial" w:hAnsi="Arial" w:cs="Arial"/>
          <w:color w:val="000000"/>
          <w:sz w:val="20"/>
          <w:szCs w:val="20"/>
        </w:rPr>
        <w:t xml:space="preserve">gravo </w:t>
      </w:r>
      <w:r>
        <w:rPr>
          <w:rFonts w:ascii="Arial" w:eastAsia="Arial" w:hAnsi="Arial" w:cs="Arial"/>
          <w:color w:val="000000"/>
          <w:sz w:val="20"/>
          <w:szCs w:val="20"/>
        </w:rPr>
        <w:t>I</w:t>
      </w:r>
      <w:r w:rsidRPr="009763CE">
        <w:rPr>
          <w:rFonts w:ascii="Arial" w:eastAsia="Arial" w:hAnsi="Arial" w:cs="Arial"/>
          <w:color w:val="000000"/>
          <w:sz w:val="20"/>
          <w:szCs w:val="20"/>
        </w:rPr>
        <w:t xml:space="preserve">nterno no </w:t>
      </w:r>
      <w:r>
        <w:rPr>
          <w:rFonts w:ascii="Arial" w:eastAsia="Arial" w:hAnsi="Arial" w:cs="Arial"/>
          <w:color w:val="000000"/>
          <w:sz w:val="20"/>
          <w:szCs w:val="20"/>
        </w:rPr>
        <w:t>R</w:t>
      </w:r>
      <w:r w:rsidRPr="009763CE">
        <w:rPr>
          <w:rFonts w:ascii="Arial" w:eastAsia="Arial" w:hAnsi="Arial" w:cs="Arial"/>
          <w:color w:val="000000"/>
          <w:sz w:val="20"/>
          <w:szCs w:val="20"/>
        </w:rPr>
        <w:t xml:space="preserve">ecurso </w:t>
      </w:r>
      <w:r>
        <w:rPr>
          <w:rFonts w:ascii="Arial" w:eastAsia="Arial" w:hAnsi="Arial" w:cs="Arial"/>
          <w:color w:val="000000"/>
          <w:sz w:val="20"/>
          <w:szCs w:val="20"/>
        </w:rPr>
        <w:t>E</w:t>
      </w:r>
      <w:r w:rsidRPr="009763CE">
        <w:rPr>
          <w:rFonts w:ascii="Arial" w:eastAsia="Arial" w:hAnsi="Arial" w:cs="Arial"/>
          <w:color w:val="000000"/>
          <w:sz w:val="20"/>
          <w:szCs w:val="20"/>
        </w:rPr>
        <w:t xml:space="preserve">special. Código de </w:t>
      </w:r>
      <w:r>
        <w:rPr>
          <w:rFonts w:ascii="Arial" w:eastAsia="Arial" w:hAnsi="Arial" w:cs="Arial"/>
          <w:color w:val="000000"/>
          <w:sz w:val="20"/>
          <w:szCs w:val="20"/>
        </w:rPr>
        <w:t>P</w:t>
      </w:r>
      <w:r w:rsidRPr="009763CE">
        <w:rPr>
          <w:rFonts w:ascii="Arial" w:eastAsia="Arial" w:hAnsi="Arial" w:cs="Arial"/>
          <w:color w:val="000000"/>
          <w:sz w:val="20"/>
          <w:szCs w:val="20"/>
        </w:rPr>
        <w:t xml:space="preserve">rocesso </w:t>
      </w:r>
      <w:r>
        <w:rPr>
          <w:rFonts w:ascii="Arial" w:eastAsia="Arial" w:hAnsi="Arial" w:cs="Arial"/>
          <w:color w:val="000000"/>
          <w:sz w:val="20"/>
          <w:szCs w:val="20"/>
        </w:rPr>
        <w:t>C</w:t>
      </w:r>
      <w:r w:rsidRPr="009763CE">
        <w:rPr>
          <w:rFonts w:ascii="Arial" w:eastAsia="Arial" w:hAnsi="Arial" w:cs="Arial"/>
          <w:color w:val="000000"/>
          <w:sz w:val="20"/>
          <w:szCs w:val="20"/>
        </w:rPr>
        <w:t>ivil de 2015. Aplicabilidade. Urbanístico. Ambiental. Operações urbanas consorciadas. Instrumento de política urbana. Tutela do meio ambiente natural e artificial. Estatuto da cidade. Ação civil pública. Pretensão indenizatória. Cariz ambiental do pedido formulado. Imprescritibilidade. Tema n.</w:t>
      </w:r>
      <w:r>
        <w:rPr>
          <w:rFonts w:ascii="Arial" w:eastAsia="Arial" w:hAnsi="Arial" w:cs="Arial"/>
          <w:color w:val="000000"/>
          <w:sz w:val="20"/>
          <w:szCs w:val="20"/>
        </w:rPr>
        <w:t>º</w:t>
      </w:r>
      <w:r w:rsidRPr="009763CE">
        <w:rPr>
          <w:rFonts w:ascii="Arial" w:eastAsia="Arial" w:hAnsi="Arial" w:cs="Arial"/>
          <w:color w:val="000000"/>
          <w:sz w:val="20"/>
          <w:szCs w:val="20"/>
        </w:rPr>
        <w:t xml:space="preserve"> 999/</w:t>
      </w:r>
      <w:r>
        <w:rPr>
          <w:rFonts w:ascii="Arial" w:eastAsia="Arial" w:hAnsi="Arial" w:cs="Arial"/>
          <w:color w:val="000000"/>
          <w:sz w:val="20"/>
          <w:szCs w:val="20"/>
        </w:rPr>
        <w:t>STF</w:t>
      </w:r>
      <w:r w:rsidRPr="009763CE">
        <w:rPr>
          <w:rFonts w:ascii="Arial" w:eastAsia="Arial" w:hAnsi="Arial" w:cs="Arial"/>
          <w:color w:val="000000"/>
          <w:sz w:val="20"/>
          <w:szCs w:val="20"/>
        </w:rPr>
        <w:t xml:space="preserve">. Agravo </w:t>
      </w:r>
      <w:r>
        <w:rPr>
          <w:rFonts w:ascii="Arial" w:eastAsia="Arial" w:hAnsi="Arial" w:cs="Arial"/>
          <w:color w:val="000000"/>
          <w:sz w:val="20"/>
          <w:szCs w:val="20"/>
        </w:rPr>
        <w:t>I</w:t>
      </w:r>
      <w:r w:rsidRPr="009763CE">
        <w:rPr>
          <w:rFonts w:ascii="Arial" w:eastAsia="Arial" w:hAnsi="Arial" w:cs="Arial"/>
          <w:color w:val="000000"/>
          <w:sz w:val="20"/>
          <w:szCs w:val="20"/>
        </w:rPr>
        <w:t xml:space="preserve">nterno provido. Recurso </w:t>
      </w:r>
      <w:r>
        <w:rPr>
          <w:rFonts w:ascii="Arial" w:eastAsia="Arial" w:hAnsi="Arial" w:cs="Arial"/>
          <w:color w:val="000000"/>
          <w:sz w:val="20"/>
          <w:szCs w:val="20"/>
        </w:rPr>
        <w:t>E</w:t>
      </w:r>
      <w:r w:rsidRPr="009763CE">
        <w:rPr>
          <w:rFonts w:ascii="Arial" w:eastAsia="Arial" w:hAnsi="Arial" w:cs="Arial"/>
          <w:color w:val="000000"/>
          <w:sz w:val="20"/>
          <w:szCs w:val="20"/>
        </w:rPr>
        <w:t>special improvido.</w:t>
      </w:r>
    </w:p>
    <w:p w14:paraId="24DBAAFB" w14:textId="77777777" w:rsidR="00674104" w:rsidRDefault="00674104">
      <w:pPr>
        <w:spacing w:line="276" w:lineRule="auto"/>
        <w:jc w:val="both"/>
        <w:rPr>
          <w:rFonts w:ascii="Arial" w:eastAsia="Arial" w:hAnsi="Arial" w:cs="Arial"/>
          <w:bCs/>
          <w:sz w:val="20"/>
          <w:szCs w:val="20"/>
        </w:rPr>
      </w:pPr>
    </w:p>
    <w:p w14:paraId="1A3B1EBA" w14:textId="45A3612C"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69167A3E" w14:textId="77777777" w:rsidR="00674104" w:rsidRDefault="00674104">
      <w:pPr>
        <w:spacing w:line="276" w:lineRule="auto"/>
        <w:jc w:val="both"/>
        <w:rPr>
          <w:rFonts w:ascii="Arial" w:eastAsia="Arial" w:hAnsi="Arial" w:cs="Arial"/>
          <w:sz w:val="20"/>
          <w:szCs w:val="20"/>
        </w:rPr>
      </w:pPr>
    </w:p>
    <w:p w14:paraId="257E6043" w14:textId="2501D42F" w:rsidR="007A5AED" w:rsidRPr="007A5AED" w:rsidRDefault="009F144D" w:rsidP="00F332E4">
      <w:pPr>
        <w:spacing w:after="120" w:line="276" w:lineRule="auto"/>
        <w:jc w:val="both"/>
        <w:rPr>
          <w:rFonts w:ascii="Arial" w:eastAsia="Arial" w:hAnsi="Arial" w:cs="Arial"/>
          <w:b/>
          <w:bCs/>
          <w:sz w:val="20"/>
          <w:szCs w:val="20"/>
        </w:rPr>
      </w:pPr>
      <w:r>
        <w:rPr>
          <w:rFonts w:ascii="Arial" w:eastAsiaTheme="minorHAnsi" w:hAnsi="Arial" w:cs="Arial"/>
          <w:b/>
          <w:bCs/>
          <w:sz w:val="20"/>
          <w:szCs w:val="20"/>
          <w:lang w:eastAsia="en-US"/>
        </w:rPr>
        <w:t>1</w:t>
      </w:r>
      <w:r w:rsidR="009204AA">
        <w:rPr>
          <w:rFonts w:ascii="Arial" w:eastAsiaTheme="minorHAnsi" w:hAnsi="Arial" w:cs="Arial"/>
          <w:b/>
          <w:bCs/>
          <w:sz w:val="20"/>
          <w:szCs w:val="20"/>
          <w:lang w:eastAsia="en-US"/>
        </w:rPr>
        <w:t xml:space="preserve">. </w:t>
      </w:r>
      <w:r w:rsidR="007A5AED" w:rsidRPr="007A5AED">
        <w:rPr>
          <w:rFonts w:ascii="Arial" w:eastAsiaTheme="minorHAnsi" w:hAnsi="Arial" w:cs="Arial"/>
          <w:b/>
          <w:bCs/>
          <w:sz w:val="20"/>
          <w:szCs w:val="20"/>
          <w:lang w:eastAsia="en-US"/>
        </w:rPr>
        <w:t>SOLICITAÇÃO DO CONGRESSO NACIONAL. LEI 14.182/2021. PRIVATIZAÇÃO DA ELETROBRAS. CONTRATAÇÃO DE ENERGIA TÉRMICA MOVIDA A GÁS NATURAL NA MODALIDADE LEILÃO DE RESEVA DE CAPACIDADE EM REGIÕES E QUANTIDADE PRÉ-DETERMINADA PELO LEGISLADOR. POTENCIAL INCOMPATIBILIDADE ENTRE O COMANDO LEGAL E DEMAIS LEIS E PRINCÍPIOS DO SETOR ELÉTRICO BRASILEIRO E DA ADMINISTRAÇÃO PÚBLICA. ANTINOMIA JURÍDICA. CONTRATAÇÃO EM MONTANTES PRÉ-DETERMINADOS SEM RESPALDO DE ESTUDO OFICIAL INDICANDO NECESSIDADE SISTÊMICA. EVENTUAL DESVIRTUAMENTO DO CONCEITO DA MODALIDADE “ENERGIA DE RESERVA”, COM ONERAÇÃO DOS CONSUMIDORES. DEFICIÊNCIA DE MOTIVAÇÃO PARA ALOCAÇÃO DE MONTANTES DE ENERGIA POR UNIDADE DA FEDERAÇÃO.  CARÊNCIA DE ESTUDOS QUANTO ÀS CONSEQUÊNCIAS TARIFÁRIAS E AMBIENTAIS DAS CONTRATAÇÕES. CONHECIMENTO. COMUNICAÇÕES À COMISSÃO DA CÂMARA DOS DEPUTADOS. CIÊNCIA AO MME. ENCAMINHAMENTO DOS AUTOS AO MPF. CUMPRIMENTO DA SCN. ARQUIVAMENTO.</w:t>
      </w:r>
    </w:p>
    <w:p w14:paraId="570EDA98" w14:textId="7F8CE501" w:rsidR="0048296C" w:rsidRPr="0048296C" w:rsidRDefault="0048296C" w:rsidP="0048296C">
      <w:pPr>
        <w:autoSpaceDE w:val="0"/>
        <w:autoSpaceDN w:val="0"/>
        <w:adjustRightInd w:val="0"/>
        <w:spacing w:after="120"/>
        <w:jc w:val="both"/>
        <w:rPr>
          <w:rFonts w:ascii="Arial" w:eastAsiaTheme="minorHAnsi" w:hAnsi="Arial" w:cs="Arial"/>
          <w:sz w:val="20"/>
          <w:szCs w:val="20"/>
          <w:lang w:eastAsia="en-US"/>
        </w:rPr>
      </w:pPr>
      <w:r w:rsidRPr="0048296C">
        <w:rPr>
          <w:rFonts w:ascii="Arial" w:eastAsiaTheme="minorHAnsi" w:hAnsi="Arial" w:cs="Arial"/>
          <w:sz w:val="20"/>
          <w:szCs w:val="20"/>
          <w:lang w:eastAsia="en-US"/>
        </w:rPr>
        <w:t>(...)</w:t>
      </w:r>
    </w:p>
    <w:p w14:paraId="4AF24AE7" w14:textId="7ADD8408" w:rsidR="0048296C" w:rsidRDefault="0048296C" w:rsidP="0048296C">
      <w:pPr>
        <w:autoSpaceDE w:val="0"/>
        <w:autoSpaceDN w:val="0"/>
        <w:adjustRightInd w:val="0"/>
        <w:spacing w:after="120"/>
        <w:jc w:val="both"/>
        <w:rPr>
          <w:rFonts w:ascii="Arial" w:eastAsiaTheme="minorHAnsi" w:hAnsi="Arial" w:cs="Arial"/>
          <w:sz w:val="20"/>
          <w:szCs w:val="20"/>
          <w:lang w:eastAsia="en-US"/>
        </w:rPr>
      </w:pPr>
      <w:r w:rsidRPr="0048296C">
        <w:rPr>
          <w:rFonts w:ascii="Arial" w:eastAsiaTheme="minorHAnsi" w:hAnsi="Arial" w:cs="Arial"/>
          <w:sz w:val="20"/>
          <w:szCs w:val="20"/>
          <w:lang w:eastAsia="en-US"/>
        </w:rPr>
        <w:t xml:space="preserve">9.2.6. identificou-se </w:t>
      </w:r>
      <w:r w:rsidRPr="0048296C">
        <w:rPr>
          <w:rFonts w:ascii="Arial" w:eastAsiaTheme="minorHAnsi" w:hAnsi="Arial" w:cs="Arial"/>
          <w:sz w:val="20"/>
          <w:szCs w:val="20"/>
          <w:u w:val="single"/>
          <w:lang w:eastAsia="en-US"/>
        </w:rPr>
        <w:t>carência de estudos quanto às consequências tarifárias e ambientais da contratação</w:t>
      </w:r>
      <w:r w:rsidRPr="0048296C">
        <w:rPr>
          <w:rFonts w:ascii="Arial" w:eastAsiaTheme="minorHAnsi" w:hAnsi="Arial" w:cs="Arial"/>
          <w:sz w:val="20"/>
          <w:szCs w:val="20"/>
          <w:lang w:eastAsia="en-US"/>
        </w:rPr>
        <w:t xml:space="preserve">: no que se refere aos impactos tarifários e consequências ambientais do comando legal de contratação de 8.000 MW de termelétricas movidas a gás natural, não houve estudos oficiais a respeito. Verificou-se que as emendas à MPV 1.031/2021, convertida na Lei 14.182/2021, </w:t>
      </w:r>
      <w:r w:rsidRPr="0048296C">
        <w:rPr>
          <w:rFonts w:ascii="Arial" w:eastAsiaTheme="minorHAnsi" w:hAnsi="Arial" w:cs="Arial"/>
          <w:sz w:val="20"/>
          <w:szCs w:val="20"/>
          <w:u w:val="single"/>
          <w:lang w:eastAsia="en-US"/>
        </w:rPr>
        <w:t>não foram objeto de estudos prévios ou posteriores por parte dos órgãos do Setor Elétrico Brasileiro</w:t>
      </w:r>
      <w:r w:rsidRPr="0048296C">
        <w:rPr>
          <w:rFonts w:ascii="Arial" w:eastAsiaTheme="minorHAnsi" w:hAnsi="Arial" w:cs="Arial"/>
          <w:sz w:val="20"/>
          <w:szCs w:val="20"/>
          <w:lang w:eastAsia="en-US"/>
        </w:rPr>
        <w:t>. Tais demandas foram inseridas pelo Poder Legislativo sem perfeita sintonia com o planejamento setorial (referente ao ACHADO 5);</w:t>
      </w:r>
    </w:p>
    <w:p w14:paraId="1F1F2623" w14:textId="1F0402E2" w:rsidR="005D558B" w:rsidRDefault="005D558B" w:rsidP="0048296C">
      <w:pPr>
        <w:autoSpaceDE w:val="0"/>
        <w:autoSpaceDN w:val="0"/>
        <w:adjustRightInd w:val="0"/>
        <w:spacing w:after="120"/>
        <w:jc w:val="both"/>
        <w:rPr>
          <w:rFonts w:ascii="Arial" w:eastAsiaTheme="minorHAnsi" w:hAnsi="Arial" w:cs="Arial"/>
          <w:sz w:val="20"/>
          <w:szCs w:val="20"/>
          <w:lang w:eastAsia="en-US"/>
        </w:rPr>
      </w:pPr>
      <w:r>
        <w:rPr>
          <w:rFonts w:ascii="Arial" w:eastAsiaTheme="minorHAnsi" w:hAnsi="Arial" w:cs="Arial"/>
          <w:sz w:val="20"/>
          <w:szCs w:val="20"/>
          <w:lang w:eastAsia="en-US"/>
        </w:rPr>
        <w:t>(...)</w:t>
      </w:r>
    </w:p>
    <w:p w14:paraId="30230643" w14:textId="04EC3DF4" w:rsidR="007A5AED" w:rsidRPr="0048296C" w:rsidRDefault="0048296C" w:rsidP="0048296C">
      <w:pPr>
        <w:pStyle w:val="Default"/>
        <w:spacing w:after="240"/>
        <w:jc w:val="both"/>
        <w:rPr>
          <w:rFonts w:eastAsia="Arial"/>
          <w:sz w:val="20"/>
          <w:szCs w:val="20"/>
        </w:rPr>
      </w:pPr>
      <w:r w:rsidRPr="007A5AED">
        <w:rPr>
          <w:rFonts w:eastAsia="Arial"/>
          <w:sz w:val="20"/>
          <w:szCs w:val="20"/>
        </w:rPr>
        <w:t>(TCU, 010.</w:t>
      </w:r>
      <w:r>
        <w:rPr>
          <w:rFonts w:eastAsia="Arial"/>
          <w:sz w:val="20"/>
          <w:szCs w:val="20"/>
        </w:rPr>
        <w:t>750</w:t>
      </w:r>
      <w:r w:rsidRPr="007A5AED">
        <w:rPr>
          <w:rFonts w:eastAsia="Arial"/>
          <w:sz w:val="20"/>
          <w:szCs w:val="20"/>
        </w:rPr>
        <w:t>/2022-</w:t>
      </w:r>
      <w:r>
        <w:rPr>
          <w:rFonts w:eastAsia="Arial"/>
          <w:sz w:val="20"/>
          <w:szCs w:val="20"/>
        </w:rPr>
        <w:t>3</w:t>
      </w:r>
      <w:r w:rsidRPr="007A5AED">
        <w:rPr>
          <w:rFonts w:eastAsia="Arial"/>
          <w:sz w:val="20"/>
          <w:szCs w:val="20"/>
        </w:rPr>
        <w:t xml:space="preserve">, </w:t>
      </w:r>
      <w:hyperlink r:id="rId8" w:history="1">
        <w:r>
          <w:rPr>
            <w:rStyle w:val="Hyperlink"/>
            <w:rFonts w:eastAsia="Arial"/>
            <w:sz w:val="20"/>
            <w:szCs w:val="20"/>
          </w:rPr>
          <w:t>Acórdão n.º 86/2023 – Plenário</w:t>
        </w:r>
      </w:hyperlink>
      <w:r w:rsidRPr="007A5AED">
        <w:rPr>
          <w:rFonts w:eastAsia="Arial"/>
          <w:sz w:val="20"/>
          <w:szCs w:val="20"/>
        </w:rPr>
        <w:t xml:space="preserve">, Rel. </w:t>
      </w:r>
      <w:r w:rsidRPr="0067269E">
        <w:rPr>
          <w:rFonts w:eastAsia="Arial"/>
          <w:sz w:val="20"/>
          <w:szCs w:val="20"/>
        </w:rPr>
        <w:t xml:space="preserve">Ministro </w:t>
      </w:r>
      <w:r>
        <w:rPr>
          <w:rFonts w:eastAsia="Arial"/>
          <w:sz w:val="20"/>
          <w:szCs w:val="20"/>
        </w:rPr>
        <w:t xml:space="preserve">Benjamin </w:t>
      </w:r>
      <w:proofErr w:type="spellStart"/>
      <w:r>
        <w:rPr>
          <w:rFonts w:eastAsia="Arial"/>
          <w:sz w:val="20"/>
          <w:szCs w:val="20"/>
        </w:rPr>
        <w:t>Zymler</w:t>
      </w:r>
      <w:proofErr w:type="spellEnd"/>
      <w:r w:rsidRPr="0067269E">
        <w:rPr>
          <w:rFonts w:eastAsia="Arial"/>
          <w:sz w:val="20"/>
          <w:szCs w:val="20"/>
        </w:rPr>
        <w:t xml:space="preserve">, </w:t>
      </w:r>
      <w:r>
        <w:rPr>
          <w:rFonts w:eastAsia="Arial"/>
          <w:sz w:val="20"/>
          <w:szCs w:val="20"/>
        </w:rPr>
        <w:t>Plenário</w:t>
      </w:r>
      <w:r w:rsidRPr="0067269E">
        <w:rPr>
          <w:rFonts w:eastAsia="Arial"/>
          <w:sz w:val="20"/>
          <w:szCs w:val="20"/>
        </w:rPr>
        <w:t xml:space="preserve">, julgado em </w:t>
      </w:r>
      <w:r>
        <w:rPr>
          <w:rFonts w:eastAsia="Arial"/>
          <w:sz w:val="20"/>
          <w:szCs w:val="20"/>
        </w:rPr>
        <w:t>2</w:t>
      </w:r>
      <w:r>
        <w:rPr>
          <w:rFonts w:eastAsia="Arial"/>
          <w:sz w:val="20"/>
          <w:szCs w:val="20"/>
        </w:rPr>
        <w:t>5</w:t>
      </w:r>
      <w:r w:rsidRPr="0067269E">
        <w:rPr>
          <w:rFonts w:eastAsia="Arial"/>
          <w:sz w:val="20"/>
          <w:szCs w:val="20"/>
        </w:rPr>
        <w:t>/</w:t>
      </w:r>
      <w:r>
        <w:rPr>
          <w:rFonts w:eastAsia="Arial"/>
          <w:sz w:val="20"/>
          <w:szCs w:val="20"/>
        </w:rPr>
        <w:t>01</w:t>
      </w:r>
      <w:r w:rsidRPr="0067269E">
        <w:rPr>
          <w:rFonts w:eastAsia="Arial"/>
          <w:sz w:val="20"/>
          <w:szCs w:val="20"/>
        </w:rPr>
        <w:t>/202</w:t>
      </w:r>
      <w:r>
        <w:rPr>
          <w:rFonts w:eastAsia="Arial"/>
          <w:sz w:val="20"/>
          <w:szCs w:val="20"/>
        </w:rPr>
        <w:t>3</w:t>
      </w:r>
      <w:r w:rsidRPr="0067269E">
        <w:rPr>
          <w:rFonts w:eastAsia="Arial"/>
          <w:sz w:val="20"/>
          <w:szCs w:val="20"/>
        </w:rPr>
        <w:t>)</w:t>
      </w:r>
    </w:p>
    <w:p w14:paraId="551DEDE1"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4A12FA6C" w14:textId="77777777" w:rsidR="007A5AED" w:rsidRDefault="007A5AED">
      <w:pPr>
        <w:spacing w:line="276" w:lineRule="auto"/>
        <w:jc w:val="both"/>
        <w:rPr>
          <w:rFonts w:ascii="Arial" w:eastAsia="Arial" w:hAnsi="Arial" w:cs="Arial"/>
          <w:b/>
          <w:sz w:val="20"/>
          <w:szCs w:val="20"/>
        </w:rPr>
      </w:pPr>
    </w:p>
    <w:p w14:paraId="74576998" w14:textId="4448460D" w:rsidR="007B66F3" w:rsidRDefault="009763CE" w:rsidP="007B66F3">
      <w:pPr>
        <w:spacing w:after="120"/>
        <w:jc w:val="both"/>
        <w:rPr>
          <w:rFonts w:ascii="Arial" w:eastAsia="Arial" w:hAnsi="Arial" w:cs="Arial"/>
          <w:b/>
          <w:sz w:val="20"/>
        </w:rPr>
      </w:pPr>
      <w:r>
        <w:rPr>
          <w:rFonts w:ascii="Arial" w:eastAsia="Arial" w:hAnsi="Arial" w:cs="Arial"/>
          <w:b/>
          <w:sz w:val="20"/>
        </w:rPr>
        <w:lastRenderedPageBreak/>
        <w:t>2</w:t>
      </w:r>
      <w:r w:rsidR="007B66F3">
        <w:rPr>
          <w:rFonts w:ascii="Arial" w:eastAsia="Arial" w:hAnsi="Arial" w:cs="Arial"/>
          <w:b/>
          <w:sz w:val="20"/>
        </w:rPr>
        <w:t xml:space="preserve">. </w:t>
      </w:r>
      <w:r w:rsidR="007B66F3" w:rsidRPr="007B66F3">
        <w:rPr>
          <w:rFonts w:ascii="Arial" w:eastAsia="Arial" w:hAnsi="Arial" w:cs="Arial"/>
          <w:b/>
          <w:sz w:val="20"/>
        </w:rPr>
        <w:t>HOMOLOGAÇÃO DE RECOMENDAÇÕES PROPOSTAS PELA 3</w:t>
      </w:r>
      <w:r w:rsidR="0015344D">
        <w:rPr>
          <w:rFonts w:ascii="Arial" w:eastAsia="Arial" w:hAnsi="Arial" w:cs="Arial"/>
          <w:b/>
          <w:sz w:val="20"/>
        </w:rPr>
        <w:t>ª</w:t>
      </w:r>
      <w:r w:rsidR="007B66F3" w:rsidRPr="007B66F3">
        <w:rPr>
          <w:rFonts w:ascii="Arial" w:eastAsia="Arial" w:hAnsi="Arial" w:cs="Arial"/>
          <w:b/>
          <w:sz w:val="20"/>
        </w:rPr>
        <w:t xml:space="preserve"> INSPETORIA DE CONTROLE EXTERNO RELATIVAMENTE AO CONTROLE DOS INGRESSOS E APLICAÇÕES DE RECURSOS PROVENIENTES DE INDENIZAÇÕES AMBIENTAIS NO ÂMBITO DO INSTITUTO ÁGUA E TERRA</w:t>
      </w:r>
    </w:p>
    <w:p w14:paraId="40320E37" w14:textId="7F4B9ED0" w:rsidR="007B66F3" w:rsidRPr="007B66F3" w:rsidRDefault="007B66F3" w:rsidP="007B66F3">
      <w:pPr>
        <w:spacing w:after="120"/>
        <w:jc w:val="both"/>
        <w:rPr>
          <w:rFonts w:ascii="Arial" w:eastAsia="Arial" w:hAnsi="Arial" w:cs="Arial"/>
          <w:bCs/>
          <w:sz w:val="20"/>
        </w:rPr>
      </w:pPr>
      <w:r w:rsidRPr="007B66F3">
        <w:rPr>
          <w:rFonts w:ascii="Arial" w:eastAsia="Arial" w:hAnsi="Arial" w:cs="Arial"/>
          <w:bCs/>
          <w:sz w:val="20"/>
        </w:rPr>
        <w:t>(...)</w:t>
      </w:r>
    </w:p>
    <w:p w14:paraId="4B08F207" w14:textId="40B2730A" w:rsidR="007B66F3" w:rsidRPr="007B66F3" w:rsidRDefault="007B66F3" w:rsidP="007B66F3">
      <w:pPr>
        <w:spacing w:after="120"/>
        <w:jc w:val="both"/>
        <w:rPr>
          <w:rFonts w:ascii="Arial" w:eastAsia="Arial" w:hAnsi="Arial" w:cs="Arial"/>
          <w:bCs/>
          <w:sz w:val="20"/>
        </w:rPr>
      </w:pPr>
      <w:r w:rsidRPr="007B66F3">
        <w:rPr>
          <w:rFonts w:ascii="Arial" w:eastAsia="Arial" w:hAnsi="Arial" w:cs="Arial"/>
          <w:bCs/>
          <w:sz w:val="20"/>
        </w:rPr>
        <w:t xml:space="preserve">I - </w:t>
      </w:r>
      <w:proofErr w:type="gramStart"/>
      <w:r w:rsidRPr="007B66F3">
        <w:rPr>
          <w:rFonts w:ascii="Arial" w:eastAsia="Arial" w:hAnsi="Arial" w:cs="Arial"/>
          <w:bCs/>
          <w:sz w:val="20"/>
        </w:rPr>
        <w:t>homologar</w:t>
      </w:r>
      <w:proofErr w:type="gramEnd"/>
      <w:r w:rsidRPr="007B66F3">
        <w:rPr>
          <w:rFonts w:ascii="Arial" w:eastAsia="Arial" w:hAnsi="Arial" w:cs="Arial"/>
          <w:bCs/>
          <w:sz w:val="20"/>
        </w:rPr>
        <w:t xml:space="preserve"> as </w:t>
      </w:r>
      <w:proofErr w:type="spellStart"/>
      <w:r w:rsidRPr="007B66F3">
        <w:rPr>
          <w:rFonts w:ascii="Arial" w:eastAsia="Arial" w:hAnsi="Arial" w:cs="Arial"/>
          <w:bCs/>
          <w:sz w:val="20"/>
        </w:rPr>
        <w:t>recomendações</w:t>
      </w:r>
      <w:proofErr w:type="spellEnd"/>
      <w:r w:rsidRPr="007B66F3">
        <w:rPr>
          <w:rFonts w:ascii="Arial" w:eastAsia="Arial" w:hAnsi="Arial" w:cs="Arial"/>
          <w:bCs/>
          <w:sz w:val="20"/>
        </w:rPr>
        <w:t xml:space="preserve"> ora propostas pela 3</w:t>
      </w:r>
      <w:r w:rsidRPr="007B66F3">
        <w:rPr>
          <w:rFonts w:ascii="Arial" w:eastAsia="Arial" w:hAnsi="Arial" w:cs="Arial"/>
          <w:bCs/>
          <w:sz w:val="20"/>
        </w:rPr>
        <w:t>ª</w:t>
      </w:r>
      <w:r w:rsidRPr="007B66F3">
        <w:rPr>
          <w:rFonts w:ascii="Arial" w:eastAsia="Arial" w:hAnsi="Arial" w:cs="Arial"/>
          <w:bCs/>
          <w:sz w:val="20"/>
        </w:rPr>
        <w:t xml:space="preserve"> Inspetoria de Controle Externo relativamente aos sistemas de controle interno do Departamento de Estradas de Rodagem do Estado do </w:t>
      </w:r>
      <w:proofErr w:type="spellStart"/>
      <w:r w:rsidRPr="007B66F3">
        <w:rPr>
          <w:rFonts w:ascii="Arial" w:eastAsia="Arial" w:hAnsi="Arial" w:cs="Arial"/>
          <w:bCs/>
          <w:sz w:val="20"/>
        </w:rPr>
        <w:t>Parana</w:t>
      </w:r>
      <w:proofErr w:type="spellEnd"/>
      <w:r w:rsidRPr="007B66F3">
        <w:rPr>
          <w:rFonts w:ascii="Arial" w:eastAsia="Arial" w:hAnsi="Arial" w:cs="Arial"/>
          <w:bCs/>
          <w:sz w:val="20"/>
        </w:rPr>
        <w:t xml:space="preserve">́, quais sejam: </w:t>
      </w:r>
    </w:p>
    <w:p w14:paraId="1B815063" w14:textId="6D23A58E" w:rsidR="007B66F3" w:rsidRPr="007B66F3" w:rsidRDefault="007B66F3" w:rsidP="007B66F3">
      <w:pPr>
        <w:spacing w:after="120"/>
        <w:ind w:left="851"/>
        <w:jc w:val="both"/>
        <w:rPr>
          <w:rFonts w:ascii="Arial" w:eastAsia="Arial" w:hAnsi="Arial" w:cs="Arial"/>
          <w:bCs/>
          <w:sz w:val="20"/>
        </w:rPr>
      </w:pPr>
      <w:r w:rsidRPr="007B66F3">
        <w:rPr>
          <w:rFonts w:ascii="Arial" w:eastAsia="Arial" w:hAnsi="Arial" w:cs="Arial"/>
          <w:bCs/>
          <w:sz w:val="20"/>
        </w:rPr>
        <w:t xml:space="preserve">Diante das </w:t>
      </w:r>
      <w:proofErr w:type="spellStart"/>
      <w:r w:rsidRPr="007B66F3">
        <w:rPr>
          <w:rFonts w:ascii="Arial" w:eastAsia="Arial" w:hAnsi="Arial" w:cs="Arial"/>
          <w:bCs/>
          <w:sz w:val="20"/>
        </w:rPr>
        <w:t>deficiências</w:t>
      </w:r>
      <w:proofErr w:type="spellEnd"/>
      <w:r w:rsidRPr="007B66F3">
        <w:rPr>
          <w:rFonts w:ascii="Arial" w:eastAsia="Arial" w:hAnsi="Arial" w:cs="Arial"/>
          <w:bCs/>
          <w:sz w:val="20"/>
        </w:rPr>
        <w:t xml:space="preserve"> no controle de </w:t>
      </w:r>
      <w:proofErr w:type="spellStart"/>
      <w:r w:rsidRPr="007B66F3">
        <w:rPr>
          <w:rFonts w:ascii="Arial" w:eastAsia="Arial" w:hAnsi="Arial" w:cs="Arial"/>
          <w:bCs/>
          <w:sz w:val="20"/>
        </w:rPr>
        <w:t>indenizações</w:t>
      </w:r>
      <w:proofErr w:type="spellEnd"/>
      <w:r w:rsidRPr="007B66F3">
        <w:rPr>
          <w:rFonts w:ascii="Arial" w:eastAsia="Arial" w:hAnsi="Arial" w:cs="Arial"/>
          <w:bCs/>
          <w:sz w:val="20"/>
        </w:rPr>
        <w:t xml:space="preserve"> ambientais, em desacordo aos contidos no art. 8o, § </w:t>
      </w:r>
      <w:proofErr w:type="spellStart"/>
      <w:r w:rsidRPr="007B66F3">
        <w:rPr>
          <w:rFonts w:ascii="Arial" w:eastAsia="Arial" w:hAnsi="Arial" w:cs="Arial"/>
          <w:bCs/>
          <w:sz w:val="20"/>
        </w:rPr>
        <w:t>único</w:t>
      </w:r>
      <w:proofErr w:type="spellEnd"/>
      <w:r w:rsidRPr="007B66F3">
        <w:rPr>
          <w:rFonts w:ascii="Arial" w:eastAsia="Arial" w:hAnsi="Arial" w:cs="Arial"/>
          <w:bCs/>
          <w:sz w:val="20"/>
        </w:rPr>
        <w:t xml:space="preserve"> e art. 50, inciso I da LRF; MCASP – 9a EDIÇÃO novembro 2021, art.9o, inciso II, do Decreto Estadual no 5.810/2020, Ata no 01/2021 do CRBAL e o art. 20, incisos VI e VIII, art. 22, inciso IV, art. 30, incisos I e II, art. 33, inciso I, art. 34, incisos I e II, do Decreto Estadual no 7.356/2021, em </w:t>
      </w:r>
      <w:proofErr w:type="spellStart"/>
      <w:r w:rsidRPr="007B66F3">
        <w:rPr>
          <w:rFonts w:ascii="Arial" w:eastAsia="Arial" w:hAnsi="Arial" w:cs="Arial"/>
          <w:bCs/>
          <w:sz w:val="20"/>
        </w:rPr>
        <w:t>razão</w:t>
      </w:r>
      <w:proofErr w:type="spellEnd"/>
      <w:r w:rsidRPr="007B66F3">
        <w:rPr>
          <w:rFonts w:ascii="Arial" w:eastAsia="Arial" w:hAnsi="Arial" w:cs="Arial"/>
          <w:bCs/>
          <w:sz w:val="20"/>
        </w:rPr>
        <w:t xml:space="preserve"> da </w:t>
      </w:r>
      <w:proofErr w:type="spellStart"/>
      <w:r w:rsidRPr="007B66F3">
        <w:rPr>
          <w:rFonts w:ascii="Arial" w:eastAsia="Arial" w:hAnsi="Arial" w:cs="Arial"/>
          <w:bCs/>
          <w:sz w:val="20"/>
        </w:rPr>
        <w:t>ausência</w:t>
      </w:r>
      <w:proofErr w:type="spellEnd"/>
      <w:r w:rsidRPr="007B66F3">
        <w:rPr>
          <w:rFonts w:ascii="Arial" w:eastAsia="Arial" w:hAnsi="Arial" w:cs="Arial"/>
          <w:bCs/>
          <w:sz w:val="20"/>
        </w:rPr>
        <w:t xml:space="preserve"> de controle das disponibilidades financeiras, por fonte ou </w:t>
      </w:r>
      <w:proofErr w:type="spellStart"/>
      <w:r w:rsidRPr="007B66F3">
        <w:rPr>
          <w:rFonts w:ascii="Arial" w:eastAsia="Arial" w:hAnsi="Arial" w:cs="Arial"/>
          <w:bCs/>
          <w:sz w:val="20"/>
        </w:rPr>
        <w:t>destinação</w:t>
      </w:r>
      <w:proofErr w:type="spellEnd"/>
      <w:r w:rsidRPr="007B66F3">
        <w:rPr>
          <w:rFonts w:ascii="Arial" w:eastAsia="Arial" w:hAnsi="Arial" w:cs="Arial"/>
          <w:bCs/>
          <w:sz w:val="20"/>
        </w:rPr>
        <w:t xml:space="preserve"> de recursos, que ingressaram por meio de </w:t>
      </w:r>
      <w:proofErr w:type="spellStart"/>
      <w:r w:rsidRPr="007B66F3">
        <w:rPr>
          <w:rFonts w:ascii="Arial" w:eastAsia="Arial" w:hAnsi="Arial" w:cs="Arial"/>
          <w:bCs/>
          <w:sz w:val="20"/>
        </w:rPr>
        <w:t>indenizações</w:t>
      </w:r>
      <w:proofErr w:type="spellEnd"/>
      <w:r w:rsidRPr="007B66F3">
        <w:rPr>
          <w:rFonts w:ascii="Arial" w:eastAsia="Arial" w:hAnsi="Arial" w:cs="Arial"/>
          <w:bCs/>
          <w:sz w:val="20"/>
        </w:rPr>
        <w:t xml:space="preserve"> e/ou </w:t>
      </w:r>
      <w:proofErr w:type="spellStart"/>
      <w:r w:rsidRPr="007B66F3">
        <w:rPr>
          <w:rFonts w:ascii="Arial" w:eastAsia="Arial" w:hAnsi="Arial" w:cs="Arial"/>
          <w:bCs/>
          <w:sz w:val="20"/>
        </w:rPr>
        <w:t>reparação</w:t>
      </w:r>
      <w:proofErr w:type="spellEnd"/>
      <w:r w:rsidRPr="007B66F3">
        <w:rPr>
          <w:rFonts w:ascii="Arial" w:eastAsia="Arial" w:hAnsi="Arial" w:cs="Arial"/>
          <w:bCs/>
          <w:sz w:val="20"/>
        </w:rPr>
        <w:t xml:space="preserve"> de eventuais danos difusos ao Estado; recomendar que: (item 3.1 – APA 1001)</w:t>
      </w:r>
      <w:r w:rsidRPr="007B66F3">
        <w:rPr>
          <w:rFonts w:ascii="Arial" w:eastAsia="Arial" w:hAnsi="Arial" w:cs="Arial"/>
          <w:bCs/>
          <w:sz w:val="20"/>
        </w:rPr>
        <w:br/>
        <w:t xml:space="preserve">a) Implemente o controle de recursos, por meio da </w:t>
      </w:r>
      <w:proofErr w:type="spellStart"/>
      <w:r w:rsidRPr="007B66F3">
        <w:rPr>
          <w:rFonts w:ascii="Arial" w:eastAsia="Arial" w:hAnsi="Arial" w:cs="Arial"/>
          <w:bCs/>
          <w:sz w:val="20"/>
        </w:rPr>
        <w:t>criação</w:t>
      </w:r>
      <w:proofErr w:type="spellEnd"/>
      <w:r w:rsidRPr="007B66F3">
        <w:rPr>
          <w:rFonts w:ascii="Arial" w:eastAsia="Arial" w:hAnsi="Arial" w:cs="Arial"/>
          <w:bCs/>
          <w:sz w:val="20"/>
        </w:rPr>
        <w:t>/</w:t>
      </w:r>
      <w:proofErr w:type="spellStart"/>
      <w:r w:rsidRPr="007B66F3">
        <w:rPr>
          <w:rFonts w:ascii="Arial" w:eastAsia="Arial" w:hAnsi="Arial" w:cs="Arial"/>
          <w:bCs/>
          <w:sz w:val="20"/>
        </w:rPr>
        <w:t>utilização</w:t>
      </w:r>
      <w:proofErr w:type="spellEnd"/>
      <w:r w:rsidRPr="007B66F3">
        <w:rPr>
          <w:rFonts w:ascii="Arial" w:eastAsia="Arial" w:hAnsi="Arial" w:cs="Arial"/>
          <w:bCs/>
          <w:sz w:val="20"/>
        </w:rPr>
        <w:t xml:space="preserve"> de fontes </w:t>
      </w:r>
      <w:proofErr w:type="spellStart"/>
      <w:r w:rsidRPr="007B66F3">
        <w:rPr>
          <w:rFonts w:ascii="Arial" w:eastAsia="Arial" w:hAnsi="Arial" w:cs="Arial"/>
          <w:bCs/>
          <w:sz w:val="20"/>
        </w:rPr>
        <w:t>específicas</w:t>
      </w:r>
      <w:proofErr w:type="spellEnd"/>
      <w:r w:rsidRPr="007B66F3">
        <w:rPr>
          <w:rFonts w:ascii="Arial" w:eastAsia="Arial" w:hAnsi="Arial" w:cs="Arial"/>
          <w:bCs/>
          <w:sz w:val="20"/>
        </w:rPr>
        <w:t xml:space="preserve">, provenientes de </w:t>
      </w:r>
      <w:proofErr w:type="spellStart"/>
      <w:r w:rsidRPr="007B66F3">
        <w:rPr>
          <w:rFonts w:ascii="Arial" w:eastAsia="Arial" w:hAnsi="Arial" w:cs="Arial"/>
          <w:bCs/>
          <w:sz w:val="20"/>
        </w:rPr>
        <w:t>indenizações</w:t>
      </w:r>
      <w:proofErr w:type="spellEnd"/>
      <w:r w:rsidRPr="007B66F3">
        <w:rPr>
          <w:rFonts w:ascii="Arial" w:eastAsia="Arial" w:hAnsi="Arial" w:cs="Arial"/>
          <w:bCs/>
          <w:sz w:val="20"/>
        </w:rPr>
        <w:t>/</w:t>
      </w:r>
      <w:proofErr w:type="spellStart"/>
      <w:r w:rsidRPr="007B66F3">
        <w:rPr>
          <w:rFonts w:ascii="Arial" w:eastAsia="Arial" w:hAnsi="Arial" w:cs="Arial"/>
          <w:bCs/>
          <w:sz w:val="20"/>
        </w:rPr>
        <w:t>reparações</w:t>
      </w:r>
      <w:proofErr w:type="spellEnd"/>
      <w:r w:rsidRPr="007B66F3">
        <w:rPr>
          <w:rFonts w:ascii="Arial" w:eastAsia="Arial" w:hAnsi="Arial" w:cs="Arial"/>
          <w:bCs/>
          <w:sz w:val="20"/>
        </w:rPr>
        <w:t xml:space="preserve"> de danos ambientais; </w:t>
      </w:r>
    </w:p>
    <w:p w14:paraId="4AF5B5EA" w14:textId="77777777" w:rsidR="007B66F3" w:rsidRPr="007B66F3" w:rsidRDefault="007B66F3" w:rsidP="007B66F3">
      <w:pPr>
        <w:spacing w:after="120"/>
        <w:ind w:left="851"/>
        <w:jc w:val="both"/>
        <w:rPr>
          <w:rFonts w:ascii="Arial" w:eastAsia="Arial" w:hAnsi="Arial" w:cs="Arial"/>
          <w:bCs/>
          <w:sz w:val="20"/>
        </w:rPr>
      </w:pPr>
      <w:r w:rsidRPr="007B66F3">
        <w:rPr>
          <w:rFonts w:ascii="Arial" w:eastAsia="Arial" w:hAnsi="Arial" w:cs="Arial"/>
          <w:bCs/>
          <w:sz w:val="20"/>
        </w:rPr>
        <w:t xml:space="preserve">b) Implemente a </w:t>
      </w:r>
      <w:proofErr w:type="spellStart"/>
      <w:r w:rsidRPr="007B66F3">
        <w:rPr>
          <w:rFonts w:ascii="Arial" w:eastAsia="Arial" w:hAnsi="Arial" w:cs="Arial"/>
          <w:bCs/>
          <w:sz w:val="20"/>
        </w:rPr>
        <w:t>correção</w:t>
      </w:r>
      <w:proofErr w:type="spellEnd"/>
      <w:r w:rsidRPr="007B66F3">
        <w:rPr>
          <w:rFonts w:ascii="Arial" w:eastAsia="Arial" w:hAnsi="Arial" w:cs="Arial"/>
          <w:bCs/>
          <w:sz w:val="20"/>
        </w:rPr>
        <w:t xml:space="preserve"> do saldo da fonte recebidas de </w:t>
      </w:r>
      <w:proofErr w:type="spellStart"/>
      <w:r w:rsidRPr="007B66F3">
        <w:rPr>
          <w:rFonts w:ascii="Arial" w:eastAsia="Arial" w:hAnsi="Arial" w:cs="Arial"/>
          <w:bCs/>
          <w:sz w:val="20"/>
        </w:rPr>
        <w:t>indenizações</w:t>
      </w:r>
      <w:proofErr w:type="spellEnd"/>
      <w:r w:rsidRPr="007B66F3">
        <w:rPr>
          <w:rFonts w:ascii="Arial" w:eastAsia="Arial" w:hAnsi="Arial" w:cs="Arial"/>
          <w:bCs/>
          <w:sz w:val="20"/>
        </w:rPr>
        <w:t>/</w:t>
      </w:r>
      <w:proofErr w:type="spellStart"/>
      <w:r w:rsidRPr="007B66F3">
        <w:rPr>
          <w:rFonts w:ascii="Arial" w:eastAsia="Arial" w:hAnsi="Arial" w:cs="Arial"/>
          <w:bCs/>
          <w:sz w:val="20"/>
        </w:rPr>
        <w:t>reparações</w:t>
      </w:r>
      <w:proofErr w:type="spellEnd"/>
      <w:r w:rsidRPr="007B66F3">
        <w:rPr>
          <w:rFonts w:ascii="Arial" w:eastAsia="Arial" w:hAnsi="Arial" w:cs="Arial"/>
          <w:bCs/>
          <w:sz w:val="20"/>
        </w:rPr>
        <w:t xml:space="preserve"> de danos ambientais (da Fonte 138 – Fundo Estadual do Meio Ambiente para 118 – Recursos Provenientes de </w:t>
      </w:r>
      <w:proofErr w:type="spellStart"/>
      <w:r w:rsidRPr="007B66F3">
        <w:rPr>
          <w:rFonts w:ascii="Arial" w:eastAsia="Arial" w:hAnsi="Arial" w:cs="Arial"/>
          <w:bCs/>
          <w:sz w:val="20"/>
        </w:rPr>
        <w:t>Indenização</w:t>
      </w:r>
      <w:proofErr w:type="spellEnd"/>
      <w:r w:rsidRPr="007B66F3">
        <w:rPr>
          <w:rFonts w:ascii="Arial" w:eastAsia="Arial" w:hAnsi="Arial" w:cs="Arial"/>
          <w:bCs/>
          <w:sz w:val="20"/>
        </w:rPr>
        <w:t xml:space="preserve"> da Petrobras); </w:t>
      </w:r>
    </w:p>
    <w:p w14:paraId="4F50A494" w14:textId="77777777" w:rsidR="007B66F3" w:rsidRPr="007B66F3" w:rsidRDefault="007B66F3" w:rsidP="007B66F3">
      <w:pPr>
        <w:spacing w:after="120"/>
        <w:ind w:left="851"/>
        <w:jc w:val="both"/>
        <w:rPr>
          <w:rFonts w:ascii="Arial" w:eastAsia="Arial" w:hAnsi="Arial" w:cs="Arial"/>
          <w:bCs/>
          <w:sz w:val="20"/>
        </w:rPr>
      </w:pPr>
      <w:r w:rsidRPr="007B66F3">
        <w:rPr>
          <w:rFonts w:ascii="Arial" w:eastAsia="Arial" w:hAnsi="Arial" w:cs="Arial"/>
          <w:bCs/>
          <w:sz w:val="20"/>
        </w:rPr>
        <w:t xml:space="preserve">c) Realize as </w:t>
      </w:r>
      <w:proofErr w:type="spellStart"/>
      <w:r w:rsidRPr="007B66F3">
        <w:rPr>
          <w:rFonts w:ascii="Arial" w:eastAsia="Arial" w:hAnsi="Arial" w:cs="Arial"/>
          <w:bCs/>
          <w:sz w:val="20"/>
        </w:rPr>
        <w:t>alterações</w:t>
      </w:r>
      <w:proofErr w:type="spellEnd"/>
      <w:r w:rsidRPr="007B66F3">
        <w:rPr>
          <w:rFonts w:ascii="Arial" w:eastAsia="Arial" w:hAnsi="Arial" w:cs="Arial"/>
          <w:bCs/>
          <w:sz w:val="20"/>
        </w:rPr>
        <w:t>/</w:t>
      </w:r>
      <w:proofErr w:type="spellStart"/>
      <w:r w:rsidRPr="007B66F3">
        <w:rPr>
          <w:rFonts w:ascii="Arial" w:eastAsia="Arial" w:hAnsi="Arial" w:cs="Arial"/>
          <w:bCs/>
          <w:sz w:val="20"/>
        </w:rPr>
        <w:t>correções</w:t>
      </w:r>
      <w:proofErr w:type="spellEnd"/>
      <w:r w:rsidRPr="007B66F3">
        <w:rPr>
          <w:rFonts w:ascii="Arial" w:eastAsia="Arial" w:hAnsi="Arial" w:cs="Arial"/>
          <w:bCs/>
          <w:sz w:val="20"/>
        </w:rPr>
        <w:t xml:space="preserve"> de fonte dos contratos de </w:t>
      </w:r>
      <w:proofErr w:type="spellStart"/>
      <w:r w:rsidRPr="007B66F3">
        <w:rPr>
          <w:rFonts w:ascii="Arial" w:eastAsia="Arial" w:hAnsi="Arial" w:cs="Arial"/>
          <w:bCs/>
          <w:sz w:val="20"/>
        </w:rPr>
        <w:t>convênios</w:t>
      </w:r>
      <w:proofErr w:type="spellEnd"/>
      <w:r w:rsidRPr="007B66F3">
        <w:rPr>
          <w:rFonts w:ascii="Arial" w:eastAsia="Arial" w:hAnsi="Arial" w:cs="Arial"/>
          <w:bCs/>
          <w:sz w:val="20"/>
        </w:rPr>
        <w:t>.</w:t>
      </w:r>
      <w:r w:rsidRPr="007B66F3">
        <w:rPr>
          <w:rFonts w:ascii="Arial" w:eastAsia="Arial" w:hAnsi="Arial" w:cs="Arial"/>
          <w:bCs/>
          <w:sz w:val="20"/>
        </w:rPr>
        <w:br/>
        <w:t xml:space="preserve">Ainda, sugere-se ao Relator solicitar a </w:t>
      </w:r>
      <w:proofErr w:type="spellStart"/>
      <w:r w:rsidRPr="007B66F3">
        <w:rPr>
          <w:rFonts w:ascii="Arial" w:eastAsia="Arial" w:hAnsi="Arial" w:cs="Arial"/>
          <w:bCs/>
          <w:sz w:val="20"/>
        </w:rPr>
        <w:t>elaboração</w:t>
      </w:r>
      <w:proofErr w:type="spellEnd"/>
      <w:r w:rsidRPr="007B66F3">
        <w:rPr>
          <w:rFonts w:ascii="Arial" w:eastAsia="Arial" w:hAnsi="Arial" w:cs="Arial"/>
          <w:bCs/>
          <w:sz w:val="20"/>
        </w:rPr>
        <w:t xml:space="preserve"> de Plano de </w:t>
      </w:r>
      <w:proofErr w:type="spellStart"/>
      <w:r w:rsidRPr="007B66F3">
        <w:rPr>
          <w:rFonts w:ascii="Arial" w:eastAsia="Arial" w:hAnsi="Arial" w:cs="Arial"/>
          <w:bCs/>
          <w:sz w:val="20"/>
        </w:rPr>
        <w:t>Ação</w:t>
      </w:r>
      <w:proofErr w:type="spellEnd"/>
      <w:r w:rsidRPr="007B66F3">
        <w:rPr>
          <w:rFonts w:ascii="Arial" w:eastAsia="Arial" w:hAnsi="Arial" w:cs="Arial"/>
          <w:bCs/>
          <w:sz w:val="20"/>
        </w:rPr>
        <w:t xml:space="preserve">, no prazo de 30 dias, contendo as medidas a serem adotadas, os </w:t>
      </w:r>
      <w:proofErr w:type="spellStart"/>
      <w:r w:rsidRPr="007B66F3">
        <w:rPr>
          <w:rFonts w:ascii="Arial" w:eastAsia="Arial" w:hAnsi="Arial" w:cs="Arial"/>
          <w:bCs/>
          <w:sz w:val="20"/>
        </w:rPr>
        <w:t>responsáveis</w:t>
      </w:r>
      <w:proofErr w:type="spellEnd"/>
      <w:r w:rsidRPr="007B66F3">
        <w:rPr>
          <w:rFonts w:ascii="Arial" w:eastAsia="Arial" w:hAnsi="Arial" w:cs="Arial"/>
          <w:bCs/>
          <w:sz w:val="20"/>
        </w:rPr>
        <w:t xml:space="preserve"> e os prazos para </w:t>
      </w:r>
      <w:proofErr w:type="spellStart"/>
      <w:r w:rsidRPr="007B66F3">
        <w:rPr>
          <w:rFonts w:ascii="Arial" w:eastAsia="Arial" w:hAnsi="Arial" w:cs="Arial"/>
          <w:bCs/>
          <w:sz w:val="20"/>
        </w:rPr>
        <w:t>execução</w:t>
      </w:r>
      <w:proofErr w:type="spellEnd"/>
      <w:r w:rsidRPr="007B66F3">
        <w:rPr>
          <w:rFonts w:ascii="Arial" w:eastAsia="Arial" w:hAnsi="Arial" w:cs="Arial"/>
          <w:bCs/>
          <w:sz w:val="20"/>
        </w:rPr>
        <w:t xml:space="preserve">. </w:t>
      </w:r>
    </w:p>
    <w:p w14:paraId="368D3300" w14:textId="61EA45CA" w:rsidR="0015344D" w:rsidRDefault="0015344D" w:rsidP="0015344D">
      <w:pPr>
        <w:spacing w:after="120"/>
        <w:jc w:val="both"/>
        <w:rPr>
          <w:rFonts w:ascii="Arial" w:eastAsia="Arial" w:hAnsi="Arial" w:cs="Arial"/>
          <w:sz w:val="20"/>
          <w:szCs w:val="20"/>
        </w:rPr>
      </w:pPr>
      <w:r>
        <w:rPr>
          <w:rFonts w:ascii="Arial" w:eastAsia="Arial" w:hAnsi="Arial" w:cs="Arial"/>
          <w:sz w:val="20"/>
          <w:szCs w:val="20"/>
        </w:rPr>
        <w:t>(...)</w:t>
      </w:r>
    </w:p>
    <w:p w14:paraId="5C0FADA9" w14:textId="4C065C8D" w:rsidR="0015344D" w:rsidRDefault="0015344D" w:rsidP="0015344D">
      <w:pPr>
        <w:spacing w:line="276" w:lineRule="auto"/>
        <w:jc w:val="both"/>
        <w:rPr>
          <w:rFonts w:ascii="Arial" w:eastAsia="Arial" w:hAnsi="Arial" w:cs="Arial"/>
          <w:sz w:val="20"/>
          <w:szCs w:val="20"/>
        </w:rPr>
      </w:pPr>
      <w:r>
        <w:rPr>
          <w:rFonts w:ascii="Arial" w:eastAsia="Arial" w:hAnsi="Arial" w:cs="Arial"/>
          <w:sz w:val="20"/>
          <w:szCs w:val="20"/>
        </w:rPr>
        <w:t xml:space="preserve">(TCEPR, Processo n.º </w:t>
      </w:r>
      <w:r>
        <w:rPr>
          <w:rFonts w:ascii="Arial" w:eastAsia="Arial" w:hAnsi="Arial" w:cs="Arial"/>
          <w:sz w:val="20"/>
        </w:rPr>
        <w:t>618640/22</w:t>
      </w:r>
      <w:r>
        <w:rPr>
          <w:rFonts w:ascii="Arial" w:eastAsia="Arial" w:hAnsi="Arial" w:cs="Arial"/>
          <w:sz w:val="20"/>
        </w:rPr>
        <w:t xml:space="preserve">. </w:t>
      </w:r>
      <w:hyperlink r:id="rId9" w:history="1">
        <w:r>
          <w:rPr>
            <w:rStyle w:val="Hyperlink"/>
            <w:rFonts w:ascii="Arial" w:eastAsia="Arial" w:hAnsi="Arial" w:cs="Arial"/>
            <w:sz w:val="20"/>
          </w:rPr>
          <w:t>Acórdão n.º 3257/22 - Tribunal Pleno</w:t>
        </w:r>
      </w:hyperlink>
      <w:r>
        <w:rPr>
          <w:rFonts w:ascii="Arial" w:eastAsia="Arial" w:hAnsi="Arial" w:cs="Arial"/>
          <w:sz w:val="20"/>
          <w:szCs w:val="20"/>
        </w:rPr>
        <w:t xml:space="preserve">. Rel. </w:t>
      </w:r>
      <w:r>
        <w:rPr>
          <w:rFonts w:ascii="Arial" w:eastAsia="Arial" w:hAnsi="Arial" w:cs="Arial"/>
          <w:sz w:val="20"/>
          <w:szCs w:val="20"/>
        </w:rPr>
        <w:t>Conselheiro Fernando Augusto Mello Guimarães</w:t>
      </w:r>
      <w:r>
        <w:rPr>
          <w:rFonts w:ascii="Arial" w:eastAsia="Arial" w:hAnsi="Arial" w:cs="Arial"/>
          <w:sz w:val="20"/>
        </w:rPr>
        <w:t xml:space="preserve">, julgado em </w:t>
      </w:r>
      <w:r>
        <w:rPr>
          <w:rFonts w:ascii="Arial" w:eastAsia="Arial" w:hAnsi="Arial" w:cs="Arial"/>
          <w:sz w:val="20"/>
        </w:rPr>
        <w:t>14/12</w:t>
      </w:r>
      <w:r>
        <w:rPr>
          <w:rFonts w:ascii="Arial" w:eastAsia="Arial" w:hAnsi="Arial" w:cs="Arial"/>
          <w:sz w:val="20"/>
        </w:rPr>
        <w:t xml:space="preserve">/2022, publicado em </w:t>
      </w:r>
      <w:r>
        <w:rPr>
          <w:rFonts w:ascii="Arial" w:eastAsia="Arial" w:hAnsi="Arial" w:cs="Arial"/>
          <w:sz w:val="20"/>
        </w:rPr>
        <w:t>11/01/2023</w:t>
      </w:r>
      <w:r>
        <w:rPr>
          <w:rFonts w:ascii="Arial" w:eastAsia="Arial" w:hAnsi="Arial" w:cs="Arial"/>
          <w:sz w:val="20"/>
        </w:rPr>
        <w:t>)</w:t>
      </w:r>
    </w:p>
    <w:p w14:paraId="69140675" w14:textId="77777777" w:rsidR="00674104" w:rsidRDefault="00674104">
      <w:pPr>
        <w:spacing w:line="276" w:lineRule="auto"/>
        <w:jc w:val="both"/>
        <w:rPr>
          <w:rStyle w:val="Hyperlink"/>
          <w:rFonts w:ascii="Arial" w:eastAsia="Arial" w:hAnsi="Arial" w:cs="Arial"/>
          <w:b/>
          <w:color w:val="000000"/>
          <w:sz w:val="20"/>
          <w:szCs w:val="20"/>
          <w:u w:val="none"/>
        </w:rPr>
      </w:pPr>
    </w:p>
    <w:p w14:paraId="4048954A" w14:textId="56524A53"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DE </w:t>
      </w:r>
      <w:r w:rsidR="0015344D">
        <w:rPr>
          <w:rFonts w:ascii="Arial" w:eastAsia="Arial" w:hAnsi="Arial" w:cs="Arial"/>
          <w:b/>
          <w:sz w:val="20"/>
          <w:szCs w:val="20"/>
        </w:rPr>
        <w:t>RONDÔNIA</w:t>
      </w:r>
    </w:p>
    <w:p w14:paraId="6701570D" w14:textId="7FD0E2FE" w:rsidR="00F332E4" w:rsidRDefault="00000000" w:rsidP="00F332E4">
      <w:pPr>
        <w:pStyle w:val="Default"/>
        <w:spacing w:line="276" w:lineRule="auto"/>
        <w:rPr>
          <w:rFonts w:eastAsia="Arial"/>
          <w:sz w:val="20"/>
          <w:szCs w:val="20"/>
        </w:rPr>
      </w:pPr>
      <w:r>
        <w:rPr>
          <w:rFonts w:eastAsia="Arial"/>
          <w:sz w:val="20"/>
          <w:szCs w:val="20"/>
        </w:rPr>
        <w:t xml:space="preserve"> </w:t>
      </w:r>
    </w:p>
    <w:p w14:paraId="4248CA0B" w14:textId="6CE9F8BE" w:rsidR="001D4B88" w:rsidRDefault="009763CE">
      <w:pPr>
        <w:spacing w:line="276" w:lineRule="auto"/>
        <w:jc w:val="both"/>
        <w:rPr>
          <w:rFonts w:ascii="Arial" w:eastAsia="Arial" w:hAnsi="Arial" w:cs="Arial"/>
          <w:b/>
          <w:sz w:val="20"/>
        </w:rPr>
      </w:pPr>
      <w:r>
        <w:rPr>
          <w:rFonts w:ascii="Arial" w:eastAsia="Arial" w:hAnsi="Arial" w:cs="Arial"/>
          <w:b/>
          <w:sz w:val="20"/>
        </w:rPr>
        <w:t>3</w:t>
      </w:r>
      <w:r w:rsidR="00000000">
        <w:rPr>
          <w:rFonts w:ascii="Arial" w:eastAsia="Arial" w:hAnsi="Arial" w:cs="Arial"/>
          <w:b/>
          <w:sz w:val="20"/>
        </w:rPr>
        <w:t xml:space="preserve">. </w:t>
      </w:r>
      <w:r w:rsidR="001D4B88" w:rsidRPr="001D4B88">
        <w:rPr>
          <w:rFonts w:ascii="Arial" w:eastAsia="Arial" w:hAnsi="Arial" w:cs="Arial"/>
          <w:b/>
          <w:sz w:val="20"/>
        </w:rPr>
        <w:t>TOMADA DE CONTAS ESPECIAL (TCE). LICITAÇÃO. CONTRATO. OBRA. PROJETO BÁSICO DEFICITÁRIO; COMPOSIÇÃO DE CUSTOS SEM PARÂMETROS DE MERCADO; ALTERAÇÕES, POR ADITIVO, ALÉM DOS LIMITES LEGAIS; SOBREPREÇO, SUPERFATURAMENTO E JOGO DE PLANILHA; AUSÊNCIA DE ALVARÁ DE CONSTRUÇÃO, RELATÓRIO DE IMPACTO SOBRE O TRÁFEGO URBANO E RELATÓRIO DE IMPACTO AMBIENTAL; DILAÇÃO DE PRAZO PARA A CONCLUSÃO DA OBRA, SEM ESTUDOS TÉCNICOS; NÃO COMPROVAÇÃO DO CUMPRIMENTO DAS OBRIGAÇÕES CONTRATUAIS E DOS RECOLHIMENTOS LEGAIS; DESCUMPRIMENTO ÀS DETERMINAÇÕES DO TRIBUNAL DE CONTAS, OUTROS. AUSÊNCIA DE DANO EM FACE DE ATUAÇÃO PREVENTIVA DA CORTE DE CONTAS. ATOS DE GESTÃO ILEGAIS, ILEGÍTIMOS E ANTIECONÔMICOS. ALTERAÇÕES CONTRATUAIS, ALÉM DO LIMITE LEGAL. RESPONSABILIZAÇÃO DE PARECERISTA E DEMAIS AGENTES PÚBLICOS POR CULPA E/OU ERRO GROSSEIRO. DESNECESSIDADE DE COMPROVAÇÃO DE DOLO OU MÁ-FÉ.</w:t>
      </w:r>
    </w:p>
    <w:p w14:paraId="2CFFA713" w14:textId="77777777" w:rsidR="001D4B88" w:rsidRDefault="001D4B88" w:rsidP="001D4B88">
      <w:pPr>
        <w:spacing w:before="120"/>
        <w:jc w:val="both"/>
        <w:rPr>
          <w:rFonts w:ascii="Arial" w:eastAsia="Arial" w:hAnsi="Arial" w:cs="Arial"/>
          <w:bCs/>
          <w:sz w:val="20"/>
        </w:rPr>
      </w:pPr>
      <w:r w:rsidRPr="001D4B88">
        <w:rPr>
          <w:rFonts w:ascii="Arial" w:eastAsia="Arial" w:hAnsi="Arial" w:cs="Arial"/>
          <w:bCs/>
          <w:sz w:val="20"/>
        </w:rPr>
        <w:lastRenderedPageBreak/>
        <w:t>1. A Tomada de Contas Especial (TCE) deve ser julgada irregular, com fundamento no art. 16, III, “b”, da Lei Complementar n. 154/96, quando constatadas irregularidades graves decorrentes de atos de gestão ilegais, ilegítimos e antieconômicos – tais como: Projeto Básico deficitário; composição de custos sem parâmetros referenciais de mercado; alterações, por aditivo, com sobrepreço, superfaturamento e jogo de planilha; início de obra sem Alvará de Construção, Relatório de Impacto sobre o Tráfego Urbano (RIT) e Relatório de Impacto Ambiental; modificações no objeto, com acréscimos e supressões que extrapolem os limites legais; dilação do prazo de execução da obra, sem registro de ocorrências, projetos ou estudos técnicos; não comprovação do cumprimento das obrigações contratuais e dos recolhimentos legais (trabalhistas, previdenciários, fiscais); descumprimento às determinações do Tribunal de Contas, dentre outras. Nesses casos, ainda que evitado dano ao erário, em face da adoção de medidas cautelares e preventivas pela Corte de Contas, compete cominar multa aos responsáveis, a teor do art. 55, II e/ou IV, da Lei Complementar n. 154/96, observado o disposto no art. 22, § 2º, do Decreto-Lei n. 4.657/42 (LINDB), com redação dada pela Lei n. 13.655/18. (Precedentes: TCE/RO: Acórdão AC2-TC 00662/17, Processo n. 04135/12-TCE/RO; TCU: Acórdão 425/2010-Primeira Câmara). 2. Para fins do exercício do poder sancionatório do Tribunal de Contas (art. 28 da LINDB), pode ser tipificado como erro grosseiro contribuir, de qualquer modo, para a elaboração e/ou utilização de documentos que fundamentem ou autorizem alteração contratual, além do limite legal (25%), quando perceptível, por simples consulta à planilha de orçamento, que os percentuais de acréscimos e supressões – os quais devem ser considerados de forma isolada, pois não se computam – ultrapassavam aquele definido no art. 65, I, “a”, § 1º, da Lei n. 8.666/93. Nesse contexto, caracteriza-se a inobservância do dever de cuidado, o que justifica a responsabilização tanto do advogado que emite parece, vinculante ou meramente opinativo, quanto dos demais agentes públicos culposos, não havendo a necessidade da demonstração de dolo ou má-fé. (Precedentes: TCU: Acórdão 3266/2022-Primeira Câmara; Acórdão 781/2021-Plenário; Acórdão 50/2019-Plenário; Acórdão 1464/2013-Plenário; Acórdão 1656/2015-Plenário; Acórdão 3327/2019-Primeira Câmara; Acórdão 2459/2021-Plenário; Acórdão 2202/2008-Plenário; Acórdão 615/2020-Plenário; Acórdão 310/2011-Plenário; Acórdão 1620/2019-Plenário, entre outros). 3. Contas irregulares. Multas.</w:t>
      </w:r>
    </w:p>
    <w:p w14:paraId="3A917AB4" w14:textId="0480C1E3" w:rsidR="00674104" w:rsidRPr="00CC1302" w:rsidRDefault="001D4B88" w:rsidP="00CC1302">
      <w:pPr>
        <w:spacing w:before="120"/>
        <w:jc w:val="both"/>
        <w:rPr>
          <w:rFonts w:ascii="Arial" w:eastAsia="Arial" w:hAnsi="Arial" w:cs="Arial"/>
          <w:bCs/>
          <w:sz w:val="20"/>
        </w:rPr>
      </w:pPr>
      <w:r>
        <w:rPr>
          <w:rFonts w:ascii="Arial" w:eastAsia="Arial" w:hAnsi="Arial" w:cs="Arial"/>
          <w:sz w:val="20"/>
          <w:szCs w:val="20"/>
        </w:rPr>
        <w:t>(TCE</w:t>
      </w:r>
      <w:r>
        <w:rPr>
          <w:rFonts w:ascii="Arial" w:eastAsia="Arial" w:hAnsi="Arial" w:cs="Arial"/>
          <w:sz w:val="20"/>
          <w:szCs w:val="20"/>
        </w:rPr>
        <w:t>-RO</w:t>
      </w:r>
      <w:r>
        <w:rPr>
          <w:rFonts w:ascii="Arial" w:eastAsia="Arial" w:hAnsi="Arial" w:cs="Arial"/>
          <w:sz w:val="20"/>
          <w:szCs w:val="20"/>
        </w:rPr>
        <w:t xml:space="preserve">, Processo n.º </w:t>
      </w:r>
      <w:r>
        <w:rPr>
          <w:rFonts w:ascii="Arial" w:eastAsia="Arial" w:hAnsi="Arial" w:cs="Arial"/>
          <w:sz w:val="20"/>
        </w:rPr>
        <w:t>00166/16</w:t>
      </w:r>
      <w:r>
        <w:rPr>
          <w:rFonts w:ascii="Arial" w:eastAsia="Arial" w:hAnsi="Arial" w:cs="Arial"/>
          <w:sz w:val="20"/>
        </w:rPr>
        <w:t xml:space="preserve">. </w:t>
      </w:r>
      <w:hyperlink r:id="rId10" w:history="1">
        <w:r>
          <w:rPr>
            <w:rStyle w:val="Hyperlink"/>
            <w:rFonts w:ascii="Arial" w:eastAsia="Arial" w:hAnsi="Arial" w:cs="Arial"/>
            <w:sz w:val="20"/>
          </w:rPr>
          <w:t>Acórdão n.º 284/22 - Tribunal Pleno</w:t>
        </w:r>
      </w:hyperlink>
      <w:r>
        <w:rPr>
          <w:rFonts w:ascii="Arial" w:eastAsia="Arial" w:hAnsi="Arial" w:cs="Arial"/>
          <w:sz w:val="20"/>
          <w:szCs w:val="20"/>
        </w:rPr>
        <w:t xml:space="preserve">. Rel. Conselheiro </w:t>
      </w:r>
      <w:r>
        <w:rPr>
          <w:rFonts w:ascii="Arial" w:eastAsia="Arial" w:hAnsi="Arial" w:cs="Arial"/>
          <w:sz w:val="20"/>
          <w:szCs w:val="20"/>
        </w:rPr>
        <w:t>Valdivino Crispim de Souza</w:t>
      </w:r>
      <w:r>
        <w:rPr>
          <w:rFonts w:ascii="Arial" w:eastAsia="Arial" w:hAnsi="Arial" w:cs="Arial"/>
          <w:sz w:val="20"/>
        </w:rPr>
        <w:t xml:space="preserve">, julgado em </w:t>
      </w:r>
      <w:r>
        <w:rPr>
          <w:rFonts w:ascii="Arial" w:eastAsia="Arial" w:hAnsi="Arial" w:cs="Arial"/>
          <w:sz w:val="20"/>
        </w:rPr>
        <w:t>24/11</w:t>
      </w:r>
      <w:r>
        <w:rPr>
          <w:rFonts w:ascii="Arial" w:eastAsia="Arial" w:hAnsi="Arial" w:cs="Arial"/>
          <w:sz w:val="20"/>
        </w:rPr>
        <w:t xml:space="preserve">/2022, publicado em </w:t>
      </w:r>
      <w:r>
        <w:rPr>
          <w:rFonts w:ascii="Arial" w:eastAsia="Arial" w:hAnsi="Arial" w:cs="Arial"/>
          <w:sz w:val="20"/>
        </w:rPr>
        <w:t>01/12</w:t>
      </w:r>
      <w:r>
        <w:rPr>
          <w:rFonts w:ascii="Arial" w:eastAsia="Arial" w:hAnsi="Arial" w:cs="Arial"/>
          <w:sz w:val="20"/>
        </w:rPr>
        <w:t>/2022)</w:t>
      </w:r>
    </w:p>
    <w:p w14:paraId="3C993E63" w14:textId="77777777" w:rsidR="00674104" w:rsidRDefault="00674104">
      <w:pPr>
        <w:spacing w:line="276" w:lineRule="auto"/>
        <w:jc w:val="both"/>
        <w:rPr>
          <w:rFonts w:ascii="Arial" w:eastAsia="Arial" w:hAnsi="Arial" w:cs="Arial"/>
          <w:color w:val="000000"/>
        </w:rPr>
      </w:pPr>
    </w:p>
    <w:p w14:paraId="6B98CB70" w14:textId="2AA21BA1"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27C383C5" w14:textId="77777777" w:rsidR="00077C0D" w:rsidRDefault="00077C0D" w:rsidP="001331C5">
      <w:pPr>
        <w:spacing w:after="120"/>
        <w:jc w:val="both"/>
        <w:rPr>
          <w:rFonts w:ascii="Arial" w:eastAsia="Arial" w:hAnsi="Arial" w:cs="Arial"/>
          <w:b/>
          <w:bCs/>
          <w:color w:val="000000"/>
          <w:sz w:val="20"/>
          <w:szCs w:val="20"/>
        </w:rPr>
      </w:pPr>
    </w:p>
    <w:p w14:paraId="7989DEA4" w14:textId="75F36D96" w:rsidR="00C668B4" w:rsidRDefault="009763CE" w:rsidP="00C668B4">
      <w:pPr>
        <w:spacing w:after="120"/>
        <w:jc w:val="both"/>
        <w:rPr>
          <w:rFonts w:ascii="Arial" w:eastAsia="Arial" w:hAnsi="Arial" w:cs="Arial"/>
          <w:b/>
          <w:bCs/>
          <w:color w:val="000000"/>
          <w:sz w:val="20"/>
          <w:szCs w:val="20"/>
        </w:rPr>
      </w:pPr>
      <w:r>
        <w:rPr>
          <w:rFonts w:ascii="Arial" w:eastAsia="Arial" w:hAnsi="Arial" w:cs="Arial"/>
          <w:b/>
          <w:bCs/>
          <w:color w:val="000000"/>
          <w:sz w:val="20"/>
          <w:szCs w:val="20"/>
        </w:rPr>
        <w:t>4</w:t>
      </w:r>
      <w:r w:rsidR="0032790A">
        <w:rPr>
          <w:rFonts w:ascii="Arial" w:eastAsia="Arial" w:hAnsi="Arial" w:cs="Arial"/>
          <w:b/>
          <w:bCs/>
          <w:color w:val="000000"/>
          <w:sz w:val="20"/>
          <w:szCs w:val="20"/>
        </w:rPr>
        <w:t xml:space="preserve">. </w:t>
      </w:r>
      <w:r w:rsidR="0032790A" w:rsidRPr="00C668B4">
        <w:rPr>
          <w:rFonts w:ascii="Arial" w:eastAsia="Arial" w:hAnsi="Arial" w:cs="Arial"/>
          <w:b/>
          <w:bCs/>
          <w:color w:val="000000"/>
          <w:sz w:val="20"/>
          <w:szCs w:val="20"/>
        </w:rPr>
        <w:t xml:space="preserve">AÇÃO DIRETA DE INCONSTITUCIONALIDADE. LEI ESTADUAL Nº 1.255, DE 2018, DE </w:t>
      </w:r>
      <w:r w:rsidR="0032790A">
        <w:rPr>
          <w:rFonts w:ascii="Arial" w:eastAsia="Arial" w:hAnsi="Arial" w:cs="Arial"/>
          <w:b/>
          <w:bCs/>
          <w:color w:val="000000"/>
          <w:sz w:val="20"/>
          <w:szCs w:val="20"/>
        </w:rPr>
        <w:t>R</w:t>
      </w:r>
      <w:r w:rsidR="0032790A" w:rsidRPr="00C668B4">
        <w:rPr>
          <w:rFonts w:ascii="Arial" w:eastAsia="Arial" w:hAnsi="Arial" w:cs="Arial"/>
          <w:b/>
          <w:bCs/>
          <w:color w:val="000000"/>
          <w:sz w:val="20"/>
          <w:szCs w:val="20"/>
        </w:rPr>
        <w:t>ORAIMA. ACRÉSCIMO REMUNERATÓRIO DOS SERVIDORES EFETIVOS DA FUNDAÇÃO ESTADUAL DO MEIO AMBIENTE E RECURSOS HÍDRICOS DE RORAIMA (</w:t>
      </w:r>
      <w:r w:rsidR="0032790A">
        <w:rPr>
          <w:rFonts w:ascii="Arial" w:eastAsia="Arial" w:hAnsi="Arial" w:cs="Arial"/>
          <w:b/>
          <w:bCs/>
          <w:color w:val="000000"/>
          <w:sz w:val="20"/>
          <w:szCs w:val="20"/>
        </w:rPr>
        <w:t>FEMARH</w:t>
      </w:r>
      <w:r w:rsidR="0032790A" w:rsidRPr="00C668B4">
        <w:rPr>
          <w:rFonts w:ascii="Arial" w:eastAsia="Arial" w:hAnsi="Arial" w:cs="Arial"/>
          <w:b/>
          <w:bCs/>
          <w:color w:val="000000"/>
          <w:sz w:val="20"/>
          <w:szCs w:val="20"/>
        </w:rPr>
        <w:t>/</w:t>
      </w:r>
      <w:r w:rsidR="0032790A">
        <w:rPr>
          <w:rFonts w:ascii="Arial" w:eastAsia="Arial" w:hAnsi="Arial" w:cs="Arial"/>
          <w:b/>
          <w:bCs/>
          <w:color w:val="000000"/>
          <w:sz w:val="20"/>
          <w:szCs w:val="20"/>
        </w:rPr>
        <w:t>RR</w:t>
      </w:r>
      <w:r w:rsidR="0032790A" w:rsidRPr="00C668B4">
        <w:rPr>
          <w:rFonts w:ascii="Arial" w:eastAsia="Arial" w:hAnsi="Arial" w:cs="Arial"/>
          <w:b/>
          <w:bCs/>
          <w:color w:val="000000"/>
          <w:sz w:val="20"/>
          <w:szCs w:val="20"/>
        </w:rPr>
        <w:t xml:space="preserve">) E DO INSTITUTO DE </w:t>
      </w:r>
      <w:r w:rsidR="0032790A">
        <w:rPr>
          <w:rFonts w:ascii="Arial" w:eastAsia="Arial" w:hAnsi="Arial" w:cs="Arial"/>
          <w:b/>
          <w:bCs/>
          <w:color w:val="000000"/>
          <w:sz w:val="20"/>
          <w:szCs w:val="20"/>
        </w:rPr>
        <w:t>A</w:t>
      </w:r>
      <w:r w:rsidR="0032790A" w:rsidRPr="00C668B4">
        <w:rPr>
          <w:rFonts w:ascii="Arial" w:eastAsia="Arial" w:hAnsi="Arial" w:cs="Arial"/>
          <w:b/>
          <w:bCs/>
          <w:color w:val="000000"/>
          <w:sz w:val="20"/>
          <w:szCs w:val="20"/>
        </w:rPr>
        <w:t xml:space="preserve">MPARO À </w:t>
      </w:r>
      <w:r w:rsidR="0032790A">
        <w:rPr>
          <w:rFonts w:ascii="Arial" w:eastAsia="Arial" w:hAnsi="Arial" w:cs="Arial"/>
          <w:b/>
          <w:bCs/>
          <w:color w:val="000000"/>
          <w:sz w:val="20"/>
          <w:szCs w:val="20"/>
        </w:rPr>
        <w:t>C</w:t>
      </w:r>
      <w:r w:rsidR="0032790A" w:rsidRPr="00C668B4">
        <w:rPr>
          <w:rFonts w:ascii="Arial" w:eastAsia="Arial" w:hAnsi="Arial" w:cs="Arial"/>
          <w:b/>
          <w:bCs/>
          <w:color w:val="000000"/>
          <w:sz w:val="20"/>
          <w:szCs w:val="20"/>
        </w:rPr>
        <w:t xml:space="preserve">IÊNCIA, </w:t>
      </w:r>
      <w:r w:rsidR="0032790A">
        <w:rPr>
          <w:rFonts w:ascii="Arial" w:eastAsia="Arial" w:hAnsi="Arial" w:cs="Arial"/>
          <w:b/>
          <w:bCs/>
          <w:color w:val="000000"/>
          <w:sz w:val="20"/>
          <w:szCs w:val="20"/>
        </w:rPr>
        <w:t>T</w:t>
      </w:r>
      <w:r w:rsidR="0032790A" w:rsidRPr="00C668B4">
        <w:rPr>
          <w:rFonts w:ascii="Arial" w:eastAsia="Arial" w:hAnsi="Arial" w:cs="Arial"/>
          <w:b/>
          <w:bCs/>
          <w:color w:val="000000"/>
          <w:sz w:val="20"/>
          <w:szCs w:val="20"/>
        </w:rPr>
        <w:t xml:space="preserve">ECNOLOGIA E </w:t>
      </w:r>
      <w:r w:rsidR="0032790A">
        <w:rPr>
          <w:rFonts w:ascii="Arial" w:eastAsia="Arial" w:hAnsi="Arial" w:cs="Arial"/>
          <w:b/>
          <w:bCs/>
          <w:color w:val="000000"/>
          <w:sz w:val="20"/>
          <w:szCs w:val="20"/>
        </w:rPr>
        <w:t>I</w:t>
      </w:r>
      <w:r w:rsidR="0032790A" w:rsidRPr="00C668B4">
        <w:rPr>
          <w:rFonts w:ascii="Arial" w:eastAsia="Arial" w:hAnsi="Arial" w:cs="Arial"/>
          <w:b/>
          <w:bCs/>
          <w:color w:val="000000"/>
          <w:sz w:val="20"/>
          <w:szCs w:val="20"/>
        </w:rPr>
        <w:t xml:space="preserve">NOVAÇÃO DO </w:t>
      </w:r>
      <w:r w:rsidR="0032790A">
        <w:rPr>
          <w:rFonts w:ascii="Arial" w:eastAsia="Arial" w:hAnsi="Arial" w:cs="Arial"/>
          <w:b/>
          <w:bCs/>
          <w:color w:val="000000"/>
          <w:sz w:val="20"/>
          <w:szCs w:val="20"/>
        </w:rPr>
        <w:t>E</w:t>
      </w:r>
      <w:r w:rsidR="0032790A" w:rsidRPr="00C668B4">
        <w:rPr>
          <w:rFonts w:ascii="Arial" w:eastAsia="Arial" w:hAnsi="Arial" w:cs="Arial"/>
          <w:b/>
          <w:bCs/>
          <w:color w:val="000000"/>
          <w:sz w:val="20"/>
          <w:szCs w:val="20"/>
        </w:rPr>
        <w:t xml:space="preserve">STADO DE </w:t>
      </w:r>
      <w:r w:rsidR="0032790A">
        <w:rPr>
          <w:rFonts w:ascii="Arial" w:eastAsia="Arial" w:hAnsi="Arial" w:cs="Arial"/>
          <w:b/>
          <w:bCs/>
          <w:color w:val="000000"/>
          <w:sz w:val="20"/>
          <w:szCs w:val="20"/>
        </w:rPr>
        <w:t>R</w:t>
      </w:r>
      <w:r w:rsidR="0032790A" w:rsidRPr="00C668B4">
        <w:rPr>
          <w:rFonts w:ascii="Arial" w:eastAsia="Arial" w:hAnsi="Arial" w:cs="Arial"/>
          <w:b/>
          <w:bCs/>
          <w:color w:val="000000"/>
          <w:sz w:val="20"/>
          <w:szCs w:val="20"/>
        </w:rPr>
        <w:t>ORAIMA (</w:t>
      </w:r>
      <w:r w:rsidR="0032790A">
        <w:rPr>
          <w:rFonts w:ascii="Arial" w:eastAsia="Arial" w:hAnsi="Arial" w:cs="Arial"/>
          <w:b/>
          <w:bCs/>
          <w:color w:val="000000"/>
          <w:sz w:val="20"/>
          <w:szCs w:val="20"/>
        </w:rPr>
        <w:t>IACTI</w:t>
      </w:r>
      <w:r w:rsidR="0032790A" w:rsidRPr="00C668B4">
        <w:rPr>
          <w:rFonts w:ascii="Arial" w:eastAsia="Arial" w:hAnsi="Arial" w:cs="Arial"/>
          <w:b/>
          <w:bCs/>
          <w:color w:val="000000"/>
          <w:sz w:val="20"/>
          <w:szCs w:val="20"/>
        </w:rPr>
        <w:t>/</w:t>
      </w:r>
      <w:r w:rsidR="0032790A">
        <w:rPr>
          <w:rFonts w:ascii="Arial" w:eastAsia="Arial" w:hAnsi="Arial" w:cs="Arial"/>
          <w:b/>
          <w:bCs/>
          <w:color w:val="000000"/>
          <w:sz w:val="20"/>
          <w:szCs w:val="20"/>
        </w:rPr>
        <w:t>RR</w:t>
      </w:r>
      <w:r w:rsidR="0032790A" w:rsidRPr="00C668B4">
        <w:rPr>
          <w:rFonts w:ascii="Arial" w:eastAsia="Arial" w:hAnsi="Arial" w:cs="Arial"/>
          <w:b/>
          <w:bCs/>
          <w:color w:val="000000"/>
          <w:sz w:val="20"/>
          <w:szCs w:val="20"/>
        </w:rPr>
        <w:t xml:space="preserve">). AUSÊNCIA DE PRÉVIA DOTAÇÃO ORÇAMENTÁRIA E DE ESTUDO DO IMPACTO ECONÔMICO E FINANCEIRO DO AUMENTO CONFERIDO PELA NORMA IMPUGNADA. OFENSA AOS ARTS. 169, § 1º, DA </w:t>
      </w:r>
      <w:r w:rsidR="0032790A">
        <w:rPr>
          <w:rFonts w:ascii="Arial" w:eastAsia="Arial" w:hAnsi="Arial" w:cs="Arial"/>
          <w:b/>
          <w:bCs/>
          <w:color w:val="000000"/>
          <w:sz w:val="20"/>
          <w:szCs w:val="20"/>
        </w:rPr>
        <w:t>CRFB</w:t>
      </w:r>
      <w:r w:rsidR="0032790A" w:rsidRPr="00C668B4">
        <w:rPr>
          <w:rFonts w:ascii="Arial" w:eastAsia="Arial" w:hAnsi="Arial" w:cs="Arial"/>
          <w:b/>
          <w:bCs/>
          <w:color w:val="000000"/>
          <w:sz w:val="20"/>
          <w:szCs w:val="20"/>
        </w:rPr>
        <w:t xml:space="preserve">, E 113 DO </w:t>
      </w:r>
      <w:r w:rsidR="0032790A">
        <w:rPr>
          <w:rFonts w:ascii="Arial" w:eastAsia="Arial" w:hAnsi="Arial" w:cs="Arial"/>
          <w:b/>
          <w:bCs/>
          <w:color w:val="000000"/>
          <w:sz w:val="20"/>
          <w:szCs w:val="20"/>
        </w:rPr>
        <w:t>ADCT</w:t>
      </w:r>
      <w:r w:rsidR="0032790A" w:rsidRPr="00C668B4">
        <w:rPr>
          <w:rFonts w:ascii="Arial" w:eastAsia="Arial" w:hAnsi="Arial" w:cs="Arial"/>
          <w:b/>
          <w:bCs/>
          <w:color w:val="000000"/>
          <w:sz w:val="20"/>
          <w:szCs w:val="20"/>
        </w:rPr>
        <w:t>. PROCEDÊNCIA. MODULAÇÃO DOS EFEITOS DA DECISÃO.</w:t>
      </w:r>
    </w:p>
    <w:p w14:paraId="44A332E7" w14:textId="3C508EFA" w:rsidR="00C668B4" w:rsidRPr="00C668B4" w:rsidRDefault="00C668B4" w:rsidP="00C668B4">
      <w:pPr>
        <w:spacing w:after="120"/>
        <w:jc w:val="both"/>
        <w:rPr>
          <w:rFonts w:ascii="Arial" w:eastAsia="Arial" w:hAnsi="Arial" w:cs="Arial"/>
          <w:color w:val="000000"/>
          <w:sz w:val="20"/>
          <w:szCs w:val="20"/>
        </w:rPr>
      </w:pPr>
      <w:r w:rsidRPr="00C668B4">
        <w:rPr>
          <w:rFonts w:ascii="Arial" w:eastAsia="Arial" w:hAnsi="Arial" w:cs="Arial"/>
          <w:color w:val="000000"/>
          <w:sz w:val="20"/>
          <w:szCs w:val="20"/>
        </w:rPr>
        <w:t xml:space="preserve">1. A controvérsia constitucional deduzida na presente ação direta de inconstitucionalidade consiste em saber se é constitucional lei estadual que promova acréscimo remuneratório de servidores efetivos da Fundação Estadual do Meio Ambiente e Recursos Hídricos (FEMARH) e do Instituto de Amparo à Ciência, Tecnologia e Inovação (IACTI), sem a correspondente e prévia dotação orçamentária ou a apresentação no curso do processo legislativo de estimativa de impacto financeiro e orçamentário referente à despesa pública criada. 2. Preliminar. Conversão da apreciação cautelar em julgamento definitivo de mérito. Considerando: (i) o alto grau de </w:t>
      </w:r>
      <w:r w:rsidRPr="00C668B4">
        <w:rPr>
          <w:rFonts w:ascii="Arial" w:eastAsia="Arial" w:hAnsi="Arial" w:cs="Arial"/>
          <w:color w:val="000000"/>
          <w:sz w:val="20"/>
          <w:szCs w:val="20"/>
        </w:rPr>
        <w:lastRenderedPageBreak/>
        <w:t>instrução do feito, (</w:t>
      </w:r>
      <w:proofErr w:type="spellStart"/>
      <w:r w:rsidRPr="00C668B4">
        <w:rPr>
          <w:rFonts w:ascii="Arial" w:eastAsia="Arial" w:hAnsi="Arial" w:cs="Arial"/>
          <w:color w:val="000000"/>
          <w:sz w:val="20"/>
          <w:szCs w:val="20"/>
        </w:rPr>
        <w:t>ii</w:t>
      </w:r>
      <w:proofErr w:type="spellEnd"/>
      <w:r w:rsidRPr="00C668B4">
        <w:rPr>
          <w:rFonts w:ascii="Arial" w:eastAsia="Arial" w:hAnsi="Arial" w:cs="Arial"/>
          <w:color w:val="000000"/>
          <w:sz w:val="20"/>
          <w:szCs w:val="20"/>
        </w:rPr>
        <w:t>) a existência de jurisprudência acerca de matéria similar, (</w:t>
      </w:r>
      <w:proofErr w:type="spellStart"/>
      <w:r w:rsidRPr="00C668B4">
        <w:rPr>
          <w:rFonts w:ascii="Arial" w:eastAsia="Arial" w:hAnsi="Arial" w:cs="Arial"/>
          <w:color w:val="000000"/>
          <w:sz w:val="20"/>
          <w:szCs w:val="20"/>
        </w:rPr>
        <w:t>iii</w:t>
      </w:r>
      <w:proofErr w:type="spellEnd"/>
      <w:r w:rsidRPr="00C668B4">
        <w:rPr>
          <w:rFonts w:ascii="Arial" w:eastAsia="Arial" w:hAnsi="Arial" w:cs="Arial"/>
          <w:color w:val="000000"/>
          <w:sz w:val="20"/>
          <w:szCs w:val="20"/>
        </w:rPr>
        <w:t>) os imperativos de economia processual e (</w:t>
      </w:r>
      <w:proofErr w:type="spellStart"/>
      <w:r w:rsidRPr="00C668B4">
        <w:rPr>
          <w:rFonts w:ascii="Arial" w:eastAsia="Arial" w:hAnsi="Arial" w:cs="Arial"/>
          <w:color w:val="000000"/>
          <w:sz w:val="20"/>
          <w:szCs w:val="20"/>
        </w:rPr>
        <w:t>iv</w:t>
      </w:r>
      <w:proofErr w:type="spellEnd"/>
      <w:r w:rsidRPr="00C668B4">
        <w:rPr>
          <w:rFonts w:ascii="Arial" w:eastAsia="Arial" w:hAnsi="Arial" w:cs="Arial"/>
          <w:color w:val="000000"/>
          <w:sz w:val="20"/>
          <w:szCs w:val="20"/>
        </w:rPr>
        <w:t xml:space="preserve">) a inutilidade de novas providências instrutórias no estágio em que o processo se encontra, a ação direta de inconstitucionalidade está pronta para julgamento definitivo. 3. Preliminar. Conhecimento da ação. Por ocasião do julgamento do agravo regimental interposto nesta ação, o Plenário da Corte, por maioria, acompanhou o voto-vogal do eminente Ministro Alexandre de Moraes para concluir ser “possível o exame da constitucionalidade em sede concentrada de atos normativos estaduais que concederam vantagens remuneratórias a categorias de servidores públicos em descompasso com a atividade financeira e orçamentária do ente, com fundamento no parâmetro constante do art. 169, § 1º, inciso I, da Constituição Federal, e do art. 113 do ADCT (EC 95/2016).” 4. Mérito. Art. 169, § 1º, inc. I, da Constituição da República. As provas documentais carreadas aos autos atestam a inexistência de prévia dotação orçamentária para a concessão do incremento remuneratório. A Chefia do Poder Executivo estadual não apresentou estudos nesse sentido, bem como contrariou os pronunciamentos técnicos da Advocacia Pública e da Secretaria de Planejamento. A Assembleia Legislativa do Estado limitou-se a fazer alegações genéricas no sentido de que a LRF restara observada na espécie. 5. Mérito. Art. 113 do ADCT. A despeito de a regra do art. 113 do ADCT ter sido incluída na Constituição pela EC nº 95, de 2016, que instituiu o Novo Regime Fiscal da União, a jurisprudência do Supremo Tribunal Federal firmou-se no sentido de que essa norma </w:t>
      </w:r>
      <w:proofErr w:type="gramStart"/>
      <w:r w:rsidRPr="00C668B4">
        <w:rPr>
          <w:rFonts w:ascii="Arial" w:eastAsia="Arial" w:hAnsi="Arial" w:cs="Arial"/>
          <w:color w:val="000000"/>
          <w:sz w:val="20"/>
          <w:szCs w:val="20"/>
        </w:rPr>
        <w:t>aplica-se</w:t>
      </w:r>
      <w:proofErr w:type="gramEnd"/>
      <w:r w:rsidRPr="00C668B4">
        <w:rPr>
          <w:rFonts w:ascii="Arial" w:eastAsia="Arial" w:hAnsi="Arial" w:cs="Arial"/>
          <w:color w:val="000000"/>
          <w:sz w:val="20"/>
          <w:szCs w:val="20"/>
        </w:rPr>
        <w:t xml:space="preserve"> a todos os entes federados, à luz de métodos de interpretação literal, teleológico e sistemático. Ficou comprovado nos autos que o objeto impugnado não foi instruído com estudos do seu impacto financeiro e orçamentário. Precedentes. 6. Modulação de efeitos. Em respeito aos princípios da segurança jurídica, da boa-fé objetiva e da proteção da confiança, conjuntamente ao fato de a norma atacada já ter produzido efeitos por quase um lustro possibilitando a percepção de verbas de natureza alimentar por servidores públicos, torna-se imperativa a modulação dos efeitos da declaração de inconstitucionalidade, nos termos do art. 27 da Lei nº 9.868, de 1999. 7. Ação direta de inconstitucionalidade integralmente conhecida e, no mérito, julgada procedente, com efeitos </w:t>
      </w:r>
      <w:proofErr w:type="spellStart"/>
      <w:r w:rsidRPr="00C668B4">
        <w:rPr>
          <w:rFonts w:ascii="Arial" w:eastAsia="Arial" w:hAnsi="Arial" w:cs="Arial"/>
          <w:color w:val="000000"/>
          <w:sz w:val="20"/>
          <w:szCs w:val="20"/>
        </w:rPr>
        <w:t>ex</w:t>
      </w:r>
      <w:proofErr w:type="spellEnd"/>
      <w:r w:rsidRPr="00C668B4">
        <w:rPr>
          <w:rFonts w:ascii="Arial" w:eastAsia="Arial" w:hAnsi="Arial" w:cs="Arial"/>
          <w:color w:val="000000"/>
          <w:sz w:val="20"/>
          <w:szCs w:val="20"/>
        </w:rPr>
        <w:t xml:space="preserve"> nunc, a partir da data da publicação da ata do presente julgamento.</w:t>
      </w:r>
    </w:p>
    <w:p w14:paraId="05E6F554" w14:textId="787D032E" w:rsidR="00C668B4" w:rsidRPr="00C668B4" w:rsidRDefault="00C668B4" w:rsidP="00C668B4">
      <w:pPr>
        <w:spacing w:after="120"/>
        <w:jc w:val="both"/>
        <w:rPr>
          <w:rFonts w:ascii="Arial" w:eastAsia="Arial" w:hAnsi="Arial" w:cs="Arial"/>
          <w:color w:val="000000"/>
          <w:sz w:val="20"/>
          <w:szCs w:val="20"/>
        </w:rPr>
      </w:pPr>
      <w:r w:rsidRPr="00C668B4">
        <w:rPr>
          <w:rFonts w:ascii="Arial" w:eastAsia="Arial" w:hAnsi="Arial" w:cs="Arial"/>
          <w:color w:val="000000"/>
          <w:sz w:val="20"/>
          <w:szCs w:val="20"/>
        </w:rPr>
        <w:t>(</w:t>
      </w:r>
      <w:r w:rsidRPr="00C668B4">
        <w:rPr>
          <w:rFonts w:ascii="Arial" w:eastAsia="Arial" w:hAnsi="Arial" w:cs="Arial"/>
          <w:color w:val="000000"/>
          <w:sz w:val="20"/>
          <w:szCs w:val="20"/>
        </w:rPr>
        <w:t xml:space="preserve">STF, </w:t>
      </w:r>
      <w:hyperlink r:id="rId11" w:history="1">
        <w:r w:rsidRPr="00C668B4">
          <w:rPr>
            <w:rStyle w:val="Hyperlink"/>
            <w:rFonts w:ascii="Arial" w:eastAsia="Arial" w:hAnsi="Arial" w:cs="Arial"/>
            <w:sz w:val="20"/>
            <w:szCs w:val="20"/>
          </w:rPr>
          <w:t>ADI 6080</w:t>
        </w:r>
      </w:hyperlink>
      <w:r w:rsidRPr="00C668B4">
        <w:rPr>
          <w:rFonts w:ascii="Arial" w:eastAsia="Arial" w:hAnsi="Arial" w:cs="Arial"/>
          <w:color w:val="000000"/>
          <w:sz w:val="20"/>
          <w:szCs w:val="20"/>
        </w:rPr>
        <w:t xml:space="preserve">, Relator(a): </w:t>
      </w:r>
      <w:r w:rsidRPr="00C668B4">
        <w:rPr>
          <w:rFonts w:ascii="Arial" w:eastAsia="Arial" w:hAnsi="Arial" w:cs="Arial"/>
          <w:color w:val="000000"/>
          <w:sz w:val="20"/>
          <w:szCs w:val="20"/>
        </w:rPr>
        <w:t>Min. André Mendonça</w:t>
      </w:r>
      <w:r w:rsidRPr="00C668B4">
        <w:rPr>
          <w:rFonts w:ascii="Arial" w:eastAsia="Arial" w:hAnsi="Arial" w:cs="Arial"/>
          <w:color w:val="000000"/>
          <w:sz w:val="20"/>
          <w:szCs w:val="20"/>
        </w:rPr>
        <w:t xml:space="preserve">, Tribunal Pleno, julgado em 05/12/2022, </w:t>
      </w:r>
      <w:r w:rsidRPr="00C668B4">
        <w:rPr>
          <w:rFonts w:ascii="Arial" w:eastAsia="Arial" w:hAnsi="Arial" w:cs="Arial"/>
          <w:color w:val="000000"/>
          <w:sz w:val="20"/>
          <w:szCs w:val="20"/>
        </w:rPr>
        <w:t>veiculado em 09/01/2023 e publicado em 10/01/2023</w:t>
      </w:r>
      <w:r w:rsidRPr="00C668B4">
        <w:rPr>
          <w:rFonts w:ascii="Arial" w:eastAsia="Arial" w:hAnsi="Arial" w:cs="Arial"/>
          <w:color w:val="000000"/>
          <w:sz w:val="20"/>
          <w:szCs w:val="20"/>
        </w:rPr>
        <w:t>)</w:t>
      </w:r>
    </w:p>
    <w:p w14:paraId="55BDEBC5" w14:textId="77777777" w:rsidR="00674104" w:rsidRDefault="00674104">
      <w:pPr>
        <w:spacing w:line="276" w:lineRule="auto"/>
        <w:rPr>
          <w:rFonts w:ascii="Arial" w:eastAsia="Arial" w:hAnsi="Arial" w:cs="Arial"/>
          <w:color w:val="000000"/>
          <w:sz w:val="20"/>
          <w:szCs w:val="20"/>
        </w:rPr>
      </w:pPr>
    </w:p>
    <w:p w14:paraId="720AB9E8" w14:textId="77777777" w:rsidR="00674104" w:rsidRDefault="00000000">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208AF537" w14:textId="77777777" w:rsidR="00674104" w:rsidRDefault="00674104">
      <w:pPr>
        <w:pStyle w:val="TCU-Ac-item9-"/>
        <w:spacing w:line="276" w:lineRule="auto"/>
        <w:ind w:firstLine="0"/>
        <w:rPr>
          <w:rFonts w:ascii="Arial" w:eastAsia="Arial" w:hAnsi="Arial" w:cs="Arial"/>
          <w:b/>
          <w:bCs/>
          <w:color w:val="000000"/>
          <w:sz w:val="20"/>
          <w:szCs w:val="20"/>
        </w:rPr>
      </w:pPr>
    </w:p>
    <w:p w14:paraId="0BAF75C0" w14:textId="0D456B3F" w:rsidR="0032790A" w:rsidRPr="0032790A" w:rsidRDefault="009763CE" w:rsidP="0032790A">
      <w:pPr>
        <w:pStyle w:val="Default"/>
        <w:spacing w:after="120"/>
        <w:jc w:val="both"/>
        <w:rPr>
          <w:rFonts w:eastAsia="Arial"/>
          <w:b/>
          <w:bCs/>
          <w:sz w:val="20"/>
          <w:szCs w:val="20"/>
        </w:rPr>
      </w:pPr>
      <w:r>
        <w:rPr>
          <w:rFonts w:eastAsia="Arial"/>
          <w:b/>
          <w:bCs/>
          <w:sz w:val="20"/>
          <w:szCs w:val="20"/>
        </w:rPr>
        <w:t xml:space="preserve">5. </w:t>
      </w:r>
      <w:r w:rsidR="0032790A" w:rsidRPr="0032790A">
        <w:rPr>
          <w:rFonts w:eastAsia="Arial"/>
          <w:b/>
          <w:bCs/>
          <w:sz w:val="20"/>
          <w:szCs w:val="20"/>
        </w:rPr>
        <w:t>PROCESSUAL CIVIL. AGRAVO INTERNO NO AGRAVO INTERNO NO RECURSO ESPECIAL. CÓDIGO DE PROCESSO CIVIL DE 2015. APLICABILIDADE. URBANÍSTICO. AMBIENTAL. OPERAÇÕES URBANAS CONSORCIADAS. INSTRUMENTO DE POLÍTÍCA URBANA. TUTELA DO MEIO AMBIENTE NATURAL E ARTIFICIAL. ESTATUTO DA CIDADE. AÇÃO CIVIL PÚBLICA. PRETENSÃO INDENIZATÓRIA. CARIZ AMBIENTAL DO PEDIDO FORMULADO. IMPRESCRITIBILIDADE. TEMA N. 999/STF. AGRAVO INTERNO PROVIDO. RECURSO ESPECIAL IMPROVIDO.</w:t>
      </w:r>
    </w:p>
    <w:p w14:paraId="65450C0F" w14:textId="77777777" w:rsidR="0032790A" w:rsidRPr="0032790A" w:rsidRDefault="0032790A" w:rsidP="0032790A">
      <w:pPr>
        <w:pStyle w:val="Default"/>
        <w:spacing w:after="120"/>
        <w:jc w:val="both"/>
        <w:rPr>
          <w:rFonts w:eastAsia="Arial"/>
          <w:sz w:val="20"/>
          <w:szCs w:val="20"/>
        </w:rPr>
      </w:pPr>
      <w:r w:rsidRPr="0032790A">
        <w:rPr>
          <w:rFonts w:eastAsia="Arial"/>
          <w:sz w:val="20"/>
          <w:szCs w:val="20"/>
        </w:rPr>
        <w:t>I - Consoante o decidido pelo Plenário desta Corte na sessão realizada em 09.03.2016, o regime recursal será determinado pela data da publicação do provimento jurisdicional impugnado. No caso, aplica-se o Código de Processo Civil de 2015.</w:t>
      </w:r>
    </w:p>
    <w:p w14:paraId="24EC75F7" w14:textId="77777777" w:rsidR="0032790A" w:rsidRPr="0032790A" w:rsidRDefault="0032790A" w:rsidP="0032790A">
      <w:pPr>
        <w:pStyle w:val="Default"/>
        <w:spacing w:after="120"/>
        <w:jc w:val="both"/>
        <w:rPr>
          <w:rFonts w:eastAsia="Arial"/>
          <w:sz w:val="20"/>
          <w:szCs w:val="20"/>
        </w:rPr>
      </w:pPr>
      <w:r w:rsidRPr="0032790A">
        <w:rPr>
          <w:rFonts w:eastAsia="Arial"/>
          <w:sz w:val="20"/>
          <w:szCs w:val="20"/>
        </w:rPr>
        <w:t xml:space="preserve">II - As Operações Urbanas Consorciadas, instrumentos de execução da política de desenvolvimento urbano constitucionalmente assentada, têm como um de seus objetivos a valorização ambiental, além de autorizar a concessão, pelo Poder Público, de incentivos diretamente relacionados à redução de impactos ambientais negativos e à economia de recursos </w:t>
      </w:r>
      <w:r w:rsidRPr="0032790A">
        <w:rPr>
          <w:rFonts w:eastAsia="Arial"/>
          <w:sz w:val="20"/>
          <w:szCs w:val="20"/>
        </w:rPr>
        <w:lastRenderedPageBreak/>
        <w:t>naturais, nos termos do art. 32 do Estatuto da Cidade (Lei n. 10.257/2001), com redação dada pela Lei n. 12.836/2013.</w:t>
      </w:r>
    </w:p>
    <w:p w14:paraId="1E764865" w14:textId="77777777" w:rsidR="0032790A" w:rsidRPr="0032790A" w:rsidRDefault="0032790A" w:rsidP="0032790A">
      <w:pPr>
        <w:pStyle w:val="Default"/>
        <w:spacing w:after="120"/>
        <w:jc w:val="both"/>
        <w:rPr>
          <w:rFonts w:eastAsia="Arial"/>
          <w:sz w:val="20"/>
          <w:szCs w:val="20"/>
        </w:rPr>
      </w:pPr>
      <w:r w:rsidRPr="0032790A">
        <w:rPr>
          <w:rFonts w:eastAsia="Arial"/>
          <w:sz w:val="20"/>
          <w:szCs w:val="20"/>
        </w:rPr>
        <w:t>III - Verifica-se, à vista dessa moldura normativa, verdadeira simbiose entre os princípios e institutos jurídicos do Direito Urbanístico e do Direito Ambiental, os quais, conquanto autônomos, salvaguardam, ao fim e ao cabo, o direito fundamental difuso ao bem-estar social, à vida digna e ao meio ambiente ecologicamente equilibrado.</w:t>
      </w:r>
    </w:p>
    <w:p w14:paraId="3AC3FEFE" w14:textId="77777777" w:rsidR="0032790A" w:rsidRPr="0032790A" w:rsidRDefault="0032790A" w:rsidP="0032790A">
      <w:pPr>
        <w:pStyle w:val="Default"/>
        <w:spacing w:after="120"/>
        <w:jc w:val="both"/>
        <w:rPr>
          <w:rFonts w:eastAsia="Arial"/>
          <w:sz w:val="20"/>
          <w:szCs w:val="20"/>
        </w:rPr>
      </w:pPr>
      <w:r w:rsidRPr="0032790A">
        <w:rPr>
          <w:rFonts w:eastAsia="Arial"/>
          <w:sz w:val="20"/>
          <w:szCs w:val="20"/>
        </w:rPr>
        <w:t xml:space="preserve">IV - Considerando a vocação das Operações Urbanas Consorciadas para a tutela do meio ambiente, nas ações cujo objeto compreenda a persecução cível de ilícitos delas resultantes, é necessário valorar, caso a caso, a interpretação do pedido procedida nas instâncias de origem, a fim de definir a </w:t>
      </w:r>
      <w:proofErr w:type="spellStart"/>
      <w:r w:rsidRPr="0032790A">
        <w:rPr>
          <w:rFonts w:eastAsia="Arial"/>
          <w:sz w:val="20"/>
          <w:szCs w:val="20"/>
        </w:rPr>
        <w:t>prescritibilidade</w:t>
      </w:r>
      <w:proofErr w:type="spellEnd"/>
      <w:r w:rsidRPr="0032790A">
        <w:rPr>
          <w:rFonts w:eastAsia="Arial"/>
          <w:sz w:val="20"/>
          <w:szCs w:val="20"/>
        </w:rPr>
        <w:t xml:space="preserve"> da pretensão reparatória vindicada.</w:t>
      </w:r>
    </w:p>
    <w:p w14:paraId="0C1A27E0" w14:textId="77777777" w:rsidR="0032790A" w:rsidRPr="0032790A" w:rsidRDefault="0032790A" w:rsidP="0032790A">
      <w:pPr>
        <w:pStyle w:val="Default"/>
        <w:spacing w:after="120"/>
        <w:jc w:val="both"/>
        <w:rPr>
          <w:rFonts w:eastAsia="Arial"/>
          <w:sz w:val="20"/>
          <w:szCs w:val="20"/>
        </w:rPr>
      </w:pPr>
      <w:r w:rsidRPr="0032790A">
        <w:rPr>
          <w:rFonts w:eastAsia="Arial"/>
          <w:sz w:val="20"/>
          <w:szCs w:val="20"/>
        </w:rPr>
        <w:t xml:space="preserve">V - Constatada, in </w:t>
      </w:r>
      <w:proofErr w:type="spellStart"/>
      <w:r w:rsidRPr="0032790A">
        <w:rPr>
          <w:rFonts w:eastAsia="Arial"/>
          <w:sz w:val="20"/>
          <w:szCs w:val="20"/>
        </w:rPr>
        <w:t>casu</w:t>
      </w:r>
      <w:proofErr w:type="spellEnd"/>
      <w:r w:rsidRPr="0032790A">
        <w:rPr>
          <w:rFonts w:eastAsia="Arial"/>
          <w:sz w:val="20"/>
          <w:szCs w:val="20"/>
        </w:rPr>
        <w:t>, a feição ambiental da pretensão ministerial, impende reconhecer a sua imprescritibilidade, em consonância com a tese cristalizada pelo Supremo Tribunal Federal, em julgamento submetido à sistemática da repercussão geral (Tema n. 999), segundo a qual é imprescritível a pretensão de reparação dos danos ambientais.</w:t>
      </w:r>
    </w:p>
    <w:p w14:paraId="6278686E" w14:textId="77777777" w:rsidR="0032790A" w:rsidRPr="0032790A" w:rsidRDefault="0032790A" w:rsidP="0032790A">
      <w:pPr>
        <w:pStyle w:val="Default"/>
        <w:spacing w:after="120"/>
        <w:jc w:val="both"/>
        <w:rPr>
          <w:rFonts w:eastAsia="Arial"/>
          <w:sz w:val="20"/>
          <w:szCs w:val="20"/>
        </w:rPr>
      </w:pPr>
      <w:r w:rsidRPr="0032790A">
        <w:rPr>
          <w:rFonts w:eastAsia="Arial"/>
          <w:sz w:val="20"/>
          <w:szCs w:val="20"/>
        </w:rPr>
        <w:t>VI - Agravo Interno provido para negar provimento ao Recurso Especial.</w:t>
      </w:r>
    </w:p>
    <w:p w14:paraId="24A6E59F" w14:textId="4DAED915" w:rsidR="0032790A" w:rsidRPr="0032790A" w:rsidRDefault="0032790A" w:rsidP="0032790A">
      <w:pPr>
        <w:pStyle w:val="Default"/>
        <w:spacing w:after="240"/>
        <w:jc w:val="both"/>
        <w:rPr>
          <w:rFonts w:eastAsia="Arial"/>
          <w:sz w:val="20"/>
          <w:szCs w:val="20"/>
        </w:rPr>
      </w:pPr>
      <w:r w:rsidRPr="0032790A">
        <w:rPr>
          <w:rFonts w:eastAsia="Arial"/>
          <w:sz w:val="20"/>
          <w:szCs w:val="20"/>
          <w:lang w:val="en-US"/>
        </w:rPr>
        <w:t>(</w:t>
      </w:r>
      <w:r w:rsidRPr="0032790A">
        <w:rPr>
          <w:rFonts w:eastAsia="Arial"/>
          <w:sz w:val="20"/>
          <w:szCs w:val="20"/>
          <w:lang w:val="en-US"/>
        </w:rPr>
        <w:t xml:space="preserve">STJ, </w:t>
      </w:r>
      <w:hyperlink r:id="rId12" w:history="1">
        <w:proofErr w:type="spellStart"/>
        <w:r w:rsidRPr="0032790A">
          <w:rPr>
            <w:rStyle w:val="Hyperlink"/>
            <w:rFonts w:eastAsia="Arial"/>
            <w:sz w:val="20"/>
            <w:szCs w:val="20"/>
            <w:lang w:val="en-US"/>
          </w:rPr>
          <w:t>AgInt</w:t>
        </w:r>
        <w:proofErr w:type="spellEnd"/>
        <w:r w:rsidRPr="0032790A">
          <w:rPr>
            <w:rStyle w:val="Hyperlink"/>
            <w:rFonts w:eastAsia="Arial"/>
            <w:sz w:val="20"/>
            <w:szCs w:val="20"/>
            <w:lang w:val="en-US"/>
          </w:rPr>
          <w:t xml:space="preserve"> no </w:t>
        </w:r>
        <w:proofErr w:type="spellStart"/>
        <w:r w:rsidRPr="0032790A">
          <w:rPr>
            <w:rStyle w:val="Hyperlink"/>
            <w:rFonts w:eastAsia="Arial"/>
            <w:sz w:val="20"/>
            <w:szCs w:val="20"/>
            <w:lang w:val="en-US"/>
          </w:rPr>
          <w:t>AgInt</w:t>
        </w:r>
        <w:proofErr w:type="spellEnd"/>
        <w:r w:rsidRPr="0032790A">
          <w:rPr>
            <w:rStyle w:val="Hyperlink"/>
            <w:rFonts w:eastAsia="Arial"/>
            <w:sz w:val="20"/>
            <w:szCs w:val="20"/>
            <w:lang w:val="en-US"/>
          </w:rPr>
          <w:t xml:space="preserve"> no </w:t>
        </w:r>
        <w:proofErr w:type="spellStart"/>
        <w:r w:rsidRPr="0032790A">
          <w:rPr>
            <w:rStyle w:val="Hyperlink"/>
            <w:rFonts w:eastAsia="Arial"/>
            <w:sz w:val="20"/>
            <w:szCs w:val="20"/>
            <w:lang w:val="en-US"/>
          </w:rPr>
          <w:t>REsp</w:t>
        </w:r>
        <w:proofErr w:type="spellEnd"/>
        <w:r w:rsidRPr="0032790A">
          <w:rPr>
            <w:rStyle w:val="Hyperlink"/>
            <w:rFonts w:eastAsia="Arial"/>
            <w:sz w:val="20"/>
            <w:szCs w:val="20"/>
            <w:lang w:val="en-US"/>
          </w:rPr>
          <w:t xml:space="preserve"> n. 1.464.446/RJ</w:t>
        </w:r>
      </w:hyperlink>
      <w:r w:rsidRPr="0032790A">
        <w:rPr>
          <w:rFonts w:eastAsia="Arial"/>
          <w:sz w:val="20"/>
          <w:szCs w:val="20"/>
          <w:lang w:val="en-US"/>
        </w:rPr>
        <w:t xml:space="preserve">, </w:t>
      </w:r>
      <w:r w:rsidRPr="0032790A">
        <w:rPr>
          <w:rFonts w:eastAsia="Arial"/>
          <w:sz w:val="20"/>
          <w:szCs w:val="20"/>
          <w:lang w:val="en-US"/>
        </w:rPr>
        <w:t>Rel.</w:t>
      </w:r>
      <w:r w:rsidRPr="0032790A">
        <w:rPr>
          <w:rFonts w:eastAsia="Arial"/>
          <w:sz w:val="20"/>
          <w:szCs w:val="20"/>
          <w:lang w:val="en-US"/>
        </w:rPr>
        <w:t xml:space="preserve"> </w:t>
      </w:r>
      <w:r w:rsidRPr="0032790A">
        <w:rPr>
          <w:rFonts w:eastAsia="Arial"/>
          <w:sz w:val="20"/>
          <w:szCs w:val="20"/>
        </w:rPr>
        <w:t xml:space="preserve">Ministro Sérgio </w:t>
      </w:r>
      <w:proofErr w:type="spellStart"/>
      <w:r w:rsidRPr="0032790A">
        <w:rPr>
          <w:rFonts w:eastAsia="Arial"/>
          <w:sz w:val="20"/>
          <w:szCs w:val="20"/>
        </w:rPr>
        <w:t>Kukina</w:t>
      </w:r>
      <w:proofErr w:type="spellEnd"/>
      <w:r w:rsidRPr="0032790A">
        <w:rPr>
          <w:rFonts w:eastAsia="Arial"/>
          <w:sz w:val="20"/>
          <w:szCs w:val="20"/>
        </w:rPr>
        <w:t xml:space="preserve">, </w:t>
      </w:r>
      <w:r>
        <w:rPr>
          <w:rFonts w:eastAsia="Arial"/>
          <w:sz w:val="20"/>
          <w:szCs w:val="20"/>
        </w:rPr>
        <w:t>Rel.</w:t>
      </w:r>
      <w:r w:rsidRPr="0032790A">
        <w:rPr>
          <w:rFonts w:eastAsia="Arial"/>
          <w:sz w:val="20"/>
          <w:szCs w:val="20"/>
        </w:rPr>
        <w:t xml:space="preserve"> para acórdão Ministra Regina Helena Costa, Primeira Turma, julgado em 22/11/2022, </w:t>
      </w:r>
      <w:r>
        <w:rPr>
          <w:rFonts w:eastAsia="Arial"/>
          <w:sz w:val="20"/>
          <w:szCs w:val="20"/>
        </w:rPr>
        <w:t>veiculado em</w:t>
      </w:r>
      <w:r w:rsidRPr="0032790A">
        <w:rPr>
          <w:rFonts w:eastAsia="Arial"/>
          <w:sz w:val="20"/>
          <w:szCs w:val="20"/>
        </w:rPr>
        <w:t xml:space="preserve"> 11/1/2023.)</w:t>
      </w:r>
    </w:p>
    <w:p w14:paraId="53A486E8" w14:textId="77777777" w:rsidR="00674104" w:rsidRDefault="00674104">
      <w:pPr>
        <w:pStyle w:val="Default"/>
        <w:spacing w:line="276" w:lineRule="auto"/>
        <w:jc w:val="both"/>
        <w:rPr>
          <w:b/>
          <w:sz w:val="20"/>
          <w:szCs w:val="20"/>
        </w:rPr>
      </w:pPr>
    </w:p>
    <w:p w14:paraId="69D852A3" w14:textId="77777777" w:rsidR="00674104" w:rsidRDefault="00000000">
      <w:pPr>
        <w:pStyle w:val="Default"/>
        <w:spacing w:line="276" w:lineRule="auto"/>
        <w:jc w:val="center"/>
        <w:rPr>
          <w:rStyle w:val="Hyperlink"/>
          <w:sz w:val="20"/>
          <w:szCs w:val="20"/>
        </w:rPr>
      </w:pPr>
      <w:hyperlink r:id="rId13" w:tooltip="http://www1.tce.pr.gov.br/conteudo/pesquisas-prontas/308475/area/249" w:history="1">
        <w:r>
          <w:rPr>
            <w:rStyle w:val="Hyperlink"/>
            <w:b/>
            <w:sz w:val="20"/>
            <w:szCs w:val="20"/>
          </w:rPr>
          <w:t>Pesquisas Prontas</w:t>
        </w:r>
      </w:hyperlink>
    </w:p>
    <w:p w14:paraId="2AE727AF" w14:textId="77777777" w:rsidR="00674104" w:rsidRDefault="00674104">
      <w:pPr>
        <w:pStyle w:val="Default"/>
        <w:spacing w:line="276" w:lineRule="auto"/>
        <w:jc w:val="center"/>
        <w:rPr>
          <w:rStyle w:val="Hyperlink"/>
          <w:b/>
          <w:sz w:val="20"/>
          <w:szCs w:val="20"/>
        </w:rPr>
      </w:pPr>
    </w:p>
    <w:p w14:paraId="00EA30B5" w14:textId="77777777" w:rsidR="00674104" w:rsidRDefault="00000000">
      <w:pPr>
        <w:pStyle w:val="Default"/>
        <w:spacing w:line="276" w:lineRule="auto"/>
        <w:jc w:val="center"/>
        <w:rPr>
          <w:rStyle w:val="Hyperlink"/>
          <w:b/>
          <w:sz w:val="20"/>
          <w:szCs w:val="20"/>
        </w:rPr>
      </w:pPr>
      <w:hyperlink r:id="rId14" w:tooltip="http://www1.tce.pr.gov.br/conteudo/boletim-informativo-de-jurisprudencia/280400/area/249" w:history="1">
        <w:r>
          <w:rPr>
            <w:rStyle w:val="Hyperlink"/>
            <w:b/>
            <w:sz w:val="20"/>
            <w:szCs w:val="20"/>
          </w:rPr>
          <w:t>Boletim Informativo de Jurisprudência</w:t>
        </w:r>
      </w:hyperlink>
    </w:p>
    <w:p w14:paraId="335B31D9" w14:textId="77777777" w:rsidR="00674104" w:rsidRDefault="00674104">
      <w:pPr>
        <w:pStyle w:val="Default"/>
        <w:spacing w:line="276" w:lineRule="auto"/>
        <w:jc w:val="center"/>
        <w:rPr>
          <w:rStyle w:val="Hyperlink"/>
          <w:b/>
          <w:sz w:val="20"/>
          <w:szCs w:val="20"/>
        </w:rPr>
      </w:pPr>
    </w:p>
    <w:p w14:paraId="4C941E1C" w14:textId="77777777" w:rsidR="00674104" w:rsidRDefault="00000000">
      <w:pPr>
        <w:pStyle w:val="Default"/>
        <w:spacing w:line="276" w:lineRule="auto"/>
        <w:jc w:val="center"/>
        <w:rPr>
          <w:sz w:val="20"/>
          <w:szCs w:val="20"/>
        </w:rPr>
      </w:pPr>
      <w:hyperlink r:id="rId15" w:tooltip="http://www1.tce.pr.gov.br/conteudo/boletim-de-jurisprudencia-internacional/316601/area/249" w:history="1">
        <w:proofErr w:type="spellStart"/>
        <w:r>
          <w:rPr>
            <w:rStyle w:val="Hyperlink"/>
            <w:b/>
            <w:sz w:val="20"/>
            <w:szCs w:val="20"/>
          </w:rPr>
          <w:t>Interjuris</w:t>
        </w:r>
        <w:proofErr w:type="spellEnd"/>
      </w:hyperlink>
    </w:p>
    <w:p w14:paraId="6953FA10" w14:textId="77777777" w:rsidR="00674104" w:rsidRDefault="00674104">
      <w:pPr>
        <w:pStyle w:val="Default"/>
        <w:spacing w:line="276" w:lineRule="auto"/>
        <w:jc w:val="center"/>
        <w:rPr>
          <w:sz w:val="20"/>
          <w:szCs w:val="20"/>
        </w:rPr>
      </w:pPr>
    </w:p>
    <w:p w14:paraId="55AD30E5" w14:textId="77777777" w:rsidR="00674104" w:rsidRDefault="00000000">
      <w:pPr>
        <w:pStyle w:val="Default"/>
        <w:spacing w:line="276" w:lineRule="auto"/>
        <w:jc w:val="center"/>
        <w:rPr>
          <w:rStyle w:val="Hyperlink"/>
          <w:b/>
          <w:sz w:val="20"/>
          <w:szCs w:val="20"/>
        </w:rPr>
      </w:pPr>
      <w:hyperlink r:id="rId16" w:tooltip="http://www1.tce.pr.gov.br/conteudo/repercussao-geral-no-stf-e-os-tribunais-de-contas/307026/area/249" w:history="1">
        <w:r>
          <w:rPr>
            <w:rStyle w:val="Hyperlink"/>
            <w:b/>
            <w:sz w:val="20"/>
            <w:szCs w:val="20"/>
          </w:rPr>
          <w:t>Repercussão Geral do Supremo Tribunal Federal - STF e os Tribunais de Contas</w:t>
        </w:r>
      </w:hyperlink>
    </w:p>
    <w:p w14:paraId="7039AF69" w14:textId="77777777" w:rsidR="00674104" w:rsidRDefault="00674104">
      <w:pPr>
        <w:pStyle w:val="Default"/>
        <w:spacing w:line="276" w:lineRule="auto"/>
        <w:jc w:val="center"/>
        <w:rPr>
          <w:rStyle w:val="Hyperlink"/>
          <w:b/>
          <w:sz w:val="20"/>
          <w:szCs w:val="20"/>
        </w:rPr>
      </w:pPr>
    </w:p>
    <w:p w14:paraId="700B3066" w14:textId="77777777" w:rsidR="00674104" w:rsidRDefault="00000000">
      <w:pPr>
        <w:pStyle w:val="Default"/>
        <w:spacing w:line="276" w:lineRule="auto"/>
        <w:jc w:val="center"/>
        <w:rPr>
          <w:rStyle w:val="Hyperlink"/>
          <w:b/>
          <w:sz w:val="20"/>
          <w:szCs w:val="20"/>
        </w:rPr>
      </w:pPr>
      <w:hyperlink r:id="rId17" w:tooltip="http://www1.tce.pr.gov.br/conteudo/sumulas-selecionadas/316602/area/249" w:history="1">
        <w:r>
          <w:rPr>
            <w:rStyle w:val="Hyperlink"/>
            <w:b/>
            <w:sz w:val="20"/>
            <w:szCs w:val="20"/>
          </w:rPr>
          <w:t>Súmulas Selecionadas</w:t>
        </w:r>
      </w:hyperlink>
    </w:p>
    <w:p w14:paraId="784CB090" w14:textId="77777777" w:rsidR="00674104" w:rsidRDefault="00000000">
      <w:pPr>
        <w:pStyle w:val="TCU-Epgrafe"/>
        <w:spacing w:line="276" w:lineRule="auto"/>
        <w:ind w:left="0"/>
        <w:rPr>
          <w:rFonts w:ascii="Arial" w:hAnsi="Arial" w:cs="Arial"/>
          <w:sz w:val="20"/>
        </w:rPr>
      </w:pPr>
      <w:r>
        <w:rPr>
          <w:rFonts w:ascii="Arial" w:hAnsi="Arial" w:cs="Arial"/>
          <w:noProof/>
          <w:sz w:val="20"/>
        </w:rPr>
        <mc:AlternateContent>
          <mc:Choice Requires="wpg">
            <w:drawing>
              <wp:anchor distT="0" distB="0" distL="114300" distR="114300" simplePos="0" relativeHeight="251664896" behindDoc="0" locked="0" layoutInCell="1" allowOverlap="1" wp14:anchorId="7CE88545" wp14:editId="7F4D9BD4">
                <wp:simplePos x="0" y="0"/>
                <wp:positionH relativeFrom="margin">
                  <wp:posOffset>-18205</wp:posOffset>
                </wp:positionH>
                <wp:positionV relativeFrom="paragraph">
                  <wp:posOffset>117229</wp:posOffset>
                </wp:positionV>
                <wp:extent cx="5518150" cy="0"/>
                <wp:effectExtent l="0" t="0" r="25400" b="57150"/>
                <wp:wrapNone/>
                <wp:docPr id="5" name="Conector reto 59"/>
                <wp:cNvGraphicFramePr/>
                <a:graphic xmlns:a="http://schemas.openxmlformats.org/drawingml/2006/main">
                  <a:graphicData uri="http://schemas.microsoft.com/office/word/2010/wordprocessingShape">
                    <wps:wsp>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0.0pt;z-index:251664896;o:allowoverlap:true;o:allowincell:true;mso-position-horizontal-relative:margin;margin-left:-1.4pt;mso-position-horizontal:absolute;mso-position-vertical-relative:text;margin-top:9.2pt;mso-position-vertical:absolute;width:434.5pt;height:0.0pt;" coordsize="100000,100000" path="" filled="f" strokecolor="#000000" strokeweight="2.00pt">
                <v:path textboxrect="0,0,0,0"/>
              </v:shape>
            </w:pict>
          </mc:Fallback>
        </mc:AlternateContent>
      </w:r>
    </w:p>
    <w:p w14:paraId="311E79BA" w14:textId="77777777" w:rsidR="00674104" w:rsidRDefault="00674104">
      <w:pPr>
        <w:jc w:val="center"/>
        <w:rPr>
          <w:rStyle w:val="Hyperlink"/>
          <w:rFonts w:ascii="Arial" w:hAnsi="Arial" w:cs="Arial"/>
          <w:i/>
          <w:color w:val="000000"/>
          <w:sz w:val="20"/>
          <w:szCs w:val="20"/>
          <w:u w:val="none"/>
        </w:rPr>
      </w:pPr>
    </w:p>
    <w:p w14:paraId="7930A052" w14:textId="77777777" w:rsidR="00674104" w:rsidRDefault="00000000">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D355" w14:textId="77777777" w:rsidR="00935C7B" w:rsidRDefault="00935C7B">
      <w:r>
        <w:separator/>
      </w:r>
    </w:p>
  </w:endnote>
  <w:endnote w:type="continuationSeparator" w:id="0">
    <w:p w14:paraId="06302A07" w14:textId="77777777" w:rsidR="00935C7B" w:rsidRDefault="0093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8AD4" w14:textId="77777777" w:rsidR="00674104" w:rsidRDefault="00000000">
    <w:pPr>
      <w:pStyle w:val="Rodap"/>
      <w:jc w:val="center"/>
      <w:rPr>
        <w:sz w:val="16"/>
        <w:szCs w:val="16"/>
      </w:rPr>
    </w:pPr>
    <w:r>
      <w:rPr>
        <w:noProof/>
        <w:lang w:eastAsia="pt-BR"/>
      </w:rPr>
      <mc:AlternateContent>
        <mc:Choice Requires="wpg">
          <w:drawing>
            <wp:inline distT="0" distB="0" distL="0" distR="0" wp14:anchorId="330BC690" wp14:editId="65CD5D46">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36.5pt;height:18.2pt;" stroked="f">
              <v:path textboxrect="0,0,0,0"/>
              <v:imagedata r:id="rId2" o:title=""/>
            </v:shape>
          </w:pict>
        </mc:Fallback>
      </mc:AlternateContent>
    </w:r>
  </w:p>
  <w:p w14:paraId="6C70E0EC" w14:textId="77777777" w:rsidR="00674104" w:rsidRDefault="00000000">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171ABF4" w14:textId="77777777" w:rsidR="00674104" w:rsidRDefault="00674104"/>
  <w:p w14:paraId="40DE90F9" w14:textId="77777777" w:rsidR="00674104" w:rsidRDefault="00674104"/>
  <w:p w14:paraId="356C786C"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04A1" w14:textId="77777777" w:rsidR="00935C7B" w:rsidRDefault="00935C7B">
      <w:r>
        <w:separator/>
      </w:r>
    </w:p>
  </w:footnote>
  <w:footnote w:type="continuationSeparator" w:id="0">
    <w:p w14:paraId="6FE7BB5B" w14:textId="77777777" w:rsidR="00935C7B" w:rsidRDefault="0093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B873" w14:textId="77777777" w:rsidR="00674104" w:rsidRDefault="00674104">
    <w:pPr>
      <w:pStyle w:val="Cabealho"/>
      <w:spacing w:after="100" w:afterAutospacing="1"/>
      <w:jc w:val="center"/>
      <w:rPr>
        <w:b/>
      </w:rPr>
    </w:pPr>
  </w:p>
  <w:p w14:paraId="29BE05AC" w14:textId="77777777" w:rsidR="00674104" w:rsidRDefault="00000000">
    <w:pPr>
      <w:pStyle w:val="Cabealho"/>
      <w:spacing w:after="100" w:afterAutospacing="1"/>
      <w:jc w:val="center"/>
      <w:rPr>
        <w:b/>
      </w:rPr>
    </w:pPr>
    <w:r>
      <w:rPr>
        <w:noProof/>
        <w:lang w:eastAsia="pt-BR"/>
      </w:rPr>
      <mc:AlternateContent>
        <mc:Choice Requires="wpg">
          <w:drawing>
            <wp:inline distT="0" distB="0" distL="0" distR="0" wp14:anchorId="2B072A04" wp14:editId="4CE3B2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20.7pt;height:68.7pt;" stroked="f">
              <v:path textboxrect="0,0,0,0"/>
              <v:imagedata r:id="rId2" o:title=""/>
            </v:shape>
          </w:pict>
        </mc:Fallback>
      </mc:AlternateContent>
    </w:r>
    <w:r>
      <w:rPr>
        <w:noProof/>
        <w:lang w:eastAsia="pt-BR"/>
      </w:rPr>
      <mc:AlternateContent>
        <mc:Choice Requires="wpg">
          <w:drawing>
            <wp:inline distT="0" distB="0" distL="0" distR="0" wp14:anchorId="564474B4" wp14:editId="1B3DF5CF">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3"/>
                      <a:stretch/>
                    </pic:blipFill>
                    <pic:spPr bwMode="auto">
                      <a:xfrm>
                        <a:off x="0" y="0"/>
                        <a:ext cx="1245870" cy="77978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98.1pt;height:61.4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4"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5"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6"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7"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8"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11"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14"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17"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19"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23"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27"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28"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30"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27"/>
  </w:num>
  <w:num w:numId="2" w16cid:durableId="306250873">
    <w:abstractNumId w:val="32"/>
  </w:num>
  <w:num w:numId="3" w16cid:durableId="677388726">
    <w:abstractNumId w:val="5"/>
  </w:num>
  <w:num w:numId="4" w16cid:durableId="1047685675">
    <w:abstractNumId w:val="6"/>
  </w:num>
  <w:num w:numId="5" w16cid:durableId="721440985">
    <w:abstractNumId w:val="7"/>
  </w:num>
  <w:num w:numId="6" w16cid:durableId="1806388785">
    <w:abstractNumId w:val="29"/>
  </w:num>
  <w:num w:numId="7" w16cid:durableId="1750274423">
    <w:abstractNumId w:val="26"/>
  </w:num>
  <w:num w:numId="8" w16cid:durableId="1623338313">
    <w:abstractNumId w:val="18"/>
  </w:num>
  <w:num w:numId="9" w16cid:durableId="30689274">
    <w:abstractNumId w:val="3"/>
  </w:num>
  <w:num w:numId="10" w16cid:durableId="1698004936">
    <w:abstractNumId w:val="22"/>
  </w:num>
  <w:num w:numId="11" w16cid:durableId="1982075097">
    <w:abstractNumId w:val="10"/>
  </w:num>
  <w:num w:numId="12" w16cid:durableId="1728411462">
    <w:abstractNumId w:val="4"/>
  </w:num>
  <w:num w:numId="13" w16cid:durableId="655452802">
    <w:abstractNumId w:val="19"/>
  </w:num>
  <w:num w:numId="14" w16cid:durableId="1281952948">
    <w:abstractNumId w:val="31"/>
  </w:num>
  <w:num w:numId="15" w16cid:durableId="103888583">
    <w:abstractNumId w:val="12"/>
  </w:num>
  <w:num w:numId="16" w16cid:durableId="1451974577">
    <w:abstractNumId w:val="20"/>
  </w:num>
  <w:num w:numId="17" w16cid:durableId="1703506953">
    <w:abstractNumId w:val="11"/>
  </w:num>
  <w:num w:numId="18" w16cid:durableId="2026638350">
    <w:abstractNumId w:val="8"/>
  </w:num>
  <w:num w:numId="19" w16cid:durableId="1215431091">
    <w:abstractNumId w:val="9"/>
  </w:num>
  <w:num w:numId="20" w16cid:durableId="1899054223">
    <w:abstractNumId w:val="28"/>
  </w:num>
  <w:num w:numId="21" w16cid:durableId="1581677446">
    <w:abstractNumId w:val="17"/>
  </w:num>
  <w:num w:numId="22" w16cid:durableId="402145135">
    <w:abstractNumId w:val="2"/>
  </w:num>
  <w:num w:numId="23" w16cid:durableId="1958825558">
    <w:abstractNumId w:val="24"/>
  </w:num>
  <w:num w:numId="24" w16cid:durableId="1643582161">
    <w:abstractNumId w:val="23"/>
  </w:num>
  <w:num w:numId="25" w16cid:durableId="1396464771">
    <w:abstractNumId w:val="13"/>
  </w:num>
  <w:num w:numId="26" w16cid:durableId="579027903">
    <w:abstractNumId w:val="25"/>
  </w:num>
  <w:num w:numId="27" w16cid:durableId="507332749">
    <w:abstractNumId w:val="15"/>
  </w:num>
  <w:num w:numId="28" w16cid:durableId="522325421">
    <w:abstractNumId w:val="14"/>
  </w:num>
  <w:num w:numId="29" w16cid:durableId="1994405859">
    <w:abstractNumId w:val="30"/>
  </w:num>
  <w:num w:numId="30" w16cid:durableId="2041665161">
    <w:abstractNumId w:val="21"/>
  </w:num>
  <w:num w:numId="31" w16cid:durableId="825508633">
    <w:abstractNumId w:val="16"/>
  </w:num>
  <w:num w:numId="32" w16cid:durableId="1166626897">
    <w:abstractNumId w:val="0"/>
  </w:num>
  <w:num w:numId="33" w16cid:durableId="213563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04"/>
    <w:rsid w:val="00040AC2"/>
    <w:rsid w:val="00077C0D"/>
    <w:rsid w:val="000A0C9E"/>
    <w:rsid w:val="000D5E35"/>
    <w:rsid w:val="001331C5"/>
    <w:rsid w:val="0015344D"/>
    <w:rsid w:val="00183A15"/>
    <w:rsid w:val="001D4B88"/>
    <w:rsid w:val="00265060"/>
    <w:rsid w:val="0032790A"/>
    <w:rsid w:val="00351F4B"/>
    <w:rsid w:val="003C2C91"/>
    <w:rsid w:val="0048296C"/>
    <w:rsid w:val="004E74A0"/>
    <w:rsid w:val="005D558B"/>
    <w:rsid w:val="0067269E"/>
    <w:rsid w:val="00674104"/>
    <w:rsid w:val="00694B26"/>
    <w:rsid w:val="006A03EE"/>
    <w:rsid w:val="006F25DF"/>
    <w:rsid w:val="00732D1C"/>
    <w:rsid w:val="007A5AED"/>
    <w:rsid w:val="007B66F3"/>
    <w:rsid w:val="008963EF"/>
    <w:rsid w:val="008A36CA"/>
    <w:rsid w:val="009204AA"/>
    <w:rsid w:val="00935C7B"/>
    <w:rsid w:val="009763CE"/>
    <w:rsid w:val="009F144D"/>
    <w:rsid w:val="00B87D0C"/>
    <w:rsid w:val="00BA656E"/>
    <w:rsid w:val="00C668B4"/>
    <w:rsid w:val="00CC1302"/>
    <w:rsid w:val="00D07359"/>
    <w:rsid w:val="00E87B46"/>
    <w:rsid w:val="00EB3D00"/>
    <w:rsid w:val="00F332E4"/>
    <w:rsid w:val="00FD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E6DB"/>
  <w15:docId w15:val="{2B7DC2A1-38FD-4E21-B0D2-146661F5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uiPriority w:val="39"/>
    <w:semiHidden/>
    <w:unhideWhenUsed/>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 w:id="50346217">
              <w:marLeft w:val="0"/>
              <w:marRight w:val="0"/>
              <w:marTop w:val="0"/>
              <w:marBottom w:val="0"/>
              <w:divBdr>
                <w:top w:val="none" w:sz="0" w:space="0" w:color="auto"/>
                <w:left w:val="none" w:sz="0" w:space="0" w:color="auto"/>
                <w:bottom w:val="none" w:sz="0" w:space="0" w:color="auto"/>
                <w:right w:val="none" w:sz="0" w:space="0" w:color="auto"/>
              </w:divBdr>
              <w:divsChild>
                <w:div w:id="1878422132">
                  <w:marLeft w:val="0"/>
                  <w:marRight w:val="0"/>
                  <w:marTop w:val="0"/>
                  <w:marBottom w:val="0"/>
                  <w:divBdr>
                    <w:top w:val="none" w:sz="0" w:space="0" w:color="auto"/>
                    <w:left w:val="none" w:sz="0" w:space="0" w:color="auto"/>
                    <w:bottom w:val="none" w:sz="0" w:space="0" w:color="auto"/>
                    <w:right w:val="none" w:sz="0" w:space="0" w:color="auto"/>
                  </w:divBdr>
                </w:div>
                <w:div w:id="17020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as.tcu.gov.br/sagas/SvlVisualizarRelVotoAcRtf?codFiltro=SAGAS-SESSAO-ENCERRADA&amp;seOcultaPagina=S&amp;item0=815799"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on.stj.jus.br/SCON/GetInteiroTeorDoAcordao?num_registro=202101392110&amp;dt_publicacao=15/12/2022"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ir.stf.jus.br/paginadorpub/paginador.jsp?docTP=TP&amp;docID=765088694"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tce.ro.gov.br/AbrirPdfConvidado/22cc30537a3ec3e8508ac8ec725e4c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23/1/pdf/00371512.pdf" TargetMode="External"/><Relationship Id="rId14" Type="http://schemas.openxmlformats.org/officeDocument/2006/relationships/hyperlink" Target="http://www1.tce.pr.gov.br/conteudo/boletim-informativo-de-jurisprudencia/280400/area/24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3C74D022-C9B6-4C98-8292-5C7868A5971E}"/>
</file>

<file path=docProps/app.xml><?xml version="1.0" encoding="utf-8"?>
<Properties xmlns="http://schemas.openxmlformats.org/officeDocument/2006/extended-properties" xmlns:vt="http://schemas.openxmlformats.org/officeDocument/2006/docPropsVTypes">
  <Template>Normal.dotm</Template>
  <TotalTime>11</TotalTime>
  <Pages>6</Pages>
  <Words>2989</Words>
  <Characters>16141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Fernando Barros</cp:lastModifiedBy>
  <cp:revision>3</cp:revision>
  <dcterms:created xsi:type="dcterms:W3CDTF">2023-02-01T02:06:00Z</dcterms:created>
  <dcterms:modified xsi:type="dcterms:W3CDTF">2023-02-01T02:17:00Z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