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9500D" w14:textId="77777777" w:rsidR="00674104" w:rsidRDefault="00000000">
      <w:pPr>
        <w:pStyle w:val="Cabealho"/>
        <w:spacing w:line="276" w:lineRule="auto"/>
        <w:jc w:val="center"/>
        <w:rPr>
          <w:rFonts w:ascii="Arial" w:hAnsi="Arial" w:cs="Arial"/>
          <w:sz w:val="20"/>
          <w:szCs w:val="20"/>
        </w:rPr>
      </w:pPr>
      <w:r>
        <w:rPr>
          <w:rFonts w:ascii="Arial" w:hAnsi="Arial" w:cs="Arial"/>
          <w:b/>
          <w:sz w:val="20"/>
          <w:szCs w:val="20"/>
        </w:rPr>
        <w:t>TESES AMBIENTAIS</w:t>
      </w:r>
      <w:r>
        <w:rPr>
          <w:rFonts w:ascii="Arial" w:hAnsi="Arial" w:cs="Arial"/>
          <w:sz w:val="20"/>
          <w:szCs w:val="20"/>
        </w:rPr>
        <w:t xml:space="preserve"> </w:t>
      </w:r>
    </w:p>
    <w:p w14:paraId="3270AF62" w14:textId="77777777" w:rsidR="00674104" w:rsidRDefault="00674104">
      <w:pPr>
        <w:jc w:val="center"/>
        <w:rPr>
          <w:rFonts w:ascii="Arial" w:hAnsi="Arial" w:cs="Arial"/>
          <w:b/>
          <w:sz w:val="20"/>
          <w:szCs w:val="20"/>
        </w:rPr>
      </w:pPr>
    </w:p>
    <w:p w14:paraId="2804FFF8" w14:textId="77777777" w:rsidR="00674104" w:rsidRDefault="00000000">
      <w:pPr>
        <w:jc w:val="center"/>
        <w:rPr>
          <w:rFonts w:ascii="Arial" w:hAnsi="Arial" w:cs="Arial"/>
          <w:b/>
          <w:sz w:val="20"/>
          <w:szCs w:val="20"/>
        </w:rPr>
      </w:pPr>
      <w:r>
        <w:rPr>
          <w:rFonts w:ascii="Arial" w:hAnsi="Arial" w:cs="Arial"/>
          <w:b/>
          <w:sz w:val="20"/>
          <w:szCs w:val="20"/>
        </w:rPr>
        <w:t>Número 21</w:t>
      </w:r>
    </w:p>
    <w:p w14:paraId="62DC9DDD" w14:textId="77777777" w:rsidR="00674104" w:rsidRDefault="00674104">
      <w:pPr>
        <w:jc w:val="center"/>
        <w:rPr>
          <w:rFonts w:ascii="Arial" w:hAnsi="Arial" w:cs="Arial"/>
          <w:b/>
          <w:sz w:val="20"/>
          <w:szCs w:val="20"/>
        </w:rPr>
      </w:pPr>
    </w:p>
    <w:p w14:paraId="44A12025" w14:textId="77777777" w:rsidR="00674104" w:rsidRDefault="00000000">
      <w:pPr>
        <w:jc w:val="both"/>
        <w:rPr>
          <w:rFonts w:ascii="Arial" w:hAnsi="Arial" w:cs="Arial"/>
          <w:sz w:val="20"/>
          <w:szCs w:val="20"/>
        </w:rPr>
      </w:pPr>
      <w:r>
        <w:rPr>
          <w:rFonts w:ascii="Arial" w:hAnsi="Arial" w:cs="Arial"/>
          <w:sz w:val="20"/>
          <w:szCs w:val="20"/>
        </w:rPr>
        <w:t>Este Boletim de periodicidade trimestral contém informações sintéticas das teses fixadas em Direito Ambiental proferidas pelo Supremo Tribunal Federal - STF, Superior Tribunal de Justiça - STJ, Tribunal de Contas da União - TCU e do Tribunal de Contas do Paraná - TCEPR, bem como de outros Tribunais de Contas Estaduais e Municipais sobre temas relacionados ao controle externo evidenciando sobretudo o vetor axiológico da sustentabilidade.</w:t>
      </w:r>
    </w:p>
    <w:p w14:paraId="745B04C1" w14:textId="77777777" w:rsidR="00674104" w:rsidRDefault="00000000">
      <w:pPr>
        <w:jc w:val="both"/>
        <w:rPr>
          <w:rFonts w:ascii="Arial" w:hAnsi="Arial" w:cs="Arial"/>
          <w:sz w:val="20"/>
          <w:szCs w:val="20"/>
        </w:rPr>
      </w:pPr>
      <w:r>
        <w:rPr>
          <w:rFonts w:ascii="Arial" w:hAnsi="Arial" w:cs="Arial"/>
          <w:sz w:val="20"/>
          <w:szCs w:val="20"/>
        </w:rPr>
        <w:t xml:space="preserve"> </w:t>
      </w:r>
    </w:p>
    <w:p w14:paraId="62D24DBB" w14:textId="77777777" w:rsidR="00674104" w:rsidRDefault="00000000">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38FCF53F" w14:textId="77777777" w:rsidR="00674104" w:rsidRDefault="00674104">
      <w:pPr>
        <w:jc w:val="both"/>
        <w:rPr>
          <w:rFonts w:ascii="Arial" w:hAnsi="Arial" w:cs="Arial"/>
          <w:sz w:val="20"/>
          <w:szCs w:val="20"/>
        </w:rPr>
      </w:pPr>
    </w:p>
    <w:p w14:paraId="5B594475" w14:textId="77777777" w:rsidR="00674104" w:rsidRDefault="00000000">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0AA41CCA" w14:textId="77777777" w:rsidR="00674104" w:rsidRDefault="00674104">
      <w:pPr>
        <w:jc w:val="both"/>
        <w:rPr>
          <w:rFonts w:ascii="Arial" w:hAnsi="Arial" w:cs="Arial"/>
          <w:sz w:val="20"/>
          <w:szCs w:val="20"/>
        </w:rPr>
      </w:pPr>
    </w:p>
    <w:p w14:paraId="54F13485" w14:textId="77777777" w:rsidR="00674104" w:rsidRDefault="00000000">
      <w:pPr>
        <w:jc w:val="both"/>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60800" behindDoc="0" locked="0" layoutInCell="1" allowOverlap="1" wp14:anchorId="59835C21" wp14:editId="1F723F06">
                <wp:simplePos x="0" y="0"/>
                <wp:positionH relativeFrom="margin">
                  <wp:posOffset>-635</wp:posOffset>
                </wp:positionH>
                <wp:positionV relativeFrom="paragraph">
                  <wp:posOffset>29845</wp:posOffset>
                </wp:positionV>
                <wp:extent cx="5397500" cy="0"/>
                <wp:effectExtent l="0" t="0" r="12700" b="57150"/>
                <wp:wrapNone/>
                <wp:docPr id="4" name="Conector reto 1"/>
                <wp:cNvGraphicFramePr/>
                <a:graphic xmlns:a="http://schemas.openxmlformats.org/drawingml/2006/main">
                  <a:graphicData uri="http://schemas.microsoft.com/office/word/2010/wordprocessingShape">
                    <wps:wsp>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3" o:spid="_x0000_s3" o:spt="20" style="position:absolute;mso-wrap-distance-left:9.0pt;mso-wrap-distance-top:0.0pt;mso-wrap-distance-right:9.0pt;mso-wrap-distance-bottom:0.0pt;z-index:251660800;o:allowoverlap:true;o:allowincell:true;mso-position-horizontal-relative:margin;margin-left:-0.0pt;mso-position-horizontal:absolute;mso-position-vertical-relative:text;margin-top:2.4pt;mso-position-vertical:absolute;width:425.0pt;height:0.0pt;" coordsize="100000,100000" path="" filled="f" strokecolor="#000000" strokeweight="2.00pt">
                <v:path textboxrect="0,0,0,0"/>
              </v:shape>
            </w:pict>
          </mc:Fallback>
        </mc:AlternateContent>
      </w:r>
    </w:p>
    <w:p w14:paraId="4478A291" w14:textId="77777777" w:rsidR="00674104" w:rsidRDefault="0000000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SUMÁRIO</w:t>
      </w:r>
    </w:p>
    <w:p w14:paraId="63015CC1" w14:textId="77777777" w:rsidR="00674104" w:rsidRDefault="00674104">
      <w:pPr>
        <w:spacing w:line="276" w:lineRule="auto"/>
        <w:jc w:val="both"/>
        <w:rPr>
          <w:rFonts w:ascii="Arial" w:eastAsia="Arial" w:hAnsi="Arial" w:cs="Arial"/>
          <w:sz w:val="20"/>
          <w:szCs w:val="20"/>
        </w:rPr>
      </w:pPr>
    </w:p>
    <w:p w14:paraId="46504E46" w14:textId="77777777" w:rsidR="00674104" w:rsidRDefault="00000000">
      <w:pPr>
        <w:spacing w:line="276" w:lineRule="auto"/>
        <w:jc w:val="both"/>
        <w:rPr>
          <w:rFonts w:ascii="Arial" w:eastAsia="Arial" w:hAnsi="Arial" w:cs="Arial"/>
        </w:rPr>
      </w:pPr>
      <w:r>
        <w:rPr>
          <w:rFonts w:ascii="Arial" w:eastAsia="Arial" w:hAnsi="Arial" w:cs="Arial"/>
          <w:sz w:val="20"/>
          <w:szCs w:val="20"/>
        </w:rPr>
        <w:t xml:space="preserve">1. </w:t>
      </w:r>
      <w:r>
        <w:rPr>
          <w:rFonts w:ascii="Arial" w:eastAsia="Arial" w:hAnsi="Arial" w:cs="Arial"/>
          <w:sz w:val="20"/>
        </w:rPr>
        <w:t xml:space="preserve">Representação da Lei nº 8.666/93. Exigência de materiais biodegradáveis e especificações não usuais. Possibilidade de adoção de práticas sustentáveis nas contratações públicas. Possibilidade de previsão de características de materiais de qualidade e robustez. Julgamento pela improcedência. </w:t>
      </w:r>
    </w:p>
    <w:p w14:paraId="11D7BE6E" w14:textId="77777777" w:rsidR="00674104" w:rsidRDefault="00674104">
      <w:pPr>
        <w:spacing w:line="276" w:lineRule="auto"/>
        <w:jc w:val="both"/>
        <w:rPr>
          <w:rFonts w:ascii="Arial" w:eastAsia="Arial" w:hAnsi="Arial" w:cs="Arial"/>
          <w:sz w:val="20"/>
          <w:szCs w:val="20"/>
        </w:rPr>
      </w:pPr>
    </w:p>
    <w:p w14:paraId="1CB14420" w14:textId="77777777" w:rsidR="00674104" w:rsidRDefault="00000000">
      <w:pPr>
        <w:spacing w:line="276" w:lineRule="auto"/>
        <w:jc w:val="both"/>
        <w:rPr>
          <w:rFonts w:ascii="Arial" w:eastAsia="Arial" w:hAnsi="Arial" w:cs="Arial"/>
          <w:sz w:val="20"/>
        </w:rPr>
      </w:pPr>
      <w:r>
        <w:rPr>
          <w:rStyle w:val="Hyperlink"/>
          <w:rFonts w:ascii="Arial" w:eastAsia="Arial" w:hAnsi="Arial" w:cs="Arial"/>
          <w:color w:val="000000"/>
          <w:sz w:val="20"/>
          <w:szCs w:val="20"/>
          <w:u w:val="none"/>
        </w:rPr>
        <w:t xml:space="preserve">2. </w:t>
      </w:r>
      <w:r>
        <w:rPr>
          <w:rFonts w:ascii="Arial" w:eastAsia="Arial" w:hAnsi="Arial" w:cs="Arial"/>
          <w:sz w:val="20"/>
        </w:rPr>
        <w:t>Fiscalização realizada pela 3a Inspetoria de Controle Externo acerca da gestão da atividade de exploração de Florestas Plantadas pelo Instituto Água e Terra (IAT). Homologação das recomendações.</w:t>
      </w:r>
    </w:p>
    <w:p w14:paraId="578F4203" w14:textId="77777777" w:rsidR="00674104" w:rsidRDefault="00674104">
      <w:pPr>
        <w:spacing w:line="276" w:lineRule="auto"/>
        <w:jc w:val="both"/>
        <w:rPr>
          <w:rFonts w:ascii="Arial" w:eastAsia="Arial" w:hAnsi="Arial" w:cs="Arial"/>
          <w:sz w:val="20"/>
        </w:rPr>
      </w:pPr>
    </w:p>
    <w:p w14:paraId="2DE44462" w14:textId="77777777" w:rsidR="00674104" w:rsidRDefault="00000000">
      <w:pPr>
        <w:spacing w:line="276" w:lineRule="auto"/>
        <w:jc w:val="both"/>
        <w:rPr>
          <w:rFonts w:ascii="Arial" w:eastAsia="Arial" w:hAnsi="Arial" w:cs="Arial"/>
          <w:sz w:val="20"/>
        </w:rPr>
      </w:pPr>
      <w:r>
        <w:rPr>
          <w:rFonts w:ascii="Arial" w:eastAsia="Arial" w:hAnsi="Arial" w:cs="Arial"/>
          <w:sz w:val="20"/>
        </w:rPr>
        <w:t>3. Auditoria operacional. Infrações ambientais. Processo administrativo. Determinações. Recomendações. Decisão plenária. Planos de ação. Apresentação e aprovação. Monitoramento.</w:t>
      </w:r>
    </w:p>
    <w:p w14:paraId="29202E88" w14:textId="77777777" w:rsidR="00674104" w:rsidRDefault="00674104">
      <w:pPr>
        <w:spacing w:line="276" w:lineRule="auto"/>
        <w:jc w:val="both"/>
        <w:rPr>
          <w:rFonts w:ascii="Arial" w:eastAsia="Arial" w:hAnsi="Arial" w:cs="Arial"/>
          <w:sz w:val="20"/>
        </w:rPr>
      </w:pPr>
    </w:p>
    <w:p w14:paraId="52A5E375" w14:textId="77777777" w:rsidR="00674104" w:rsidRDefault="00000000">
      <w:pPr>
        <w:spacing w:line="276" w:lineRule="auto"/>
        <w:jc w:val="both"/>
        <w:rPr>
          <w:rFonts w:ascii="Arial" w:eastAsia="Arial" w:hAnsi="Arial" w:cs="Arial"/>
        </w:rPr>
      </w:pPr>
      <w:r>
        <w:rPr>
          <w:rFonts w:ascii="Arial" w:eastAsia="Arial" w:hAnsi="Arial" w:cs="Arial"/>
          <w:sz w:val="20"/>
        </w:rPr>
        <w:t>4. Representação. Pregão eletrônico. Registro de preços. Coleta de resíduos sólidos. Irregularidade não comprovada. Improcedência.</w:t>
      </w:r>
    </w:p>
    <w:p w14:paraId="4113E75B" w14:textId="77777777" w:rsidR="00674104" w:rsidRDefault="00674104">
      <w:pPr>
        <w:spacing w:line="276" w:lineRule="auto"/>
        <w:jc w:val="both"/>
        <w:rPr>
          <w:rFonts w:ascii="Arial" w:eastAsia="Arial" w:hAnsi="Arial" w:cs="Arial"/>
          <w:sz w:val="20"/>
        </w:rPr>
      </w:pPr>
    </w:p>
    <w:p w14:paraId="339F5E75" w14:textId="6BAC5411" w:rsidR="00674104" w:rsidRDefault="00000000">
      <w:pPr>
        <w:spacing w:line="276" w:lineRule="auto"/>
        <w:jc w:val="both"/>
        <w:rPr>
          <w:rFonts w:ascii="Arial" w:eastAsia="Arial" w:hAnsi="Arial" w:cs="Arial"/>
          <w:color w:val="000000"/>
        </w:rPr>
      </w:pPr>
      <w:r>
        <w:rPr>
          <w:rStyle w:val="Hyperlink"/>
          <w:rFonts w:ascii="Arial" w:eastAsia="Arial" w:hAnsi="Arial" w:cs="Arial"/>
          <w:color w:val="000000"/>
          <w:sz w:val="20"/>
          <w:szCs w:val="20"/>
          <w:u w:val="none"/>
        </w:rPr>
        <w:t xml:space="preserve">5. Ementa: ação direta de inconstitucionalidade. </w:t>
      </w:r>
      <w:proofErr w:type="spellStart"/>
      <w:r>
        <w:rPr>
          <w:rStyle w:val="Hyperlink"/>
          <w:rFonts w:ascii="Arial" w:eastAsia="Arial" w:hAnsi="Arial" w:cs="Arial"/>
          <w:color w:val="000000"/>
          <w:sz w:val="20"/>
          <w:szCs w:val="20"/>
          <w:u w:val="none"/>
        </w:rPr>
        <w:t>Arts</w:t>
      </w:r>
      <w:proofErr w:type="spellEnd"/>
      <w:r>
        <w:rPr>
          <w:rStyle w:val="Hyperlink"/>
          <w:rFonts w:ascii="Arial" w:eastAsia="Arial" w:hAnsi="Arial" w:cs="Arial"/>
          <w:color w:val="000000"/>
          <w:sz w:val="20"/>
          <w:szCs w:val="20"/>
          <w:u w:val="none"/>
        </w:rPr>
        <w:t xml:space="preserve">. 6º e 11-a da lei n. 11.598/2007, alterados pelo art. 2º da medida provisória n. 1.040/2021. </w:t>
      </w:r>
      <w:r w:rsidR="006A03EE">
        <w:rPr>
          <w:rStyle w:val="Hyperlink"/>
          <w:rFonts w:ascii="Arial" w:eastAsia="Arial" w:hAnsi="Arial" w:cs="Arial"/>
          <w:color w:val="000000"/>
          <w:sz w:val="20"/>
          <w:szCs w:val="20"/>
          <w:u w:val="none"/>
        </w:rPr>
        <w:t>Conversão</w:t>
      </w:r>
      <w:r>
        <w:rPr>
          <w:rStyle w:val="Hyperlink"/>
          <w:rFonts w:ascii="Arial" w:eastAsia="Arial" w:hAnsi="Arial" w:cs="Arial"/>
          <w:color w:val="000000"/>
          <w:sz w:val="20"/>
          <w:szCs w:val="20"/>
          <w:u w:val="none"/>
        </w:rPr>
        <w:t xml:space="preserve"> da medida </w:t>
      </w:r>
      <w:r w:rsidR="006A03EE">
        <w:rPr>
          <w:rStyle w:val="Hyperlink"/>
          <w:rFonts w:ascii="Arial" w:eastAsia="Arial" w:hAnsi="Arial" w:cs="Arial"/>
          <w:color w:val="000000"/>
          <w:sz w:val="20"/>
          <w:szCs w:val="20"/>
          <w:u w:val="none"/>
        </w:rPr>
        <w:t>provisória</w:t>
      </w:r>
      <w:r>
        <w:rPr>
          <w:rStyle w:val="Hyperlink"/>
          <w:rFonts w:ascii="Arial" w:eastAsia="Arial" w:hAnsi="Arial" w:cs="Arial"/>
          <w:color w:val="000000"/>
          <w:sz w:val="20"/>
          <w:szCs w:val="20"/>
          <w:u w:val="none"/>
        </w:rPr>
        <w:t xml:space="preserve"> n. 1.040/2021 na lei n.14.195/2021. Inexistência de alteração substancial das normas impugnadas. Ausência de prejuízo pelo não aditamento tempestivo da petição inicial. Conversão da apreciação da medida cautelar em julgamento de mérito. Procedimento automático e simplificado de emissão de alvará de funcionamento e licenças ambientais para atividade de risco médio no sistema de integração </w:t>
      </w:r>
      <w:proofErr w:type="spellStart"/>
      <w:r>
        <w:rPr>
          <w:rStyle w:val="Hyperlink"/>
          <w:rFonts w:ascii="Arial" w:eastAsia="Arial" w:hAnsi="Arial" w:cs="Arial"/>
          <w:color w:val="000000"/>
          <w:sz w:val="20"/>
          <w:szCs w:val="20"/>
          <w:u w:val="none"/>
        </w:rPr>
        <w:t>Redesim</w:t>
      </w:r>
      <w:proofErr w:type="spellEnd"/>
      <w:r>
        <w:rPr>
          <w:rStyle w:val="Hyperlink"/>
          <w:rFonts w:ascii="Arial" w:eastAsia="Arial" w:hAnsi="Arial" w:cs="Arial"/>
          <w:color w:val="000000"/>
          <w:sz w:val="20"/>
          <w:szCs w:val="20"/>
          <w:u w:val="none"/>
        </w:rPr>
        <w:t xml:space="preserve">. Vedação de coleta de dados adicionais pelo órgão responsável à realizada no sistema </w:t>
      </w:r>
      <w:proofErr w:type="spellStart"/>
      <w:r>
        <w:rPr>
          <w:rStyle w:val="Hyperlink"/>
          <w:rFonts w:ascii="Arial" w:eastAsia="Arial" w:hAnsi="Arial" w:cs="Arial"/>
          <w:color w:val="000000"/>
          <w:sz w:val="20"/>
          <w:szCs w:val="20"/>
          <w:u w:val="none"/>
        </w:rPr>
        <w:t>Redesim</w:t>
      </w:r>
      <w:proofErr w:type="spellEnd"/>
      <w:r>
        <w:rPr>
          <w:rStyle w:val="Hyperlink"/>
          <w:rFonts w:ascii="Arial" w:eastAsia="Arial" w:hAnsi="Arial" w:cs="Arial"/>
          <w:color w:val="000000"/>
          <w:sz w:val="20"/>
          <w:szCs w:val="20"/>
          <w:u w:val="none"/>
        </w:rPr>
        <w:t xml:space="preserve"> para a emissão das licenças e alvarás para funcionamento de empreendimentos ambientais. Desobediência ao princípio da prevenção e ao dever de proteção do meio ambiente ecologicamente equilibrado (art. 225 da constituição da república). Ação direta julgada parcialmente procedente para dar interpretação conforme à constituição. </w:t>
      </w:r>
    </w:p>
    <w:p w14:paraId="03F78487" w14:textId="77777777" w:rsidR="00674104" w:rsidRDefault="00674104">
      <w:pPr>
        <w:spacing w:line="276" w:lineRule="auto"/>
        <w:jc w:val="both"/>
        <w:rPr>
          <w:rFonts w:ascii="Arial" w:eastAsia="Arial" w:hAnsi="Arial" w:cs="Arial"/>
          <w:sz w:val="20"/>
        </w:rPr>
      </w:pPr>
    </w:p>
    <w:p w14:paraId="49A3D03C" w14:textId="77777777" w:rsidR="00674104" w:rsidRDefault="00674104">
      <w:pPr>
        <w:spacing w:line="276" w:lineRule="auto"/>
        <w:jc w:val="both"/>
        <w:rPr>
          <w:rFonts w:ascii="Arial" w:eastAsia="Arial" w:hAnsi="Arial" w:cs="Arial"/>
          <w:sz w:val="20"/>
        </w:rPr>
      </w:pPr>
    </w:p>
    <w:p w14:paraId="2C78798C" w14:textId="77777777" w:rsidR="00674104" w:rsidRDefault="00000000">
      <w:pPr>
        <w:pStyle w:val="Default"/>
        <w:spacing w:line="276" w:lineRule="auto"/>
        <w:jc w:val="both"/>
        <w:rPr>
          <w:rFonts w:eastAsia="Arial"/>
        </w:rPr>
      </w:pPr>
      <w:r>
        <w:rPr>
          <w:rFonts w:eastAsia="Arial"/>
          <w:sz w:val="20"/>
          <w:szCs w:val="20"/>
        </w:rPr>
        <w:t>6. Processual Civil. Administrativo. Agravo em recurso especial. Ambiental. Ação civil pública. Ilegitimidade passiva. Município. Obrigações de fazer. Omissão fiscalizatória. Canil particular clandestino. Maus-tratos aos animais e contaminação do solo. Ciência por mais de uma década. Inação. Dimensão ecológica da dignidade humana. Competência comum. Federalismo cooperativo ambiental. Separação de poderes. Argumento constitucional. Recurso especial. Descabimento. Ausência de prequestionamento. Multa cominatória. Dispositivo legal não indicado. Inépcia recursal.</w:t>
      </w:r>
    </w:p>
    <w:p w14:paraId="24DBAAFB" w14:textId="77777777" w:rsidR="00674104" w:rsidRDefault="00674104">
      <w:pPr>
        <w:spacing w:line="276" w:lineRule="auto"/>
        <w:jc w:val="both"/>
        <w:rPr>
          <w:rFonts w:ascii="Arial" w:eastAsia="Arial" w:hAnsi="Arial" w:cs="Arial"/>
          <w:bCs/>
          <w:sz w:val="20"/>
          <w:szCs w:val="20"/>
        </w:rPr>
      </w:pPr>
    </w:p>
    <w:p w14:paraId="1A3B1EBA" w14:textId="77777777" w:rsidR="00674104" w:rsidRDefault="0000000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DO ESTADO DO PARANÁ </w:t>
      </w:r>
    </w:p>
    <w:p w14:paraId="69167A3E" w14:textId="77777777" w:rsidR="00674104" w:rsidRDefault="00674104">
      <w:pPr>
        <w:spacing w:line="276" w:lineRule="auto"/>
        <w:jc w:val="both"/>
        <w:rPr>
          <w:rFonts w:ascii="Arial" w:eastAsia="Arial" w:hAnsi="Arial" w:cs="Arial"/>
          <w:sz w:val="20"/>
          <w:szCs w:val="20"/>
        </w:rPr>
      </w:pPr>
    </w:p>
    <w:p w14:paraId="1E5C90F7" w14:textId="77777777" w:rsidR="00674104" w:rsidRDefault="00000000">
      <w:pPr>
        <w:spacing w:line="276" w:lineRule="auto"/>
        <w:jc w:val="both"/>
        <w:rPr>
          <w:rFonts w:ascii="Arial" w:eastAsia="Arial" w:hAnsi="Arial" w:cs="Arial"/>
          <w:b/>
          <w:sz w:val="20"/>
          <w:szCs w:val="20"/>
        </w:rPr>
      </w:pPr>
      <w:r>
        <w:rPr>
          <w:rFonts w:ascii="Arial" w:eastAsia="Arial" w:hAnsi="Arial" w:cs="Arial"/>
          <w:b/>
          <w:sz w:val="20"/>
          <w:szCs w:val="20"/>
        </w:rPr>
        <w:t xml:space="preserve">1. </w:t>
      </w:r>
      <w:r>
        <w:rPr>
          <w:rFonts w:ascii="Arial" w:eastAsia="Arial" w:hAnsi="Arial" w:cs="Arial"/>
          <w:b/>
          <w:sz w:val="20"/>
        </w:rPr>
        <w:t xml:space="preserve">Representação da Lei nº 8.666/93. Exigência de materiais biodegradáveis e especificações não usuais. Possibilidade de adoção de práticas sustentáveis nas contratações públicas. Possibilidade de previsão de características de materiais de qualidade e robustez. Julgamento pela improcedência. </w:t>
      </w:r>
    </w:p>
    <w:p w14:paraId="6032118B" w14:textId="77777777" w:rsidR="00674104" w:rsidRDefault="00674104">
      <w:pPr>
        <w:spacing w:line="276" w:lineRule="auto"/>
        <w:jc w:val="both"/>
        <w:rPr>
          <w:rFonts w:ascii="Arial" w:eastAsia="Arial" w:hAnsi="Arial" w:cs="Arial"/>
          <w:sz w:val="20"/>
          <w:szCs w:val="20"/>
        </w:rPr>
      </w:pPr>
    </w:p>
    <w:p w14:paraId="7BD7FC13" w14:textId="77777777" w:rsidR="00674104" w:rsidRDefault="00000000">
      <w:pPr>
        <w:spacing w:line="276" w:lineRule="auto"/>
        <w:jc w:val="both"/>
        <w:rPr>
          <w:rFonts w:ascii="Arial" w:eastAsia="Arial" w:hAnsi="Arial" w:cs="Arial"/>
          <w:sz w:val="20"/>
          <w:szCs w:val="20"/>
        </w:rPr>
      </w:pPr>
      <w:r>
        <w:rPr>
          <w:rFonts w:ascii="Arial" w:eastAsia="Arial" w:hAnsi="Arial" w:cs="Arial"/>
          <w:sz w:val="20"/>
        </w:rPr>
        <w:t>A opção pela aquisição de materiais biodegradáveis, que visam à sustentabilidade do meio ambiente, atende às disposições constantes na Constituição Federal e na Lei nº 8.666/93. Diversos itens dos materiais escolares licitados exigiam a sua confecção em poliestireno reciclado ou com material derivado de PET reciclado, com demonstração através de laudos, inclusive do INMETRO, estando tais exigências de acordo com o sistema normativo pátrio, que permite e incentiva a adoção de aquisições públicas que visem preservar o meio ambiente e propiciar sustentabilidade em sua utilização.</w:t>
      </w:r>
    </w:p>
    <w:p w14:paraId="27EE6B67" w14:textId="77777777" w:rsidR="00674104" w:rsidRDefault="00674104">
      <w:pPr>
        <w:spacing w:line="276" w:lineRule="auto"/>
        <w:jc w:val="both"/>
        <w:rPr>
          <w:rFonts w:ascii="Arial" w:eastAsia="Arial" w:hAnsi="Arial" w:cs="Arial"/>
          <w:sz w:val="20"/>
          <w:szCs w:val="20"/>
        </w:rPr>
      </w:pPr>
    </w:p>
    <w:p w14:paraId="009B03B2" w14:textId="77777777" w:rsidR="00674104"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Processo nº </w:t>
      </w:r>
      <w:r>
        <w:rPr>
          <w:rFonts w:ascii="Arial" w:eastAsia="Arial" w:hAnsi="Arial" w:cs="Arial"/>
          <w:sz w:val="20"/>
        </w:rPr>
        <w:t xml:space="preserve">698740/21. </w:t>
      </w:r>
      <w:r>
        <w:rPr>
          <w:rFonts w:ascii="Arial" w:eastAsia="Arial" w:hAnsi="Arial" w:cs="Arial"/>
          <w:sz w:val="20"/>
          <w:szCs w:val="20"/>
        </w:rPr>
        <w:t xml:space="preserve"> Acórdão nº </w:t>
      </w:r>
      <w:r>
        <w:rPr>
          <w:rFonts w:ascii="Arial" w:eastAsia="Arial" w:hAnsi="Arial" w:cs="Arial"/>
          <w:sz w:val="20"/>
        </w:rPr>
        <w:t>552/22 - Tribunal Pleno</w:t>
      </w:r>
      <w:r>
        <w:rPr>
          <w:rFonts w:ascii="Arial" w:eastAsia="Arial" w:hAnsi="Arial" w:cs="Arial"/>
          <w:sz w:val="20"/>
          <w:szCs w:val="20"/>
        </w:rPr>
        <w:t xml:space="preserve">. Relator </w:t>
      </w:r>
      <w:r>
        <w:rPr>
          <w:rFonts w:ascii="Arial" w:eastAsia="Arial" w:hAnsi="Arial" w:cs="Arial"/>
          <w:sz w:val="20"/>
        </w:rPr>
        <w:t>CONSELHEIRO FERNANDO AUGUSTO MELLO GUIMARÃES</w:t>
      </w:r>
      <w:r>
        <w:rPr>
          <w:rFonts w:ascii="Arial" w:eastAsia="Arial" w:hAnsi="Arial" w:cs="Arial"/>
          <w:sz w:val="20"/>
          <w:szCs w:val="20"/>
        </w:rPr>
        <w:t>.</w:t>
      </w:r>
    </w:p>
    <w:p w14:paraId="55E97CC2" w14:textId="77777777" w:rsidR="00674104" w:rsidRDefault="00674104">
      <w:pPr>
        <w:spacing w:line="276" w:lineRule="auto"/>
        <w:jc w:val="both"/>
        <w:rPr>
          <w:rFonts w:ascii="Arial" w:eastAsia="Arial" w:hAnsi="Arial" w:cs="Arial"/>
          <w:sz w:val="20"/>
          <w:szCs w:val="20"/>
        </w:rPr>
      </w:pPr>
    </w:p>
    <w:p w14:paraId="7964080C" w14:textId="77777777" w:rsidR="00674104" w:rsidRDefault="00000000">
      <w:pPr>
        <w:spacing w:line="276" w:lineRule="auto"/>
        <w:jc w:val="both"/>
        <w:rPr>
          <w:rFonts w:ascii="Arial" w:eastAsia="Arial" w:hAnsi="Arial" w:cs="Arial"/>
          <w:b/>
          <w:sz w:val="20"/>
          <w:szCs w:val="20"/>
        </w:rPr>
      </w:pPr>
      <w:r>
        <w:rPr>
          <w:rStyle w:val="Hyperlink"/>
          <w:rFonts w:ascii="Arial" w:eastAsia="Arial" w:hAnsi="Arial" w:cs="Arial"/>
          <w:b/>
          <w:color w:val="000000"/>
          <w:sz w:val="20"/>
          <w:szCs w:val="20"/>
          <w:u w:val="none"/>
        </w:rPr>
        <w:t xml:space="preserve">2. </w:t>
      </w:r>
      <w:r>
        <w:rPr>
          <w:rFonts w:ascii="Arial" w:eastAsia="Arial" w:hAnsi="Arial" w:cs="Arial"/>
          <w:b/>
          <w:sz w:val="20"/>
        </w:rPr>
        <w:t>Fiscalização realizada pela 3a Inspetoria de Controle Externo acerca da gestão da atividade de exploração de Florestas Plantadas pelo Instituto Água e Terra (IAT). Homologação das recomendações.</w:t>
      </w:r>
    </w:p>
    <w:p w14:paraId="0D95BD68" w14:textId="77777777" w:rsidR="00674104" w:rsidRDefault="00674104">
      <w:pPr>
        <w:spacing w:line="276" w:lineRule="auto"/>
        <w:jc w:val="both"/>
        <w:rPr>
          <w:rStyle w:val="Hyperlink"/>
          <w:rFonts w:ascii="Arial" w:eastAsia="Arial" w:hAnsi="Arial" w:cs="Arial"/>
          <w:b/>
          <w:color w:val="000000"/>
          <w:sz w:val="20"/>
          <w:szCs w:val="20"/>
          <w:u w:val="none"/>
        </w:rPr>
      </w:pPr>
    </w:p>
    <w:p w14:paraId="448FFACD" w14:textId="77777777" w:rsidR="00674104" w:rsidRDefault="00000000">
      <w:pPr>
        <w:spacing w:line="276" w:lineRule="auto"/>
        <w:jc w:val="both"/>
        <w:rPr>
          <w:rFonts w:ascii="Arial" w:eastAsia="Arial" w:hAnsi="Arial" w:cs="Arial"/>
          <w:sz w:val="20"/>
          <w:szCs w:val="20"/>
        </w:rPr>
      </w:pPr>
      <w:r>
        <w:rPr>
          <w:rFonts w:ascii="Arial" w:eastAsia="Arial" w:hAnsi="Arial" w:cs="Arial"/>
          <w:sz w:val="20"/>
        </w:rPr>
        <w:t xml:space="preserve">1. Diante da ausência de regulamentação da lei que criou o IAT, bem como da não edição de outras normas que devem nortear os procedimentos administrativos, contrariando ao disposto no art. 21 da Lei Estadual n° 20.070/2019, aos princípios da administração pública previstos no art. 37 da Constituição Federal e art. 27 da Constituição Estadual, ainda, as boas práticas de atos administrativos, em razão da falta de priorização das atividades de regulamentação e formalização dos demais atos administrativos necessários à condução das atividades inerentes às florestas plantadas (item 3.1.1 – APA 18743), recomendar que: a) priorize e dê celeridade à elaboração, aprovação e publicação da regulamentação do IAT, uma vez que a Lei estabeleceu o prazo máximo de 90 dias para tal; b) crie normas internas, disciplinando os procedimentos administrativos essenciais à execução de atividades de florestas plantadas. </w:t>
      </w:r>
    </w:p>
    <w:p w14:paraId="629550E7" w14:textId="77777777" w:rsidR="00674104" w:rsidRDefault="00674104">
      <w:pPr>
        <w:spacing w:line="276" w:lineRule="auto"/>
        <w:jc w:val="both"/>
        <w:rPr>
          <w:rFonts w:ascii="Arial" w:eastAsia="Arial" w:hAnsi="Arial" w:cs="Arial"/>
          <w:sz w:val="20"/>
          <w:szCs w:val="20"/>
        </w:rPr>
      </w:pPr>
    </w:p>
    <w:p w14:paraId="154DA43C" w14:textId="77777777" w:rsidR="00674104" w:rsidRDefault="00000000">
      <w:pPr>
        <w:spacing w:line="276" w:lineRule="auto"/>
        <w:jc w:val="both"/>
        <w:rPr>
          <w:rFonts w:ascii="Arial" w:eastAsia="Arial" w:hAnsi="Arial" w:cs="Arial"/>
          <w:sz w:val="20"/>
          <w:szCs w:val="20"/>
        </w:rPr>
      </w:pPr>
      <w:r>
        <w:rPr>
          <w:rFonts w:ascii="Arial" w:eastAsia="Arial" w:hAnsi="Arial" w:cs="Arial"/>
          <w:sz w:val="20"/>
        </w:rPr>
        <w:t xml:space="preserve">2. Diante da não realização de estudo de viabilidade econômica e financeira da atividade de exploração de florestas plantadas, sob a gestão do Instituto Água e Terra – IAT, causado pela </w:t>
      </w:r>
      <w:r>
        <w:rPr>
          <w:rFonts w:ascii="Arial" w:eastAsia="Arial" w:hAnsi="Arial" w:cs="Arial"/>
          <w:sz w:val="20"/>
        </w:rPr>
        <w:lastRenderedPageBreak/>
        <w:t xml:space="preserve">ausência de normas internas ou de decisão da alta direção, ao não disciplinar a adoção de estudos prévios à implantação de atividade econômica (estudo de viabilidade), bem como da não adoção de técnicas de gestão compatíveis com a atividade de exploração de florestas plantadas, madeira e resinagem, em desacordo com o art. 37 da Constituição Federal, o art. 27 da Constituição do Estado do Paraná, e não alinhado com as orientações da publicação EMBRAPA Florestas – Perguntas e Respostas (item 3.2.1 – APA 18737), recomendar que: a) edite e implemente Instrução Normativa contendo critérios para a realização de estudos prévios (estudos de viabilidade) à tomada de decisões nas negociações envolvendo os núcleos/fazendas de exploração de madeira e resina. </w:t>
      </w:r>
    </w:p>
    <w:p w14:paraId="5EA23E01" w14:textId="77777777" w:rsidR="00674104" w:rsidRDefault="00674104">
      <w:pPr>
        <w:spacing w:line="276" w:lineRule="auto"/>
        <w:jc w:val="both"/>
        <w:rPr>
          <w:rFonts w:ascii="Arial" w:eastAsia="Arial" w:hAnsi="Arial" w:cs="Arial"/>
          <w:sz w:val="20"/>
          <w:szCs w:val="20"/>
        </w:rPr>
      </w:pPr>
    </w:p>
    <w:p w14:paraId="11318CA6" w14:textId="77777777" w:rsidR="00674104" w:rsidRDefault="00000000">
      <w:pPr>
        <w:spacing w:line="276" w:lineRule="auto"/>
        <w:jc w:val="both"/>
        <w:rPr>
          <w:rFonts w:ascii="Arial" w:eastAsia="Arial" w:hAnsi="Arial" w:cs="Arial"/>
          <w:sz w:val="20"/>
          <w:szCs w:val="20"/>
        </w:rPr>
      </w:pPr>
      <w:r>
        <w:rPr>
          <w:rFonts w:ascii="Arial" w:eastAsia="Arial" w:hAnsi="Arial" w:cs="Arial"/>
          <w:sz w:val="20"/>
        </w:rPr>
        <w:t>3. Diante da ausência de apuração dos resultados econômicos da atividade de exploração de florestas plantadas, em desacordo com o disposto no art. 85 da Lei Federal nº 4.320/1964, da Norma Brasileira de Contabilidade TSP 26/2019 – Ativo Biológico e Produto Agrícola, que não se coaduna com as publicações orientadores da Embrapa Florestas, causada pela ausência de normas editadas pela entidade disciplinando a gestão financeira e administrativa e da não adoção de técnicas de gestão compatíveis com a atividade de exploração de florestas plantadas(item 3.2.2 – APA 18739), recomendar que: a) seja editada e implementada Instrução Normativa contendo critérios para realização de apuração periódica dos resultados econômicos da atividade de exploração de florestas plantadas, e disponibilização dos demonstrativos, para atender aos princípios de publicidade e transparência, além de subsidiar a tomada de decisões.</w:t>
      </w:r>
    </w:p>
    <w:p w14:paraId="34ED7F71" w14:textId="77777777" w:rsidR="00674104" w:rsidRDefault="00674104">
      <w:pPr>
        <w:spacing w:line="276" w:lineRule="auto"/>
        <w:jc w:val="both"/>
        <w:rPr>
          <w:rFonts w:ascii="Arial" w:eastAsia="Arial" w:hAnsi="Arial" w:cs="Arial"/>
          <w:sz w:val="20"/>
          <w:szCs w:val="20"/>
        </w:rPr>
      </w:pPr>
    </w:p>
    <w:p w14:paraId="163EE24D" w14:textId="77777777" w:rsidR="00674104" w:rsidRDefault="00000000">
      <w:pPr>
        <w:spacing w:line="276" w:lineRule="auto"/>
        <w:jc w:val="both"/>
        <w:rPr>
          <w:rFonts w:ascii="Arial" w:eastAsia="Arial" w:hAnsi="Arial" w:cs="Arial"/>
          <w:sz w:val="20"/>
          <w:szCs w:val="20"/>
        </w:rPr>
      </w:pPr>
      <w:r>
        <w:rPr>
          <w:rFonts w:ascii="Arial" w:eastAsia="Arial" w:hAnsi="Arial" w:cs="Arial"/>
          <w:sz w:val="20"/>
        </w:rPr>
        <w:t xml:space="preserve">4. Diante da ausência da ausência de Plano de Manejo para as áreas/núcleos de terras, em desacordo ao disposto no art. 37 da Constituição Federal e no art. 27 da Constituição Estadual, bem como o contido no Contrato de Concessão Florestal n° 009/2016 e ainda por não se coadunar com as diretrizes contidas na publicação da Embrapa Florestas, em razão do Instituto não possuir normativa que estabeleça critérios pertinentes à gestão das atividades de exploração de florestas plantadas (item 3.2.3 – APA 18742), recomendar que: a) normatize a gestão das florestas plantadas criando regras de controle e elabore Plano de Manejo, observando especificidade de cada área/fazenda/núcleo de terras, abrangendo inclusive os contratos vigentes. </w:t>
      </w:r>
    </w:p>
    <w:p w14:paraId="057C6C0F" w14:textId="77777777" w:rsidR="00674104" w:rsidRDefault="00674104">
      <w:pPr>
        <w:spacing w:line="276" w:lineRule="auto"/>
        <w:jc w:val="both"/>
        <w:rPr>
          <w:rFonts w:ascii="Arial" w:eastAsia="Arial" w:hAnsi="Arial" w:cs="Arial"/>
          <w:sz w:val="20"/>
          <w:szCs w:val="20"/>
        </w:rPr>
      </w:pPr>
    </w:p>
    <w:p w14:paraId="114A24E3" w14:textId="77777777" w:rsidR="00674104" w:rsidRDefault="00000000">
      <w:pPr>
        <w:spacing w:line="276" w:lineRule="auto"/>
        <w:jc w:val="both"/>
        <w:rPr>
          <w:rFonts w:ascii="Arial" w:eastAsia="Arial" w:hAnsi="Arial" w:cs="Arial"/>
          <w:sz w:val="20"/>
          <w:szCs w:val="20"/>
        </w:rPr>
      </w:pPr>
      <w:r>
        <w:rPr>
          <w:rFonts w:ascii="Arial" w:eastAsia="Arial" w:hAnsi="Arial" w:cs="Arial"/>
          <w:sz w:val="20"/>
        </w:rPr>
        <w:t xml:space="preserve">5. Diante da ausência de controle de entrada e saída de pessoas, veículos, matérias primas e equipamentos nos núcleos de terras, em desacordo ao disposto no art. 37 da Constituição Federal e art. 27 da Constituição Estadual, bem como, da Cláusula Décima Quinta estabelecida no Contrato de Concessão Florestal n° 009/2016, em razão de o IAT não possuir normas internas e/ou instruções de serviços acerca do tema (item 3.3.1 – APA 18741), recomendar que: a) institua norma interna e/ou instrução de serviços tratando do controle de entrada e saída de pessoas, veículos, matérias primas e material/equipamento, de forma que seja permitido acesso de pessoas devidamente identificadas e previamente autorizadas, bem como a identificação de todos os veículos, sendo para os próprios com a logomarca do IAT e de terceiros com credencial de autorização; b) crie mecanismos de sinalização, indicando que as áreas/núcleos de terras são de uso restrito, sendo proibido o acesso de pessoas não autorizadas; c) realize o arquivamento de todos os registros de controle de entrada e saída, bem como do respectivo cadastro e das autorizações realizadas por pessoa designada. </w:t>
      </w:r>
    </w:p>
    <w:p w14:paraId="6475DD19" w14:textId="77777777" w:rsidR="00674104" w:rsidRDefault="00674104">
      <w:pPr>
        <w:spacing w:line="276" w:lineRule="auto"/>
        <w:jc w:val="both"/>
        <w:rPr>
          <w:rFonts w:ascii="Arial" w:eastAsia="Arial" w:hAnsi="Arial" w:cs="Arial"/>
          <w:sz w:val="20"/>
          <w:szCs w:val="20"/>
        </w:rPr>
      </w:pPr>
    </w:p>
    <w:p w14:paraId="18AFF09C" w14:textId="77777777" w:rsidR="00674104" w:rsidRDefault="00000000">
      <w:pPr>
        <w:spacing w:line="276" w:lineRule="auto"/>
        <w:jc w:val="both"/>
        <w:rPr>
          <w:rFonts w:ascii="Arial" w:eastAsia="Arial" w:hAnsi="Arial" w:cs="Arial"/>
          <w:sz w:val="20"/>
          <w:szCs w:val="20"/>
        </w:rPr>
      </w:pPr>
      <w:r>
        <w:rPr>
          <w:rFonts w:ascii="Arial" w:eastAsia="Arial" w:hAnsi="Arial" w:cs="Arial"/>
          <w:sz w:val="20"/>
        </w:rPr>
        <w:t xml:space="preserve">6. Diante da insuficiência/inadequação no monitoramento do perímetro/divisa de terra dos núcleos, em desacordo com o disposto no art. 37 da Constituição Federal e art. 27 da Constituição Estadual, em razão de o IAT não dispor de normativas internas, procedimentos, instruções técnicas ou ordens de serviços, bem como, não adotar controles eficazes de monitoramento/vigilâncias dos perímetros/divisas de terras do IAT (item 3.3.2 – APA 18745), recomendar que: a) crie normas internas estabelecendo ações/rotinas, mapeamento de áreas vulneráveis de forma a intensificar a vigilância das divisas/perímetros; b) estabeleça nos instrumentos contratuais responsabilidade e competência concorrente de vigilância dos perímetros/divisas das terras/núcleos, entre o IAT e os contratados. </w:t>
      </w:r>
    </w:p>
    <w:p w14:paraId="30AE530F" w14:textId="77777777" w:rsidR="00674104" w:rsidRDefault="00674104">
      <w:pPr>
        <w:spacing w:line="276" w:lineRule="auto"/>
        <w:jc w:val="both"/>
        <w:rPr>
          <w:rFonts w:ascii="Arial" w:eastAsia="Arial" w:hAnsi="Arial" w:cs="Arial"/>
          <w:sz w:val="20"/>
          <w:szCs w:val="20"/>
        </w:rPr>
      </w:pPr>
    </w:p>
    <w:p w14:paraId="2AB53DBE" w14:textId="77777777" w:rsidR="00674104" w:rsidRDefault="00000000">
      <w:pPr>
        <w:spacing w:line="276" w:lineRule="auto"/>
        <w:jc w:val="both"/>
        <w:rPr>
          <w:rFonts w:ascii="Arial" w:eastAsia="Arial" w:hAnsi="Arial" w:cs="Arial"/>
          <w:sz w:val="20"/>
          <w:szCs w:val="20"/>
        </w:rPr>
      </w:pPr>
      <w:r>
        <w:rPr>
          <w:rFonts w:ascii="Arial" w:eastAsia="Arial" w:hAnsi="Arial" w:cs="Arial"/>
          <w:sz w:val="20"/>
        </w:rPr>
        <w:t>7. Diante da ausência de avaliação/reavaliação de ativos, imóveis (fazendas) e inventário de florestas (plantações de pinus e reservas), em desacordo ao disposto nos artigos 85, 94, 95, 96, 101, 104, 105 e 106 da Lei Federal nº 4.320/1964, bem como o contido no item 3.3.3 – Prazos, do anexo a Portaria nº 548/2015, do Ministério da Fazenda – Secretaria do Tesouro Nacional, causado pela ausência de normas internas disciplinando a gestão e avaliação periódica de ativos e bens núcleos/fazendas e da não adoção de técnicas de gestão compatíveis com a atividade de exploração de florestas plantadas (item 3.3.3 – APA 18740), recomendar que: a) edite e implemente Instrução Normativa contendo critérios e determinando prazos para realização de inventário florestal e avaliação dos ativos, de modo a evidenciá-los adequadamente, para que possa gerar informações necessárias à tomada de decisões, bem como subsidiar adequadamente a formação de preços nos processos licitatórios.</w:t>
      </w:r>
    </w:p>
    <w:p w14:paraId="060E6CF5" w14:textId="77777777" w:rsidR="00674104" w:rsidRDefault="00674104">
      <w:pPr>
        <w:spacing w:line="276" w:lineRule="auto"/>
        <w:jc w:val="both"/>
        <w:rPr>
          <w:rFonts w:ascii="Arial" w:eastAsia="Arial" w:hAnsi="Arial" w:cs="Arial"/>
          <w:sz w:val="20"/>
          <w:szCs w:val="20"/>
        </w:rPr>
      </w:pPr>
    </w:p>
    <w:p w14:paraId="727698B1" w14:textId="77777777" w:rsidR="00674104" w:rsidRDefault="00000000">
      <w:pPr>
        <w:spacing w:line="276" w:lineRule="auto"/>
        <w:jc w:val="both"/>
        <w:rPr>
          <w:rFonts w:ascii="Arial" w:eastAsia="Arial" w:hAnsi="Arial" w:cs="Arial"/>
          <w:sz w:val="20"/>
          <w:szCs w:val="20"/>
        </w:rPr>
      </w:pPr>
      <w:r>
        <w:rPr>
          <w:rFonts w:ascii="Arial" w:eastAsia="Arial" w:hAnsi="Arial" w:cs="Arial"/>
          <w:sz w:val="20"/>
        </w:rPr>
        <w:t xml:space="preserve">8. Diante da fragilidade na formalização e na execução dos contratos, em desacordo ao disposto no art. 37 da Constituição Federal e art. 27 da Constituição Estadual; à Cláusula 13ª do Contrato n° 009/16; ao princípio da vinculação ao instrumento convocatório; ao art. 54, XI, art. 57, § 2°, art. 66 e art. 67 §§ 1° e 2° da Lei Federal n° 8.666/1993, em razão de falhas na elaboração dos procedimentos de licitações e consequentemente nas minutas de contratos, falta de cláusulas elementares e essenciais inerentes aos contratos como a previsão do fiscal do contrato e da não realização de ajuste contratual, quando da extinção de um instituto/entidade e criação da sucessora que passa a ser responsável pelo contrato (item 3.4.1 – APA 18735), recomendar </w:t>
      </w:r>
      <w:proofErr w:type="spellStart"/>
      <w:r>
        <w:rPr>
          <w:rFonts w:ascii="Arial" w:eastAsia="Arial" w:hAnsi="Arial" w:cs="Arial"/>
          <w:sz w:val="20"/>
        </w:rPr>
        <w:t>que:a</w:t>
      </w:r>
      <w:proofErr w:type="spellEnd"/>
      <w:r>
        <w:rPr>
          <w:rFonts w:ascii="Arial" w:eastAsia="Arial" w:hAnsi="Arial" w:cs="Arial"/>
          <w:sz w:val="20"/>
        </w:rPr>
        <w:t xml:space="preserve">) crie uma força tarefa juntamente com a Procuradoria Geral do Estado, designando equipe para proceder revisões e alterações necessárias nos contratos vigentes, bem como reforço na equipe jurídica para novos procedimentos licitatórios e elaboração de contratos que o IAT venha firmar por meio de concessões de ativos florestais à iniciativa privada; b) observe, quando da elaboração dos contratos, itens elementares e indispensáveis, tais como: gestor e fiscal do contrato, cláusulas de prorrogação, vinculação de plano de manejo estabelecido pelo IAT, entre outros, observando a natureza do objeto contratado. </w:t>
      </w:r>
    </w:p>
    <w:p w14:paraId="4ACCA627" w14:textId="77777777" w:rsidR="00674104" w:rsidRDefault="00674104">
      <w:pPr>
        <w:spacing w:line="276" w:lineRule="auto"/>
        <w:jc w:val="both"/>
        <w:rPr>
          <w:rFonts w:ascii="Arial" w:eastAsia="Arial" w:hAnsi="Arial" w:cs="Arial"/>
          <w:sz w:val="20"/>
          <w:szCs w:val="20"/>
        </w:rPr>
      </w:pPr>
    </w:p>
    <w:p w14:paraId="280EF6B8" w14:textId="77777777" w:rsidR="00674104" w:rsidRDefault="00000000">
      <w:pPr>
        <w:spacing w:line="276" w:lineRule="auto"/>
        <w:jc w:val="both"/>
        <w:rPr>
          <w:rFonts w:ascii="Arial" w:eastAsia="Arial" w:hAnsi="Arial" w:cs="Arial"/>
          <w:sz w:val="20"/>
          <w:szCs w:val="20"/>
        </w:rPr>
      </w:pPr>
      <w:r>
        <w:rPr>
          <w:rFonts w:ascii="Arial" w:eastAsia="Arial" w:hAnsi="Arial" w:cs="Arial"/>
          <w:sz w:val="20"/>
        </w:rPr>
        <w:t xml:space="preserve">9. Diante das fragilidades na fiscalização e controle da produção de resina e madeira, em desacordo com o disposto no art. 37 da Constituição Federal e art. 27 da Constituição Estadual, bem como, com o parágrafo único da Cláusula Décima Quinta do Contrato de Concessão Florestal n° 009/2016, em razão do IAT não ter instituído através de instrução normativa e/ou ordem de serviço regras de governança e controle de produção (item 3.4.2 – APA 18746), </w:t>
      </w:r>
      <w:r>
        <w:rPr>
          <w:rFonts w:ascii="Arial" w:eastAsia="Arial" w:hAnsi="Arial" w:cs="Arial"/>
          <w:sz w:val="20"/>
        </w:rPr>
        <w:lastRenderedPageBreak/>
        <w:t xml:space="preserve">recomendar que: a) estabeleça regras de governança para execução das atividades de controle por meio de instrução normativa e/ou ordem de serviço, de forma a contemplar os seguintes procedimentos, quais sejam: plano de trabalho anual por área/núcleo; emissão de romaneios evidenciando os critérios do contrato para toda produção; emissão de documentos fiscal para acompanhamento do transporte; emissão de relatórios com fechamento mensais dos controles de produção de resina e madeira firmados por servidor designado, ainda o arquivamento dos documentos de controle de produção em local adequado; b) crie mecanismos adequados de atualização permanente da dinâmica de utilização das propriedades do IAT, indicando a área total, plantada, a plantar (ociosa), reserva legal e preservação permanente. </w:t>
      </w:r>
    </w:p>
    <w:p w14:paraId="611BAE6F" w14:textId="77777777" w:rsidR="00674104" w:rsidRDefault="00674104">
      <w:pPr>
        <w:spacing w:line="276" w:lineRule="auto"/>
        <w:jc w:val="both"/>
        <w:rPr>
          <w:rFonts w:ascii="Arial" w:eastAsia="Arial" w:hAnsi="Arial" w:cs="Arial"/>
          <w:sz w:val="20"/>
          <w:szCs w:val="20"/>
        </w:rPr>
      </w:pPr>
    </w:p>
    <w:p w14:paraId="7DFFBE00" w14:textId="77777777" w:rsidR="00674104" w:rsidRDefault="00000000">
      <w:pPr>
        <w:spacing w:line="276" w:lineRule="auto"/>
        <w:jc w:val="both"/>
        <w:rPr>
          <w:rFonts w:ascii="Arial" w:eastAsia="Arial" w:hAnsi="Arial" w:cs="Arial"/>
          <w:sz w:val="20"/>
          <w:szCs w:val="20"/>
        </w:rPr>
      </w:pPr>
      <w:r>
        <w:rPr>
          <w:rFonts w:ascii="Arial" w:eastAsia="Arial" w:hAnsi="Arial" w:cs="Arial"/>
          <w:sz w:val="20"/>
        </w:rPr>
        <w:t>10. Diante da ausência de segregação nas funções administrativas, contábeis e financeiras, na gestão dos contratos de exploração de florestas, contrariando ao disposto nos procedimentos de controle previstos nas Diretrizes para as Normas de Controle Interno do Setor Público – INTOSAI, tendo em vista que atualmente o Departamento de Contabilidade é responsável pela verificação/apuração das quantidades produzidas e cálculo dos valores de cada contrato, além de proceder os registros contábeis e financeiros (item 3.4.3 – APA 18744), recomendar que: a) edite e implemente, Instrução Normativa, contendo critérios e determinando prazos para que seja observada o princípio de segregação de funções, disciplinando as competências de cada unidade, de forma evitar sobreposição de atribuições, para assegurar a realização de revisões e avaliações efetivas; b) designe formalmente os responsáveis pela verificação/apuração das quantidades produzidas e cálculo dos valores de cada contrato de exploração de madeira, resina e outros. Homologadas as recomendações acima explicitadas, deverá ser emitida determinação ao Instituto Água e Terra (IAT) e a Secretaria do Desenvolvimento Sustentável e do Turismo (SEDEST) para que, em um prazo de 30 (trinta) dias, elabore e apresente nestes autos, Plano de Ação contendo as medidas a serem adotadas, os responsáveis e os prazos para execução, com vistas à sua implementação.</w:t>
      </w:r>
    </w:p>
    <w:p w14:paraId="5728F27F" w14:textId="77777777" w:rsidR="00674104" w:rsidRDefault="00674104">
      <w:pPr>
        <w:spacing w:line="276" w:lineRule="auto"/>
        <w:jc w:val="both"/>
        <w:rPr>
          <w:rFonts w:ascii="Arial" w:eastAsia="Arial" w:hAnsi="Arial" w:cs="Arial"/>
          <w:sz w:val="20"/>
          <w:szCs w:val="20"/>
        </w:rPr>
      </w:pPr>
    </w:p>
    <w:p w14:paraId="58EBCC93" w14:textId="77777777" w:rsidR="00674104" w:rsidRDefault="00000000">
      <w:pPr>
        <w:spacing w:line="276" w:lineRule="auto"/>
        <w:jc w:val="both"/>
        <w:rPr>
          <w:rFonts w:ascii="Arial" w:eastAsia="Arial" w:hAnsi="Arial" w:cs="Arial"/>
          <w:sz w:val="20"/>
          <w:szCs w:val="20"/>
        </w:rPr>
      </w:pPr>
      <w:r>
        <w:rPr>
          <w:rFonts w:ascii="Arial" w:eastAsia="Arial" w:hAnsi="Arial" w:cs="Arial"/>
          <w:sz w:val="20"/>
        </w:rPr>
        <w:t>Processo nº 761214/</w:t>
      </w:r>
      <w:proofErr w:type="gramStart"/>
      <w:r>
        <w:rPr>
          <w:rFonts w:ascii="Arial" w:eastAsia="Arial" w:hAnsi="Arial" w:cs="Arial"/>
          <w:sz w:val="20"/>
        </w:rPr>
        <w:t>21  –</w:t>
      </w:r>
      <w:proofErr w:type="gramEnd"/>
      <w:r>
        <w:rPr>
          <w:rFonts w:ascii="Arial" w:eastAsia="Arial" w:hAnsi="Arial" w:cs="Arial"/>
          <w:sz w:val="20"/>
        </w:rPr>
        <w:t xml:space="preserve"> Acórdão 146/22 – Tribunal Pleno. Relator CONSELHEIRO FERNANDO AUGUSTO MELLO GUIMARÃES.</w:t>
      </w:r>
    </w:p>
    <w:p w14:paraId="69140675" w14:textId="77777777" w:rsidR="00674104" w:rsidRDefault="00674104">
      <w:pPr>
        <w:spacing w:line="276" w:lineRule="auto"/>
        <w:jc w:val="both"/>
        <w:rPr>
          <w:rStyle w:val="Hyperlink"/>
          <w:rFonts w:ascii="Arial" w:eastAsia="Arial" w:hAnsi="Arial" w:cs="Arial"/>
          <w:b/>
          <w:color w:val="000000"/>
          <w:sz w:val="20"/>
          <w:szCs w:val="20"/>
          <w:u w:val="none"/>
        </w:rPr>
      </w:pPr>
    </w:p>
    <w:p w14:paraId="4048954A" w14:textId="77777777" w:rsidR="00674104" w:rsidRDefault="0000000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TRIBUNAL DE CONTAS DO ESTADO DE SANTA CATARINA</w:t>
      </w:r>
    </w:p>
    <w:p w14:paraId="3B94091B" w14:textId="77777777" w:rsidR="00674104" w:rsidRDefault="00000000">
      <w:pPr>
        <w:pStyle w:val="Default"/>
        <w:spacing w:line="276" w:lineRule="auto"/>
        <w:rPr>
          <w:rFonts w:eastAsia="Arial"/>
          <w:sz w:val="20"/>
          <w:szCs w:val="20"/>
        </w:rPr>
      </w:pPr>
      <w:r>
        <w:rPr>
          <w:rFonts w:eastAsia="Arial"/>
          <w:sz w:val="20"/>
          <w:szCs w:val="20"/>
        </w:rPr>
        <w:t xml:space="preserve"> </w:t>
      </w:r>
    </w:p>
    <w:p w14:paraId="392E26C1" w14:textId="77777777" w:rsidR="00674104" w:rsidRDefault="00000000">
      <w:pPr>
        <w:spacing w:line="276" w:lineRule="auto"/>
        <w:jc w:val="both"/>
        <w:rPr>
          <w:rFonts w:ascii="Arial" w:eastAsia="Arial" w:hAnsi="Arial" w:cs="Arial"/>
          <w:b/>
          <w:sz w:val="20"/>
        </w:rPr>
      </w:pPr>
      <w:r>
        <w:rPr>
          <w:rFonts w:ascii="Arial" w:eastAsia="Arial" w:hAnsi="Arial" w:cs="Arial"/>
          <w:b/>
          <w:sz w:val="20"/>
        </w:rPr>
        <w:t>3. Auditoria operacional. Infrações ambientais. Processo administrativo. Determinações. Recomendações. Decisão plenária. Planos de ação. Apresentação e aprovação. Monitoramento.</w:t>
      </w:r>
    </w:p>
    <w:p w14:paraId="3A917AB4" w14:textId="77777777" w:rsidR="00674104" w:rsidRDefault="00674104">
      <w:pPr>
        <w:spacing w:line="276" w:lineRule="auto"/>
        <w:jc w:val="both"/>
        <w:rPr>
          <w:rFonts w:ascii="Arial" w:eastAsia="Arial" w:hAnsi="Arial" w:cs="Arial"/>
          <w:sz w:val="20"/>
        </w:rPr>
      </w:pPr>
    </w:p>
    <w:p w14:paraId="7A1D14E4" w14:textId="77777777" w:rsidR="00674104" w:rsidRDefault="00000000">
      <w:pPr>
        <w:spacing w:line="276" w:lineRule="auto"/>
        <w:jc w:val="both"/>
        <w:rPr>
          <w:rFonts w:ascii="Arial" w:eastAsia="Arial" w:hAnsi="Arial" w:cs="Arial"/>
          <w:sz w:val="20"/>
        </w:rPr>
      </w:pPr>
      <w:r>
        <w:rPr>
          <w:rFonts w:ascii="Arial" w:eastAsia="Arial" w:hAnsi="Arial" w:cs="Arial"/>
          <w:sz w:val="20"/>
        </w:rPr>
        <w:t xml:space="preserve">O TCE/SC conheceu e aprovou os Planos de Ação apresentados pelo Instituto do Meio Ambiente do Estado de Santa Catarina – IMA e do Conselho Estadual do Meio Ambiente - </w:t>
      </w:r>
      <w:proofErr w:type="spellStart"/>
      <w:r>
        <w:rPr>
          <w:rFonts w:ascii="Arial" w:eastAsia="Arial" w:hAnsi="Arial" w:cs="Arial"/>
          <w:sz w:val="20"/>
        </w:rPr>
        <w:t>Consema</w:t>
      </w:r>
      <w:proofErr w:type="spellEnd"/>
      <w:r>
        <w:rPr>
          <w:rFonts w:ascii="Arial" w:eastAsia="Arial" w:hAnsi="Arial" w:cs="Arial"/>
          <w:sz w:val="20"/>
        </w:rPr>
        <w:t>, com fulcro no art.7º, §1º, da </w:t>
      </w:r>
      <w:hyperlink r:id="rId8" w:tooltip="https://www.tcesc.tc.br/sites/default/files/leis_normas/resolucao_n_79-2013_consolidada.pdf" w:history="1">
        <w:r>
          <w:rPr>
            <w:rFonts w:ascii="Arial" w:eastAsia="Arial" w:hAnsi="Arial" w:cs="Arial"/>
            <w:sz w:val="20"/>
          </w:rPr>
          <w:t>Resolução nº TC-0079/2013</w:t>
        </w:r>
      </w:hyperlink>
      <w:r>
        <w:rPr>
          <w:rFonts w:ascii="Arial" w:eastAsia="Arial" w:hAnsi="Arial" w:cs="Arial"/>
          <w:sz w:val="20"/>
        </w:rPr>
        <w:t>, tendo a natureza de compromisso acordado entre as entidades auditadas e o Tribunal de Contas do Estado, conforme prevê o art.8º, parágrafo único, da mesma Resolução.  </w:t>
      </w:r>
    </w:p>
    <w:p w14:paraId="48B7764C" w14:textId="77777777" w:rsidR="00674104" w:rsidRDefault="00000000">
      <w:pPr>
        <w:spacing w:line="276" w:lineRule="auto"/>
        <w:jc w:val="both"/>
        <w:rPr>
          <w:rFonts w:ascii="Arial" w:eastAsia="Arial" w:hAnsi="Arial" w:cs="Arial"/>
          <w:sz w:val="20"/>
        </w:rPr>
      </w:pPr>
      <w:r>
        <w:rPr>
          <w:rFonts w:ascii="Arial" w:eastAsia="Arial" w:hAnsi="Arial" w:cs="Arial"/>
          <w:sz w:val="20"/>
        </w:rPr>
        <w:t> </w:t>
      </w:r>
    </w:p>
    <w:p w14:paraId="41422B09" w14:textId="77777777" w:rsidR="00674104" w:rsidRDefault="00000000">
      <w:pPr>
        <w:spacing w:line="276" w:lineRule="auto"/>
        <w:jc w:val="both"/>
        <w:rPr>
          <w:rFonts w:ascii="Arial" w:eastAsia="Arial" w:hAnsi="Arial" w:cs="Arial"/>
          <w:sz w:val="20"/>
        </w:rPr>
      </w:pPr>
      <w:r>
        <w:rPr>
          <w:rFonts w:ascii="Arial" w:eastAsia="Arial" w:hAnsi="Arial" w:cs="Arial"/>
          <w:sz w:val="20"/>
        </w:rPr>
        <w:t xml:space="preserve">O Tribunal também determinou o monitoramento do cumprimento da Decisão nº 1191/2019 e do compromisso assumido nos Planos de Ação, e que por ocasião do monitoramento, a coleta de </w:t>
      </w:r>
      <w:r>
        <w:rPr>
          <w:rFonts w:ascii="Arial" w:eastAsia="Arial" w:hAnsi="Arial" w:cs="Arial"/>
          <w:sz w:val="20"/>
        </w:rPr>
        <w:lastRenderedPageBreak/>
        <w:t xml:space="preserve">informações sobre o estágio de estruturação das Juntas Administrativas Regionais de Infrações Ambientais, à luz do que dispõem os artigos 16 e 17 do Código Ambiental do Estado, regulamentados pelo Decreto Estadual n° 403/2015, além do intercâmbio de informações com a 22ª Promotoria de Justiça da Comarca da Capital, de modo a maximizar a eficácia desta auditoria em conjunto com as fiscalizações conduzidas nos Inquéritos Civis </w:t>
      </w:r>
      <w:proofErr w:type="spellStart"/>
      <w:r>
        <w:rPr>
          <w:rFonts w:ascii="Arial" w:eastAsia="Arial" w:hAnsi="Arial" w:cs="Arial"/>
          <w:sz w:val="20"/>
        </w:rPr>
        <w:t>n°s</w:t>
      </w:r>
      <w:proofErr w:type="spellEnd"/>
      <w:r>
        <w:rPr>
          <w:rFonts w:ascii="Arial" w:eastAsia="Arial" w:hAnsi="Arial" w:cs="Arial"/>
          <w:sz w:val="20"/>
        </w:rPr>
        <w:t xml:space="preserve"> 06.2017.00001331-7 e 06.2016.00000552-4 </w:t>
      </w:r>
    </w:p>
    <w:p w14:paraId="2279C18D" w14:textId="77777777" w:rsidR="00674104" w:rsidRDefault="00000000">
      <w:pPr>
        <w:spacing w:line="276" w:lineRule="auto"/>
        <w:jc w:val="both"/>
        <w:rPr>
          <w:rFonts w:ascii="Arial" w:eastAsia="Arial" w:hAnsi="Arial" w:cs="Arial"/>
          <w:sz w:val="20"/>
        </w:rPr>
      </w:pPr>
      <w:r>
        <w:rPr>
          <w:rFonts w:ascii="Arial" w:eastAsia="Arial" w:hAnsi="Arial" w:cs="Arial"/>
          <w:sz w:val="20"/>
        </w:rPr>
        <w:t> </w:t>
      </w:r>
    </w:p>
    <w:p w14:paraId="34030A6D" w14:textId="77777777" w:rsidR="00674104" w:rsidRDefault="00000000">
      <w:pPr>
        <w:spacing w:line="276" w:lineRule="auto"/>
        <w:jc w:val="both"/>
        <w:rPr>
          <w:rFonts w:ascii="Arial" w:eastAsia="Arial" w:hAnsi="Arial" w:cs="Arial"/>
          <w:sz w:val="20"/>
        </w:rPr>
      </w:pPr>
      <w:r>
        <w:rPr>
          <w:rFonts w:ascii="Arial" w:eastAsia="Arial" w:hAnsi="Arial" w:cs="Arial"/>
          <w:sz w:val="20"/>
        </w:rPr>
        <w:t>Trata-se de auditoria operacional que analisou o processo administrativo de apuração de infrações ambientais e atividades lesivas ao meio ambiente, no âmbito do Instituto Estadual do Meio Ambiente (IMA) e no Conselho Estadual do Meio Ambiente (</w:t>
      </w:r>
      <w:proofErr w:type="spellStart"/>
      <w:r>
        <w:rPr>
          <w:rFonts w:ascii="Arial" w:eastAsia="Arial" w:hAnsi="Arial" w:cs="Arial"/>
          <w:sz w:val="20"/>
        </w:rPr>
        <w:t>Consema</w:t>
      </w:r>
      <w:proofErr w:type="spellEnd"/>
      <w:r>
        <w:rPr>
          <w:rFonts w:ascii="Arial" w:eastAsia="Arial" w:hAnsi="Arial" w:cs="Arial"/>
          <w:sz w:val="20"/>
        </w:rPr>
        <w:t>). A auditoria in loco ocorreu nos Municípios de Florianópolis e Tubarão.  </w:t>
      </w:r>
    </w:p>
    <w:p w14:paraId="73B3C705" w14:textId="77777777" w:rsidR="00674104" w:rsidRDefault="00000000">
      <w:pPr>
        <w:spacing w:line="276" w:lineRule="auto"/>
        <w:jc w:val="both"/>
        <w:rPr>
          <w:rFonts w:ascii="Arial" w:eastAsia="Arial" w:hAnsi="Arial" w:cs="Arial"/>
          <w:sz w:val="20"/>
        </w:rPr>
      </w:pPr>
      <w:r>
        <w:rPr>
          <w:rFonts w:ascii="Arial" w:eastAsia="Arial" w:hAnsi="Arial" w:cs="Arial"/>
          <w:sz w:val="20"/>
        </w:rPr>
        <w:t> </w:t>
      </w:r>
    </w:p>
    <w:p w14:paraId="52E6F956" w14:textId="77777777" w:rsidR="00674104" w:rsidRDefault="00000000">
      <w:pPr>
        <w:spacing w:line="276" w:lineRule="auto"/>
        <w:jc w:val="both"/>
        <w:rPr>
          <w:rFonts w:ascii="Arial" w:eastAsia="Arial" w:hAnsi="Arial" w:cs="Arial"/>
          <w:sz w:val="20"/>
        </w:rPr>
      </w:pPr>
      <w:r>
        <w:rPr>
          <w:rFonts w:ascii="Arial" w:eastAsia="Arial" w:hAnsi="Arial" w:cs="Arial"/>
          <w:sz w:val="20"/>
        </w:rPr>
        <w:t xml:space="preserve">De acordo com o Relator, a auditoria enfrentou três questões, a saber, 1) se o IMA possui mecanismos de gestão e controle dos processos de fiscalização ambiental na fase administrativa, 2) a capacidade do sistema Gaia de permitir o acompanhamento e controle do fluxo processual da fiscalização ambiental, e 3) a existência de mecanismos no </w:t>
      </w:r>
      <w:proofErr w:type="spellStart"/>
      <w:r>
        <w:rPr>
          <w:rFonts w:ascii="Arial" w:eastAsia="Arial" w:hAnsi="Arial" w:cs="Arial"/>
          <w:sz w:val="20"/>
        </w:rPr>
        <w:t>Consema</w:t>
      </w:r>
      <w:proofErr w:type="spellEnd"/>
      <w:r>
        <w:rPr>
          <w:rFonts w:ascii="Arial" w:eastAsia="Arial" w:hAnsi="Arial" w:cs="Arial"/>
          <w:sz w:val="20"/>
        </w:rPr>
        <w:t xml:space="preserve"> para a gestão e controle dos processos de fiscalização ambiental na fase recursal. </w:t>
      </w:r>
    </w:p>
    <w:p w14:paraId="01F82F17" w14:textId="77777777" w:rsidR="00674104" w:rsidRDefault="00000000">
      <w:pPr>
        <w:spacing w:line="276" w:lineRule="auto"/>
        <w:jc w:val="both"/>
        <w:rPr>
          <w:rFonts w:ascii="Arial" w:eastAsia="Arial" w:hAnsi="Arial" w:cs="Arial"/>
          <w:sz w:val="20"/>
        </w:rPr>
      </w:pPr>
      <w:r>
        <w:rPr>
          <w:rFonts w:ascii="Arial" w:eastAsia="Arial" w:hAnsi="Arial" w:cs="Arial"/>
          <w:sz w:val="20"/>
        </w:rPr>
        <w:t> </w:t>
      </w:r>
    </w:p>
    <w:p w14:paraId="2933267A" w14:textId="77777777" w:rsidR="00674104" w:rsidRDefault="00000000">
      <w:pPr>
        <w:spacing w:line="276" w:lineRule="auto"/>
        <w:jc w:val="both"/>
        <w:rPr>
          <w:rFonts w:ascii="Arial" w:eastAsia="Arial" w:hAnsi="Arial" w:cs="Arial"/>
          <w:sz w:val="20"/>
        </w:rPr>
      </w:pPr>
      <w:r>
        <w:rPr>
          <w:rFonts w:ascii="Arial" w:eastAsia="Arial" w:hAnsi="Arial" w:cs="Arial"/>
          <w:sz w:val="20"/>
        </w:rPr>
        <w:t>Para o Relator, "a fase de monitoramento é curial a avaliação do funcionamento do Sistema Gaia, até mesmo porque a superação do problema referente à morosidade processual pressupõe a automatização de fluxos e etapas, níveis de segurança de sistema e alertas para o descumprimento de prazos. Logo, a verificação das melhorias é um dos pontos principais da averiguação a ser feita".</w:t>
      </w:r>
    </w:p>
    <w:p w14:paraId="2A57D4BD" w14:textId="77777777" w:rsidR="00674104" w:rsidRDefault="00000000">
      <w:pPr>
        <w:spacing w:line="276" w:lineRule="auto"/>
        <w:jc w:val="both"/>
        <w:rPr>
          <w:rFonts w:ascii="Arial" w:eastAsia="Arial" w:hAnsi="Arial" w:cs="Arial"/>
          <w:sz w:val="20"/>
        </w:rPr>
      </w:pPr>
      <w:hyperlink r:id="rId9" w:anchor="/processo?nu_proc=1700740641" w:tooltip="https://virtual.tce.sc.gov.br/pwa/#/processo?nu_proc=1700740641" w:history="1">
        <w:r>
          <w:rPr>
            <w:rStyle w:val="Hyperlink"/>
            <w:rFonts w:ascii="Arial" w:eastAsia="Arial" w:hAnsi="Arial" w:cs="Arial"/>
            <w:sz w:val="20"/>
          </w:rPr>
          <w:t>Auditoria Operacional</w:t>
        </w:r>
        <w:r>
          <w:rPr>
            <w:rStyle w:val="Hyperlink"/>
            <w:rFonts w:ascii="Arial" w:eastAsia="Arial" w:hAnsi="Arial" w:cs="Arial"/>
            <w:sz w:val="21"/>
          </w:rPr>
          <w:t xml:space="preserve">. </w:t>
        </w:r>
        <w:r>
          <w:rPr>
            <w:rStyle w:val="Hyperlink"/>
            <w:rFonts w:ascii="Arial" w:eastAsia="Arial" w:hAnsi="Arial" w:cs="Arial"/>
            <w:sz w:val="20"/>
          </w:rPr>
          <w:t>Processo nº 1700740641</w:t>
        </w:r>
      </w:hyperlink>
      <w:r>
        <w:rPr>
          <w:rFonts w:ascii="Arial" w:eastAsia="Arial" w:hAnsi="Arial" w:cs="Arial"/>
          <w:sz w:val="20"/>
        </w:rPr>
        <w:t xml:space="preserve">. Relator Conselheiro Substituto Gerson dos Santos </w:t>
      </w:r>
      <w:proofErr w:type="spellStart"/>
      <w:r>
        <w:rPr>
          <w:rFonts w:ascii="Arial" w:eastAsia="Arial" w:hAnsi="Arial" w:cs="Arial"/>
          <w:sz w:val="20"/>
        </w:rPr>
        <w:t>Sicca</w:t>
      </w:r>
      <w:proofErr w:type="spellEnd"/>
      <w:r>
        <w:rPr>
          <w:rFonts w:ascii="Arial" w:eastAsia="Arial" w:hAnsi="Arial" w:cs="Arial"/>
          <w:sz w:val="20"/>
        </w:rPr>
        <w:t>.</w:t>
      </w:r>
    </w:p>
    <w:p w14:paraId="06892CE8" w14:textId="77777777" w:rsidR="00674104" w:rsidRDefault="00674104">
      <w:pPr>
        <w:spacing w:line="276" w:lineRule="auto"/>
        <w:rPr>
          <w:rFonts w:ascii="Arial" w:eastAsia="Arial" w:hAnsi="Arial" w:cs="Arial"/>
          <w:sz w:val="20"/>
        </w:rPr>
      </w:pPr>
    </w:p>
    <w:p w14:paraId="578C7661" w14:textId="77777777" w:rsidR="00674104" w:rsidRDefault="00000000">
      <w:pPr>
        <w:spacing w:line="276" w:lineRule="auto"/>
        <w:jc w:val="both"/>
        <w:rPr>
          <w:rFonts w:ascii="Arial" w:eastAsia="Arial" w:hAnsi="Arial" w:cs="Arial"/>
          <w:b/>
          <w:sz w:val="20"/>
        </w:rPr>
      </w:pPr>
      <w:r>
        <w:rPr>
          <w:rFonts w:ascii="Arial" w:eastAsia="Arial" w:hAnsi="Arial" w:cs="Arial"/>
          <w:b/>
          <w:sz w:val="20"/>
        </w:rPr>
        <w:t>4. Representação. Pregão eletrônico. Registro de preços. Coleta de resíduos sólidos. Irregularidade não comprovada. Improcedência.</w:t>
      </w:r>
    </w:p>
    <w:p w14:paraId="42A6469F" w14:textId="77777777" w:rsidR="00674104" w:rsidRDefault="00674104">
      <w:pPr>
        <w:spacing w:line="276" w:lineRule="auto"/>
        <w:jc w:val="both"/>
        <w:rPr>
          <w:rFonts w:ascii="Arial" w:eastAsia="Arial" w:hAnsi="Arial" w:cs="Arial"/>
          <w:sz w:val="20"/>
        </w:rPr>
      </w:pPr>
    </w:p>
    <w:p w14:paraId="7FF0245D" w14:textId="77777777" w:rsidR="00674104" w:rsidRDefault="00000000">
      <w:pPr>
        <w:spacing w:line="276" w:lineRule="auto"/>
        <w:jc w:val="both"/>
        <w:rPr>
          <w:rFonts w:ascii="Arial" w:eastAsia="Arial" w:hAnsi="Arial" w:cs="Arial"/>
          <w:sz w:val="20"/>
        </w:rPr>
      </w:pPr>
      <w:r>
        <w:rPr>
          <w:rFonts w:ascii="Arial" w:eastAsia="Arial" w:hAnsi="Arial" w:cs="Arial"/>
          <w:sz w:val="20"/>
        </w:rPr>
        <w:t>O TCE/SC considerou improcedentes os fatos representados em relação ao edital de Pregão Eletrônico cujo objeto consta do registro de preços lançado pela Prefeitura Municipal de Florianópolis, em face da não configuração das irregularidades apontadas. </w:t>
      </w:r>
    </w:p>
    <w:p w14:paraId="3AB0057D" w14:textId="77777777" w:rsidR="00674104" w:rsidRDefault="00000000">
      <w:pPr>
        <w:spacing w:line="276" w:lineRule="auto"/>
        <w:jc w:val="both"/>
        <w:rPr>
          <w:rFonts w:ascii="Arial" w:eastAsia="Arial" w:hAnsi="Arial" w:cs="Arial"/>
          <w:sz w:val="20"/>
        </w:rPr>
      </w:pPr>
      <w:r>
        <w:rPr>
          <w:rFonts w:ascii="Arial" w:eastAsia="Arial" w:hAnsi="Arial" w:cs="Arial"/>
          <w:sz w:val="20"/>
        </w:rPr>
        <w:t> </w:t>
      </w:r>
    </w:p>
    <w:p w14:paraId="0DCF5013" w14:textId="77777777" w:rsidR="00674104" w:rsidRDefault="00000000">
      <w:pPr>
        <w:spacing w:line="276" w:lineRule="auto"/>
        <w:jc w:val="both"/>
        <w:rPr>
          <w:rFonts w:ascii="Arial" w:eastAsia="Arial" w:hAnsi="Arial" w:cs="Arial"/>
          <w:sz w:val="20"/>
        </w:rPr>
      </w:pPr>
      <w:r>
        <w:rPr>
          <w:rFonts w:ascii="Arial" w:eastAsia="Arial" w:hAnsi="Arial" w:cs="Arial"/>
          <w:sz w:val="20"/>
        </w:rPr>
        <w:t>Trata-se de Representação formulada pela Associação Brasileira de Empresas de Limpeza Pública e Resíduos Especiais (ABRELPE), comunicando supostas irregularidades em edital do Pregão Eletrônico para a contratação de serviços de coleta de resíduos sólidos urbanos Classe II-A (fração rejeito) e de coleta especial, pelo período de 12 (doze) meses. </w:t>
      </w:r>
    </w:p>
    <w:p w14:paraId="653F9D33" w14:textId="77777777" w:rsidR="00674104" w:rsidRDefault="00000000">
      <w:pPr>
        <w:spacing w:line="276" w:lineRule="auto"/>
        <w:jc w:val="both"/>
        <w:rPr>
          <w:rFonts w:ascii="Arial" w:eastAsia="Arial" w:hAnsi="Arial" w:cs="Arial"/>
          <w:sz w:val="20"/>
        </w:rPr>
      </w:pPr>
      <w:r>
        <w:rPr>
          <w:rFonts w:ascii="Arial" w:eastAsia="Arial" w:hAnsi="Arial" w:cs="Arial"/>
          <w:sz w:val="20"/>
        </w:rPr>
        <w:t> </w:t>
      </w:r>
    </w:p>
    <w:p w14:paraId="547EA57D" w14:textId="77777777" w:rsidR="00674104" w:rsidRDefault="00000000">
      <w:pPr>
        <w:spacing w:line="276" w:lineRule="auto"/>
        <w:jc w:val="both"/>
        <w:rPr>
          <w:rFonts w:ascii="Arial" w:eastAsia="Arial" w:hAnsi="Arial" w:cs="Arial"/>
          <w:sz w:val="20"/>
        </w:rPr>
      </w:pPr>
      <w:r>
        <w:rPr>
          <w:rFonts w:ascii="Arial" w:eastAsia="Arial" w:hAnsi="Arial" w:cs="Arial"/>
          <w:sz w:val="20"/>
        </w:rPr>
        <w:t>O Relator apontou que a Representante sustentou que o procedimento utilizado no Pregão Eletrônico não seria compatível com o objeto pretendido, pois o art. 3º-C, da Lei n. 14.026/20 determina que referidos serviços são de natureza pública especializada, o que impossibilitaria o manejo do pregão eletrônico. </w:t>
      </w:r>
    </w:p>
    <w:p w14:paraId="199F7ED5" w14:textId="77777777" w:rsidR="00674104" w:rsidRDefault="00000000">
      <w:pPr>
        <w:spacing w:line="276" w:lineRule="auto"/>
        <w:jc w:val="both"/>
        <w:rPr>
          <w:rFonts w:ascii="Arial" w:eastAsia="Arial" w:hAnsi="Arial" w:cs="Arial"/>
          <w:sz w:val="20"/>
        </w:rPr>
      </w:pPr>
      <w:r>
        <w:rPr>
          <w:rFonts w:ascii="Arial" w:eastAsia="Arial" w:hAnsi="Arial" w:cs="Arial"/>
          <w:sz w:val="20"/>
        </w:rPr>
        <w:t> </w:t>
      </w:r>
    </w:p>
    <w:p w14:paraId="16D183BA" w14:textId="77777777" w:rsidR="00674104" w:rsidRDefault="00000000">
      <w:pPr>
        <w:spacing w:line="276" w:lineRule="auto"/>
        <w:jc w:val="both"/>
        <w:rPr>
          <w:rFonts w:ascii="Arial" w:eastAsia="Arial" w:hAnsi="Arial" w:cs="Arial"/>
          <w:sz w:val="20"/>
        </w:rPr>
      </w:pPr>
      <w:r>
        <w:rPr>
          <w:rFonts w:ascii="Arial" w:eastAsia="Arial" w:hAnsi="Arial" w:cs="Arial"/>
          <w:sz w:val="20"/>
        </w:rPr>
        <w:lastRenderedPageBreak/>
        <w:t>O Relator esclareceu que a titularidade da coleta de resíduos sólidos e demais serviços correlatos, no âmbito do Município de Florianópolis, pertence à Companhia de Melhoramentos da Capital (COMCAP). "A COMCAP, criada como empresa de economia mista, tem por objetivo gerir alguns serviços no Município, de modo que em 1976, assumiu a prestação dos serviços de coleta de resíduos e de varrição de ruas, capinação, remoção e limpeza de valas a céu aberto. Em julho de 2017 foi transformada em autarquia, o que implica dizer que, em Florianópolis, os serviços de manejo de resíduos e de limpeza urbana são executados pelo regime de prestação direta, conforme disposto no art. 175, da Constituição Federal", complementou. </w:t>
      </w:r>
    </w:p>
    <w:p w14:paraId="7EB741F2" w14:textId="77777777" w:rsidR="00674104" w:rsidRDefault="00000000">
      <w:pPr>
        <w:spacing w:line="276" w:lineRule="auto"/>
        <w:jc w:val="both"/>
        <w:rPr>
          <w:rFonts w:ascii="Arial" w:eastAsia="Arial" w:hAnsi="Arial" w:cs="Arial"/>
          <w:sz w:val="20"/>
        </w:rPr>
      </w:pPr>
      <w:r>
        <w:rPr>
          <w:rFonts w:ascii="Arial" w:eastAsia="Arial" w:hAnsi="Arial" w:cs="Arial"/>
          <w:sz w:val="20"/>
        </w:rPr>
        <w:t> </w:t>
      </w:r>
    </w:p>
    <w:p w14:paraId="5769D6C6" w14:textId="77777777" w:rsidR="00674104" w:rsidRDefault="00000000">
      <w:pPr>
        <w:spacing w:line="276" w:lineRule="auto"/>
        <w:jc w:val="both"/>
        <w:rPr>
          <w:rFonts w:ascii="Arial" w:eastAsia="Arial" w:hAnsi="Arial" w:cs="Arial"/>
          <w:sz w:val="20"/>
        </w:rPr>
      </w:pPr>
      <w:r>
        <w:rPr>
          <w:rFonts w:ascii="Arial" w:eastAsia="Arial" w:hAnsi="Arial" w:cs="Arial"/>
          <w:sz w:val="20"/>
        </w:rPr>
        <w:t>Para o Relator, "a prestação de serviços de coleta de resíduos sólidos é de titularidade da autarquia municipal. A realização de licitação para registro de preços visando à contratação de empresa, em caso de necessidade excepcional, como ocorre na hipótese de paralizações promovidas pela autarquia, não transfere a titularidade do serviço ao ente privado. Os serviços de coleta de resíduos sólidos podem ser enquadrados como serviços comuns, cujas ações têm natureza objetivamente padronizáveis, o que autoriza a adoção do pregão".</w:t>
      </w:r>
    </w:p>
    <w:p w14:paraId="12615F7F" w14:textId="77777777" w:rsidR="00674104" w:rsidRDefault="00000000">
      <w:pPr>
        <w:spacing w:line="276" w:lineRule="auto"/>
        <w:jc w:val="both"/>
        <w:rPr>
          <w:rFonts w:ascii="Arial" w:eastAsia="Arial" w:hAnsi="Arial" w:cs="Arial"/>
          <w:sz w:val="20"/>
        </w:rPr>
      </w:pPr>
      <w:hyperlink r:id="rId10" w:anchor="/processo?nu_proc=2100617154" w:tooltip="https://virtual.tce.sc.gov.br/pwa/#/processo?nu_proc=2100617154" w:history="1">
        <w:r>
          <w:rPr>
            <w:rStyle w:val="Hyperlink"/>
            <w:rFonts w:ascii="Arial" w:eastAsia="Arial" w:hAnsi="Arial" w:cs="Arial"/>
            <w:sz w:val="20"/>
            <w:highlight w:val="white"/>
          </w:rPr>
          <w:t>Representação - art. 113, § 1º, da Lei nº 8.666/93</w:t>
        </w:r>
        <w:r>
          <w:rPr>
            <w:rStyle w:val="Hyperlink"/>
            <w:rFonts w:ascii="Arial" w:eastAsia="Arial" w:hAnsi="Arial" w:cs="Arial"/>
            <w:sz w:val="20"/>
          </w:rPr>
          <w:t xml:space="preserve">. Processo nº </w:t>
        </w:r>
        <w:r>
          <w:rPr>
            <w:rStyle w:val="Hyperlink"/>
            <w:rFonts w:ascii="Arial" w:eastAsia="Arial" w:hAnsi="Arial" w:cs="Arial"/>
            <w:sz w:val="20"/>
            <w:highlight w:val="white"/>
          </w:rPr>
          <w:t>2100617154</w:t>
        </w:r>
      </w:hyperlink>
      <w:r>
        <w:rPr>
          <w:rFonts w:ascii="Arial" w:eastAsia="Arial" w:hAnsi="Arial" w:cs="Arial"/>
          <w:sz w:val="20"/>
        </w:rPr>
        <w:t>. Relator Conselheiro Cesar Filomeno Fontes.</w:t>
      </w:r>
    </w:p>
    <w:p w14:paraId="3C993E63" w14:textId="77777777" w:rsidR="00674104" w:rsidRDefault="00674104">
      <w:pPr>
        <w:spacing w:line="276" w:lineRule="auto"/>
        <w:jc w:val="both"/>
        <w:rPr>
          <w:rFonts w:ascii="Arial" w:eastAsia="Arial" w:hAnsi="Arial" w:cs="Arial"/>
          <w:color w:val="000000"/>
        </w:rPr>
      </w:pPr>
    </w:p>
    <w:p w14:paraId="5DFB3F18" w14:textId="77777777" w:rsidR="00674104" w:rsidRDefault="00000000">
      <w:pPr>
        <w:shd w:val="clear" w:color="F2F2F2" w:themeColor="background1" w:themeShade="F2" w:fill="F2F2F2" w:themeFill="background1" w:themeFillShade="F2"/>
        <w:spacing w:line="276" w:lineRule="auto"/>
        <w:jc w:val="center"/>
        <w:rPr>
          <w:rFonts w:ascii="Arial" w:eastAsia="Arial" w:hAnsi="Arial" w:cs="Arial"/>
          <w:color w:val="000000"/>
        </w:rPr>
      </w:pPr>
      <w:r>
        <w:rPr>
          <w:rStyle w:val="Hyperlink"/>
          <w:rFonts w:ascii="Arial" w:eastAsia="Arial" w:hAnsi="Arial" w:cs="Arial"/>
          <w:b/>
          <w:color w:val="000000"/>
          <w:sz w:val="20"/>
          <w:szCs w:val="20"/>
          <w:u w:val="none"/>
          <w:shd w:val="clear" w:color="EEECE1" w:themeColor="background2" w:fill="EEECE1" w:themeFill="background2"/>
        </w:rPr>
        <w:t>SUPREMO TRIBUNAL FEDERAL</w:t>
      </w:r>
    </w:p>
    <w:p w14:paraId="0AB0617A" w14:textId="77777777" w:rsidR="00674104" w:rsidRDefault="00674104">
      <w:pPr>
        <w:spacing w:line="276" w:lineRule="auto"/>
        <w:jc w:val="both"/>
        <w:rPr>
          <w:rFonts w:ascii="Arial" w:eastAsia="Arial" w:hAnsi="Arial" w:cs="Arial"/>
          <w:color w:val="000000"/>
        </w:rPr>
      </w:pPr>
    </w:p>
    <w:p w14:paraId="2B982C0F" w14:textId="77777777" w:rsidR="00674104" w:rsidRDefault="00000000">
      <w:pPr>
        <w:spacing w:line="276" w:lineRule="auto"/>
        <w:jc w:val="both"/>
        <w:rPr>
          <w:rFonts w:ascii="Arial" w:eastAsia="Arial" w:hAnsi="Arial" w:cs="Arial"/>
          <w:color w:val="000000"/>
        </w:rPr>
      </w:pPr>
      <w:r>
        <w:rPr>
          <w:rStyle w:val="Hyperlink"/>
          <w:rFonts w:ascii="Arial" w:eastAsia="Arial" w:hAnsi="Arial" w:cs="Arial"/>
          <w:b/>
          <w:color w:val="000000"/>
          <w:sz w:val="20"/>
          <w:szCs w:val="20"/>
          <w:u w:val="none"/>
        </w:rPr>
        <w:t xml:space="preserve">5. Ementa: ação direta de inconstitucionalidade. </w:t>
      </w:r>
      <w:proofErr w:type="spellStart"/>
      <w:r>
        <w:rPr>
          <w:rStyle w:val="Hyperlink"/>
          <w:rFonts w:ascii="Arial" w:eastAsia="Arial" w:hAnsi="Arial" w:cs="Arial"/>
          <w:b/>
          <w:color w:val="000000"/>
          <w:sz w:val="20"/>
          <w:szCs w:val="20"/>
          <w:u w:val="none"/>
        </w:rPr>
        <w:t>Arts</w:t>
      </w:r>
      <w:proofErr w:type="spellEnd"/>
      <w:r>
        <w:rPr>
          <w:rStyle w:val="Hyperlink"/>
          <w:rFonts w:ascii="Arial" w:eastAsia="Arial" w:hAnsi="Arial" w:cs="Arial"/>
          <w:b/>
          <w:color w:val="000000"/>
          <w:sz w:val="20"/>
          <w:szCs w:val="20"/>
          <w:u w:val="none"/>
        </w:rPr>
        <w:t xml:space="preserve">. 6º e 11-a da lei n. 11.598/2007, alterados pelo art. 2º da medida provisória n. 1.040/2021. </w:t>
      </w:r>
      <w:proofErr w:type="spellStart"/>
      <w:r>
        <w:rPr>
          <w:rStyle w:val="Hyperlink"/>
          <w:rFonts w:ascii="Arial" w:eastAsia="Arial" w:hAnsi="Arial" w:cs="Arial"/>
          <w:b/>
          <w:color w:val="000000"/>
          <w:sz w:val="20"/>
          <w:szCs w:val="20"/>
          <w:u w:val="none"/>
        </w:rPr>
        <w:t>Conversa~o</w:t>
      </w:r>
      <w:proofErr w:type="spellEnd"/>
      <w:r>
        <w:rPr>
          <w:rStyle w:val="Hyperlink"/>
          <w:rFonts w:ascii="Arial" w:eastAsia="Arial" w:hAnsi="Arial" w:cs="Arial"/>
          <w:b/>
          <w:color w:val="000000"/>
          <w:sz w:val="20"/>
          <w:szCs w:val="20"/>
          <w:u w:val="none"/>
        </w:rPr>
        <w:t xml:space="preserve"> da medida </w:t>
      </w:r>
      <w:proofErr w:type="spellStart"/>
      <w:r>
        <w:rPr>
          <w:rStyle w:val="Hyperlink"/>
          <w:rFonts w:ascii="Arial" w:eastAsia="Arial" w:hAnsi="Arial" w:cs="Arial"/>
          <w:b/>
          <w:color w:val="000000"/>
          <w:sz w:val="20"/>
          <w:szCs w:val="20"/>
          <w:u w:val="none"/>
        </w:rPr>
        <w:t>proviso´ria</w:t>
      </w:r>
      <w:proofErr w:type="spellEnd"/>
      <w:r>
        <w:rPr>
          <w:rStyle w:val="Hyperlink"/>
          <w:rFonts w:ascii="Arial" w:eastAsia="Arial" w:hAnsi="Arial" w:cs="Arial"/>
          <w:b/>
          <w:color w:val="000000"/>
          <w:sz w:val="20"/>
          <w:szCs w:val="20"/>
          <w:u w:val="none"/>
        </w:rPr>
        <w:t xml:space="preserve"> n. 1.040/2021 na lei n.14.195/2021. Inexistência de alteração substancial das normas impugnadas. Ausência de prejuízo pelo não aditamento tempestivo da petição inicial. Conversão da apreciação da medida cautelar em julgamento de mérito. Procedimento automático e simplificado de emissão de alvará de funcionamento e licenças ambientais para atividade de risco médio no sistema de integração </w:t>
      </w:r>
      <w:proofErr w:type="spellStart"/>
      <w:r>
        <w:rPr>
          <w:rStyle w:val="Hyperlink"/>
          <w:rFonts w:ascii="Arial" w:eastAsia="Arial" w:hAnsi="Arial" w:cs="Arial"/>
          <w:b/>
          <w:color w:val="000000"/>
          <w:sz w:val="20"/>
          <w:szCs w:val="20"/>
          <w:u w:val="none"/>
        </w:rPr>
        <w:t>Redesim</w:t>
      </w:r>
      <w:proofErr w:type="spellEnd"/>
      <w:r>
        <w:rPr>
          <w:rStyle w:val="Hyperlink"/>
          <w:rFonts w:ascii="Arial" w:eastAsia="Arial" w:hAnsi="Arial" w:cs="Arial"/>
          <w:b/>
          <w:color w:val="000000"/>
          <w:sz w:val="20"/>
          <w:szCs w:val="20"/>
          <w:u w:val="none"/>
        </w:rPr>
        <w:t xml:space="preserve">. Vedação de coleta de dados adicionais pelo órgão responsável à realizada no sistema </w:t>
      </w:r>
      <w:proofErr w:type="spellStart"/>
      <w:r>
        <w:rPr>
          <w:rStyle w:val="Hyperlink"/>
          <w:rFonts w:ascii="Arial" w:eastAsia="Arial" w:hAnsi="Arial" w:cs="Arial"/>
          <w:b/>
          <w:color w:val="000000"/>
          <w:sz w:val="20"/>
          <w:szCs w:val="20"/>
          <w:u w:val="none"/>
        </w:rPr>
        <w:t>Redesim</w:t>
      </w:r>
      <w:proofErr w:type="spellEnd"/>
      <w:r>
        <w:rPr>
          <w:rStyle w:val="Hyperlink"/>
          <w:rFonts w:ascii="Arial" w:eastAsia="Arial" w:hAnsi="Arial" w:cs="Arial"/>
          <w:b/>
          <w:color w:val="000000"/>
          <w:sz w:val="20"/>
          <w:szCs w:val="20"/>
          <w:u w:val="none"/>
        </w:rPr>
        <w:t xml:space="preserve"> para a emissão das licenças e alvarás para funcionamento de empreendimentos ambientais. Desobediência ao princípio da prevenção e ao dever de proteção do meio ambiente ecologicamente equilibrado (art. 225 da constituição da república). Ação direta julgada parcialmente procedente para dar interpretação conforme à constituição. </w:t>
      </w:r>
    </w:p>
    <w:p w14:paraId="07DF11C5" w14:textId="77777777" w:rsidR="00674104" w:rsidRDefault="00674104">
      <w:pPr>
        <w:spacing w:line="276" w:lineRule="auto"/>
        <w:jc w:val="both"/>
        <w:rPr>
          <w:rFonts w:ascii="Arial" w:eastAsia="Arial" w:hAnsi="Arial" w:cs="Arial"/>
          <w:color w:val="000000"/>
        </w:rPr>
      </w:pPr>
    </w:p>
    <w:p w14:paraId="13B96FA3" w14:textId="77777777" w:rsidR="00674104" w:rsidRDefault="00000000">
      <w:pPr>
        <w:spacing w:line="276" w:lineRule="auto"/>
        <w:jc w:val="both"/>
        <w:rPr>
          <w:rFonts w:ascii="Arial" w:eastAsia="Arial" w:hAnsi="Arial" w:cs="Arial"/>
          <w:color w:val="000000"/>
        </w:rPr>
      </w:pPr>
      <w:r>
        <w:rPr>
          <w:rStyle w:val="Hyperlink"/>
          <w:rFonts w:ascii="Arial" w:eastAsia="Arial" w:hAnsi="Arial" w:cs="Arial"/>
          <w:color w:val="000000"/>
          <w:sz w:val="20"/>
          <w:szCs w:val="20"/>
          <w:u w:val="none"/>
        </w:rPr>
        <w:t>1. Conversão da apreciação da medida cautelar em julgamento de mérito: prescindibilidade de novas informações. Princípio da razoável duração do processo. Precedentes. 2. A ausência de aditamento à petição inicial não importa no prejuízo da ação quando não constatada alteração substancial das normas impugnadas. Precedentes. 3. São inconstitucionais as normas pelas quais simplificada a obtenção de licença ambiental no sistema responsável pela integração (</w:t>
      </w:r>
      <w:proofErr w:type="spellStart"/>
      <w:r>
        <w:rPr>
          <w:rStyle w:val="Hyperlink"/>
          <w:rFonts w:ascii="Arial" w:eastAsia="Arial" w:hAnsi="Arial" w:cs="Arial"/>
          <w:color w:val="000000"/>
          <w:sz w:val="20"/>
          <w:szCs w:val="20"/>
          <w:u w:val="none"/>
        </w:rPr>
        <w:t>Redesim</w:t>
      </w:r>
      <w:proofErr w:type="spellEnd"/>
      <w:r>
        <w:rPr>
          <w:rStyle w:val="Hyperlink"/>
          <w:rFonts w:ascii="Arial" w:eastAsia="Arial" w:hAnsi="Arial" w:cs="Arial"/>
          <w:color w:val="000000"/>
          <w:sz w:val="20"/>
          <w:szCs w:val="20"/>
          <w:u w:val="none"/>
        </w:rPr>
        <w:t xml:space="preserve">) para atividade econômica de risco médio e vedada a coleta adicional de informações pelo órgão responsável à realizada no sistema </w:t>
      </w:r>
      <w:proofErr w:type="spellStart"/>
      <w:r>
        <w:rPr>
          <w:rStyle w:val="Hyperlink"/>
          <w:rFonts w:ascii="Arial" w:eastAsia="Arial" w:hAnsi="Arial" w:cs="Arial"/>
          <w:color w:val="000000"/>
          <w:sz w:val="20"/>
          <w:szCs w:val="20"/>
          <w:u w:val="none"/>
        </w:rPr>
        <w:t>Redesim</w:t>
      </w:r>
      <w:proofErr w:type="spellEnd"/>
      <w:r>
        <w:rPr>
          <w:rStyle w:val="Hyperlink"/>
          <w:rFonts w:ascii="Arial" w:eastAsia="Arial" w:hAnsi="Arial" w:cs="Arial"/>
          <w:color w:val="000000"/>
          <w:sz w:val="20"/>
          <w:szCs w:val="20"/>
          <w:u w:val="none"/>
        </w:rPr>
        <w:t xml:space="preserve"> para a emissão das licenças e alvarás para o funcionamento do empresário ou da pessoa jurídica, referentes a </w:t>
      </w:r>
      <w:proofErr w:type="spellStart"/>
      <w:r>
        <w:rPr>
          <w:rStyle w:val="Hyperlink"/>
          <w:rFonts w:ascii="Arial" w:eastAsia="Arial" w:hAnsi="Arial" w:cs="Arial"/>
          <w:color w:val="000000"/>
          <w:sz w:val="20"/>
          <w:szCs w:val="20"/>
          <w:u w:val="none"/>
        </w:rPr>
        <w:t>empreendimentos</w:t>
      </w:r>
      <w:proofErr w:type="spellEnd"/>
      <w:r>
        <w:rPr>
          <w:rStyle w:val="Hyperlink"/>
          <w:rFonts w:ascii="Arial" w:eastAsia="Arial" w:hAnsi="Arial" w:cs="Arial"/>
          <w:color w:val="000000"/>
          <w:sz w:val="20"/>
          <w:szCs w:val="20"/>
          <w:u w:val="none"/>
        </w:rPr>
        <w:t xml:space="preserve"> com impactos ambientais. Não aplicação das normas questionadas em relação às licenças ambientais. 4. Ação direta conhecida quanto ao disposto no art. 6º-A e inc. III do art. 11-A da Lei n. 14.195/2021, decorrentes da conversão, respectivamente, do art. 6º e inc. II do art. 11 da </w:t>
      </w:r>
      <w:r>
        <w:rPr>
          <w:rStyle w:val="Hyperlink"/>
          <w:rFonts w:ascii="Arial" w:eastAsia="Arial" w:hAnsi="Arial" w:cs="Arial"/>
          <w:color w:val="000000"/>
          <w:sz w:val="20"/>
          <w:szCs w:val="20"/>
          <w:u w:val="none"/>
        </w:rPr>
        <w:lastRenderedPageBreak/>
        <w:t>Medida Provisória n. 1.040/2021. Julgamento de mérito. Parcial procedência do pedido do pedido para dar interpretação conforme à Constituição ao art. 6º-A e ao inc. III do art. 11-A da Lei n. 14.195/2021 no sentido de excluir a aplicação desses dispositivos às licenças em matéria ambiental.</w:t>
      </w:r>
    </w:p>
    <w:p w14:paraId="4BFC751D" w14:textId="77777777" w:rsidR="00674104" w:rsidRDefault="00674104">
      <w:pPr>
        <w:spacing w:line="276" w:lineRule="auto"/>
        <w:jc w:val="both"/>
        <w:rPr>
          <w:rFonts w:ascii="Arial" w:eastAsia="Arial" w:hAnsi="Arial" w:cs="Arial"/>
          <w:color w:val="000000"/>
        </w:rPr>
      </w:pPr>
    </w:p>
    <w:p w14:paraId="2F25BC84" w14:textId="77777777" w:rsidR="00674104" w:rsidRDefault="00000000">
      <w:pPr>
        <w:spacing w:line="276" w:lineRule="auto"/>
        <w:jc w:val="both"/>
        <w:rPr>
          <w:rFonts w:ascii="Arial" w:eastAsia="Arial" w:hAnsi="Arial" w:cs="Arial"/>
          <w:color w:val="000000"/>
        </w:rPr>
      </w:pPr>
      <w:r>
        <w:rPr>
          <w:rStyle w:val="Hyperlink"/>
          <w:rFonts w:ascii="Arial" w:eastAsia="Arial" w:hAnsi="Arial" w:cs="Arial"/>
          <w:color w:val="000000"/>
          <w:sz w:val="20"/>
          <w:szCs w:val="20"/>
          <w:u w:val="none"/>
        </w:rPr>
        <w:t>(ADI 6808, Relator(a): CÁRMEN LÚCIA, Tribunal Pleno, julgado em 28/04/2022, PROCESSO ELETRÔNICO DJe-</w:t>
      </w:r>
      <w:proofErr w:type="gramStart"/>
      <w:r>
        <w:rPr>
          <w:rStyle w:val="Hyperlink"/>
          <w:rFonts w:ascii="Arial" w:eastAsia="Arial" w:hAnsi="Arial" w:cs="Arial"/>
          <w:color w:val="000000"/>
          <w:sz w:val="20"/>
          <w:szCs w:val="20"/>
          <w:u w:val="none"/>
        </w:rPr>
        <w:t>139  DIVULG</w:t>
      </w:r>
      <w:proofErr w:type="gramEnd"/>
      <w:r>
        <w:rPr>
          <w:rStyle w:val="Hyperlink"/>
          <w:rFonts w:ascii="Arial" w:eastAsia="Arial" w:hAnsi="Arial" w:cs="Arial"/>
          <w:color w:val="000000"/>
          <w:sz w:val="20"/>
          <w:szCs w:val="20"/>
          <w:u w:val="none"/>
        </w:rPr>
        <w:t xml:space="preserve"> 13-07-2022  PUBLIC 14-07-2022).</w:t>
      </w:r>
    </w:p>
    <w:p w14:paraId="55BDEBC5" w14:textId="77777777" w:rsidR="00674104" w:rsidRDefault="00674104">
      <w:pPr>
        <w:spacing w:line="276" w:lineRule="auto"/>
        <w:rPr>
          <w:rFonts w:ascii="Arial" w:eastAsia="Arial" w:hAnsi="Arial" w:cs="Arial"/>
          <w:color w:val="000000"/>
          <w:sz w:val="20"/>
          <w:szCs w:val="20"/>
        </w:rPr>
      </w:pPr>
    </w:p>
    <w:p w14:paraId="720AB9E8" w14:textId="77777777" w:rsidR="00674104" w:rsidRDefault="00000000">
      <w:pPr>
        <w:shd w:val="clear" w:color="EEECE1" w:themeColor="background2" w:fill="EEECE1" w:themeFill="background2"/>
        <w:spacing w:line="276" w:lineRule="auto"/>
        <w:jc w:val="center"/>
        <w:rPr>
          <w:rFonts w:ascii="Arial" w:eastAsia="Arial" w:hAnsi="Arial" w:cs="Arial"/>
          <w:b/>
          <w:sz w:val="20"/>
        </w:rPr>
      </w:pPr>
      <w:r>
        <w:rPr>
          <w:rFonts w:ascii="Arial" w:eastAsia="Arial" w:hAnsi="Arial" w:cs="Arial"/>
          <w:b/>
          <w:sz w:val="20"/>
          <w:szCs w:val="20"/>
        </w:rPr>
        <w:t>SUPERIOR TRIBUNAL DE JUSTIÇA</w:t>
      </w:r>
    </w:p>
    <w:p w14:paraId="208AF537" w14:textId="77777777" w:rsidR="00674104" w:rsidRDefault="00674104">
      <w:pPr>
        <w:pStyle w:val="TCU-Ac-item9-"/>
        <w:spacing w:line="276" w:lineRule="auto"/>
        <w:ind w:firstLine="0"/>
        <w:rPr>
          <w:rFonts w:ascii="Arial" w:eastAsia="Arial" w:hAnsi="Arial" w:cs="Arial"/>
          <w:b/>
          <w:bCs/>
          <w:color w:val="000000"/>
          <w:sz w:val="20"/>
          <w:szCs w:val="20"/>
        </w:rPr>
      </w:pPr>
    </w:p>
    <w:p w14:paraId="0DEE033E" w14:textId="77777777" w:rsidR="00674104" w:rsidRDefault="00000000">
      <w:pPr>
        <w:pStyle w:val="Default"/>
        <w:spacing w:line="276" w:lineRule="auto"/>
        <w:jc w:val="both"/>
        <w:rPr>
          <w:rFonts w:eastAsia="Arial"/>
          <w:b/>
          <w:sz w:val="20"/>
          <w:szCs w:val="20"/>
        </w:rPr>
      </w:pPr>
      <w:r>
        <w:rPr>
          <w:rFonts w:eastAsia="Arial"/>
          <w:b/>
          <w:sz w:val="20"/>
          <w:szCs w:val="20"/>
        </w:rPr>
        <w:t>6. Processual Civil. Administrativo. Agravo em recurso especial. Ambiental. Ação civil pública. Ilegitimidade passiva. Município. Obrigações de fazer. Omissão fiscalizatória. Canil particular clandestino. Maus-tratos aos animais e contaminação do solo. Ciência por mais de uma década. Inação. Dimensão ecológica da dignidade humana. Competência comum. Federalismo cooperativo ambiental. Separação de poderes. Argumento constitucional. Recurso especial. Descabimento. Ausência de prequestionamento. Multa cominatória. Dispositivo legal não indicado. Inépcia recursal.</w:t>
      </w:r>
    </w:p>
    <w:p w14:paraId="7EFF2734" w14:textId="77777777" w:rsidR="00674104" w:rsidRDefault="00674104">
      <w:pPr>
        <w:pStyle w:val="Default"/>
        <w:spacing w:line="276" w:lineRule="auto"/>
        <w:jc w:val="both"/>
        <w:rPr>
          <w:rFonts w:eastAsia="Arial"/>
          <w:b/>
          <w:sz w:val="20"/>
          <w:szCs w:val="20"/>
        </w:rPr>
      </w:pPr>
    </w:p>
    <w:p w14:paraId="1D8FF340" w14:textId="77777777" w:rsidR="00674104" w:rsidRDefault="00000000">
      <w:pPr>
        <w:pStyle w:val="Default"/>
        <w:spacing w:line="276" w:lineRule="auto"/>
        <w:jc w:val="both"/>
        <w:rPr>
          <w:rFonts w:eastAsia="Arial"/>
          <w:sz w:val="20"/>
          <w:szCs w:val="20"/>
        </w:rPr>
      </w:pPr>
      <w:r>
        <w:rPr>
          <w:rFonts w:eastAsia="Arial"/>
          <w:sz w:val="20"/>
          <w:szCs w:val="20"/>
        </w:rPr>
        <w:t xml:space="preserve">1. Descabe a análise, em recurso especial, de pretensão fundada diretamente em dispositivo constitucional. Ademais, a matéria carece de prequestionamento. Hipótese das Súmulas n. 284/STF (É inadmissível o recurso extraordinário, quando a deficiência na sua fundamentação não permitir a exata compreensão da controvérsia) e 356/STF (O ponto omisso da decisão, sobre o qual não foram opostos embargos declaratórios, não pode ser objeto de recurso extraordinário, por faltar o requisito do prequestionamento). </w:t>
      </w:r>
    </w:p>
    <w:p w14:paraId="36738D61" w14:textId="77777777" w:rsidR="00674104" w:rsidRDefault="00674104">
      <w:pPr>
        <w:pStyle w:val="Default"/>
        <w:spacing w:line="276" w:lineRule="auto"/>
        <w:jc w:val="both"/>
        <w:rPr>
          <w:rFonts w:eastAsia="Arial"/>
          <w:sz w:val="20"/>
          <w:szCs w:val="20"/>
        </w:rPr>
      </w:pPr>
    </w:p>
    <w:p w14:paraId="0A03A5BF" w14:textId="77777777" w:rsidR="00674104" w:rsidRDefault="00000000">
      <w:pPr>
        <w:pStyle w:val="Default"/>
        <w:spacing w:line="276" w:lineRule="auto"/>
        <w:jc w:val="both"/>
        <w:rPr>
          <w:rFonts w:eastAsia="Arial"/>
          <w:sz w:val="20"/>
          <w:szCs w:val="20"/>
        </w:rPr>
      </w:pPr>
      <w:r>
        <w:rPr>
          <w:rFonts w:eastAsia="Arial"/>
          <w:sz w:val="20"/>
          <w:szCs w:val="20"/>
        </w:rPr>
        <w:t>2. No que tange à multa cominatória, a falta de indicação do dispositivo de lei federal apto a sustentar a tese recursal inviabiliza seu conhecimento, nos termos da Súmula n. 284/STF (É inadmissível o recurso extraordinário, quando a deficiência na sua fundamentação não permitir a exata compreensão da controvérsia).</w:t>
      </w:r>
    </w:p>
    <w:p w14:paraId="48FA4C41" w14:textId="77777777" w:rsidR="00674104" w:rsidRDefault="00674104">
      <w:pPr>
        <w:pStyle w:val="Default"/>
        <w:spacing w:line="276" w:lineRule="auto"/>
        <w:jc w:val="both"/>
        <w:rPr>
          <w:rFonts w:eastAsia="Arial"/>
          <w:sz w:val="20"/>
          <w:szCs w:val="20"/>
        </w:rPr>
      </w:pPr>
    </w:p>
    <w:p w14:paraId="454C3879" w14:textId="77777777" w:rsidR="00674104" w:rsidRDefault="00000000">
      <w:pPr>
        <w:pStyle w:val="Default"/>
        <w:spacing w:line="276" w:lineRule="auto"/>
        <w:jc w:val="both"/>
        <w:rPr>
          <w:rFonts w:eastAsia="Arial"/>
          <w:sz w:val="20"/>
          <w:szCs w:val="20"/>
        </w:rPr>
      </w:pPr>
      <w:r>
        <w:rPr>
          <w:rFonts w:eastAsia="Arial"/>
          <w:sz w:val="20"/>
          <w:szCs w:val="20"/>
        </w:rPr>
        <w:t xml:space="preserve">3. Hipótese fática em que a municipalidade </w:t>
      </w:r>
      <w:proofErr w:type="gramStart"/>
      <w:r>
        <w:rPr>
          <w:rFonts w:eastAsia="Arial"/>
          <w:sz w:val="20"/>
          <w:szCs w:val="20"/>
        </w:rPr>
        <w:t>omitiu-se</w:t>
      </w:r>
      <w:proofErr w:type="gramEnd"/>
      <w:r>
        <w:rPr>
          <w:rFonts w:eastAsia="Arial"/>
          <w:sz w:val="20"/>
          <w:szCs w:val="20"/>
        </w:rPr>
        <w:t xml:space="preserve"> por 13 (treze) anos na solução da existência de canil clandestino que impunha maus-tratos a mais de 100 (cem) animais, verificando-se, ainda, contaminação do solo e instalação ilícita de poço para abastecimento de água. </w:t>
      </w:r>
    </w:p>
    <w:p w14:paraId="181F5227" w14:textId="77777777" w:rsidR="00674104" w:rsidRDefault="00674104">
      <w:pPr>
        <w:pStyle w:val="Default"/>
        <w:spacing w:line="276" w:lineRule="auto"/>
        <w:jc w:val="both"/>
        <w:rPr>
          <w:rFonts w:eastAsia="Arial"/>
          <w:sz w:val="20"/>
          <w:szCs w:val="20"/>
        </w:rPr>
      </w:pPr>
    </w:p>
    <w:p w14:paraId="049F4DA1" w14:textId="77777777" w:rsidR="00674104" w:rsidRDefault="00000000">
      <w:pPr>
        <w:pStyle w:val="Default"/>
        <w:spacing w:line="276" w:lineRule="auto"/>
        <w:jc w:val="both"/>
        <w:rPr>
          <w:rFonts w:eastAsia="Arial"/>
          <w:sz w:val="20"/>
          <w:szCs w:val="20"/>
        </w:rPr>
      </w:pPr>
      <w:r>
        <w:rPr>
          <w:rFonts w:eastAsia="Arial"/>
          <w:sz w:val="20"/>
          <w:szCs w:val="20"/>
        </w:rPr>
        <w:t xml:space="preserve">4. Nos termos da jurisprudência desta Corte, a tutela ambiental é dever de todas as esferas de governo, à luz do princípio do federalismo cooperativo ambiental consolidado na Lei Complementar n. 140/2001. A omissão na fiscalização e mitigação dos danos enseja a imposição judicial de obrigações positivas para a administração a fim de solucionar o problema cuja extensão temporal e quantitativa revela afronta à dimensão ecológica da dignidade humana. </w:t>
      </w:r>
    </w:p>
    <w:p w14:paraId="6E71DA73" w14:textId="77777777" w:rsidR="00674104" w:rsidRDefault="00674104">
      <w:pPr>
        <w:pStyle w:val="Default"/>
        <w:spacing w:line="276" w:lineRule="auto"/>
        <w:jc w:val="both"/>
        <w:rPr>
          <w:rFonts w:eastAsia="Arial"/>
          <w:sz w:val="20"/>
          <w:szCs w:val="20"/>
        </w:rPr>
      </w:pPr>
    </w:p>
    <w:p w14:paraId="20D65A20" w14:textId="77777777" w:rsidR="00674104" w:rsidRDefault="00000000">
      <w:pPr>
        <w:pStyle w:val="Default"/>
        <w:spacing w:line="276" w:lineRule="auto"/>
        <w:jc w:val="both"/>
        <w:rPr>
          <w:rFonts w:eastAsia="Arial"/>
          <w:sz w:val="20"/>
          <w:szCs w:val="20"/>
        </w:rPr>
      </w:pPr>
      <w:r>
        <w:rPr>
          <w:rFonts w:eastAsia="Arial"/>
          <w:sz w:val="20"/>
          <w:szCs w:val="20"/>
        </w:rPr>
        <w:t>5. Agravo conhecido para conhecer em parte do recurso especial e, nessa extensão, negar-lhe provimento.</w:t>
      </w:r>
    </w:p>
    <w:p w14:paraId="5A4C4A46" w14:textId="77777777" w:rsidR="00674104" w:rsidRDefault="00674104">
      <w:pPr>
        <w:pStyle w:val="Default"/>
        <w:spacing w:line="276" w:lineRule="auto"/>
        <w:jc w:val="both"/>
        <w:rPr>
          <w:rFonts w:eastAsia="Arial"/>
          <w:b/>
          <w:sz w:val="20"/>
          <w:szCs w:val="20"/>
        </w:rPr>
      </w:pPr>
    </w:p>
    <w:p w14:paraId="3BCA58AA" w14:textId="77777777" w:rsidR="00674104" w:rsidRDefault="00000000">
      <w:pPr>
        <w:pStyle w:val="Default"/>
        <w:spacing w:line="276" w:lineRule="auto"/>
        <w:jc w:val="both"/>
        <w:rPr>
          <w:rFonts w:eastAsia="Arial"/>
          <w:sz w:val="20"/>
          <w:szCs w:val="20"/>
        </w:rPr>
      </w:pPr>
      <w:r>
        <w:rPr>
          <w:rFonts w:eastAsia="Arial"/>
          <w:sz w:val="20"/>
          <w:szCs w:val="20"/>
        </w:rPr>
        <w:lastRenderedPageBreak/>
        <w:t xml:space="preserve">STJ. Processo </w:t>
      </w:r>
      <w:proofErr w:type="spellStart"/>
      <w:r>
        <w:rPr>
          <w:rFonts w:eastAsia="Arial"/>
          <w:sz w:val="20"/>
          <w:szCs w:val="20"/>
        </w:rPr>
        <w:t>AREsp</w:t>
      </w:r>
      <w:proofErr w:type="spellEnd"/>
      <w:r>
        <w:rPr>
          <w:rFonts w:eastAsia="Arial"/>
          <w:sz w:val="20"/>
          <w:szCs w:val="20"/>
        </w:rPr>
        <w:t xml:space="preserve"> 2024982 / SP AGRAVO EM RECURSO ESPECIAL. Relator Ministro OG </w:t>
      </w:r>
      <w:proofErr w:type="gramStart"/>
      <w:r>
        <w:rPr>
          <w:rFonts w:eastAsia="Arial"/>
          <w:sz w:val="20"/>
          <w:szCs w:val="20"/>
        </w:rPr>
        <w:t>FERNANDES .</w:t>
      </w:r>
      <w:proofErr w:type="gramEnd"/>
      <w:r>
        <w:rPr>
          <w:rFonts w:eastAsia="Arial"/>
          <w:sz w:val="20"/>
          <w:szCs w:val="20"/>
        </w:rPr>
        <w:t xml:space="preserve"> </w:t>
      </w:r>
      <w:proofErr w:type="spellStart"/>
      <w:r>
        <w:rPr>
          <w:rFonts w:eastAsia="Arial"/>
          <w:sz w:val="20"/>
          <w:szCs w:val="20"/>
        </w:rPr>
        <w:t>DJe</w:t>
      </w:r>
      <w:proofErr w:type="spellEnd"/>
      <w:r>
        <w:rPr>
          <w:rFonts w:eastAsia="Arial"/>
          <w:sz w:val="20"/>
          <w:szCs w:val="20"/>
        </w:rPr>
        <w:t xml:space="preserve"> 24/06/2022.</w:t>
      </w:r>
    </w:p>
    <w:p w14:paraId="5CB8478D" w14:textId="77777777" w:rsidR="00674104" w:rsidRDefault="00674104">
      <w:pPr>
        <w:pStyle w:val="Default"/>
        <w:spacing w:line="276" w:lineRule="auto"/>
        <w:jc w:val="both"/>
        <w:rPr>
          <w:b/>
          <w:sz w:val="20"/>
          <w:szCs w:val="20"/>
        </w:rPr>
      </w:pPr>
    </w:p>
    <w:p w14:paraId="249DC53D" w14:textId="77777777" w:rsidR="00674104" w:rsidRDefault="00000000">
      <w:pPr>
        <w:pStyle w:val="Default"/>
        <w:spacing w:line="276" w:lineRule="auto"/>
        <w:jc w:val="both"/>
        <w:rPr>
          <w:b/>
          <w:sz w:val="20"/>
          <w:szCs w:val="20"/>
        </w:rPr>
      </w:pPr>
      <w:r>
        <w:rPr>
          <w:b/>
          <w:sz w:val="20"/>
          <w:szCs w:val="20"/>
        </w:rPr>
        <w:t xml:space="preserve">Acesse também: </w:t>
      </w:r>
    </w:p>
    <w:p w14:paraId="53A486E8" w14:textId="77777777" w:rsidR="00674104" w:rsidRDefault="00674104">
      <w:pPr>
        <w:pStyle w:val="Default"/>
        <w:spacing w:line="276" w:lineRule="auto"/>
        <w:jc w:val="both"/>
        <w:rPr>
          <w:b/>
          <w:sz w:val="20"/>
          <w:szCs w:val="20"/>
        </w:rPr>
      </w:pPr>
    </w:p>
    <w:p w14:paraId="69D852A3" w14:textId="77777777" w:rsidR="00674104" w:rsidRDefault="00000000">
      <w:pPr>
        <w:pStyle w:val="Default"/>
        <w:spacing w:line="276" w:lineRule="auto"/>
        <w:jc w:val="center"/>
        <w:rPr>
          <w:rStyle w:val="Hyperlink"/>
          <w:sz w:val="20"/>
          <w:szCs w:val="20"/>
        </w:rPr>
      </w:pPr>
      <w:hyperlink r:id="rId11" w:tooltip="http://www1.tce.pr.gov.br/conteudo/pesquisas-prontas/308475/area/249" w:history="1">
        <w:r>
          <w:rPr>
            <w:rStyle w:val="Hyperlink"/>
            <w:b/>
            <w:sz w:val="20"/>
            <w:szCs w:val="20"/>
          </w:rPr>
          <w:t>Pesquisas Prontas</w:t>
        </w:r>
      </w:hyperlink>
    </w:p>
    <w:p w14:paraId="2AE727AF" w14:textId="77777777" w:rsidR="00674104" w:rsidRDefault="00674104">
      <w:pPr>
        <w:pStyle w:val="Default"/>
        <w:spacing w:line="276" w:lineRule="auto"/>
        <w:jc w:val="center"/>
        <w:rPr>
          <w:rStyle w:val="Hyperlink"/>
          <w:b/>
          <w:sz w:val="20"/>
          <w:szCs w:val="20"/>
        </w:rPr>
      </w:pPr>
    </w:p>
    <w:p w14:paraId="00EA30B5" w14:textId="77777777" w:rsidR="00674104" w:rsidRDefault="00000000">
      <w:pPr>
        <w:pStyle w:val="Default"/>
        <w:spacing w:line="276" w:lineRule="auto"/>
        <w:jc w:val="center"/>
        <w:rPr>
          <w:rStyle w:val="Hyperlink"/>
          <w:b/>
          <w:sz w:val="20"/>
          <w:szCs w:val="20"/>
        </w:rPr>
      </w:pPr>
      <w:hyperlink r:id="rId12" w:tooltip="http://www1.tce.pr.gov.br/conteudo/boletim-informativo-de-jurisprudencia/280400/area/249" w:history="1">
        <w:r>
          <w:rPr>
            <w:rStyle w:val="Hyperlink"/>
            <w:b/>
            <w:sz w:val="20"/>
            <w:szCs w:val="20"/>
          </w:rPr>
          <w:t>Boletim Informativo de Jurisprudência</w:t>
        </w:r>
      </w:hyperlink>
    </w:p>
    <w:p w14:paraId="335B31D9" w14:textId="77777777" w:rsidR="00674104" w:rsidRDefault="00674104">
      <w:pPr>
        <w:pStyle w:val="Default"/>
        <w:spacing w:line="276" w:lineRule="auto"/>
        <w:jc w:val="center"/>
        <w:rPr>
          <w:rStyle w:val="Hyperlink"/>
          <w:b/>
          <w:sz w:val="20"/>
          <w:szCs w:val="20"/>
        </w:rPr>
      </w:pPr>
    </w:p>
    <w:p w14:paraId="4C941E1C" w14:textId="77777777" w:rsidR="00674104" w:rsidRDefault="00000000">
      <w:pPr>
        <w:pStyle w:val="Default"/>
        <w:spacing w:line="276" w:lineRule="auto"/>
        <w:jc w:val="center"/>
        <w:rPr>
          <w:sz w:val="20"/>
          <w:szCs w:val="20"/>
        </w:rPr>
      </w:pPr>
      <w:hyperlink r:id="rId13" w:tooltip="http://www1.tce.pr.gov.br/conteudo/boletim-de-jurisprudencia-internacional/316601/area/249" w:history="1">
        <w:proofErr w:type="spellStart"/>
        <w:r>
          <w:rPr>
            <w:rStyle w:val="Hyperlink"/>
            <w:b/>
            <w:sz w:val="20"/>
            <w:szCs w:val="20"/>
          </w:rPr>
          <w:t>Interjuris</w:t>
        </w:r>
        <w:proofErr w:type="spellEnd"/>
      </w:hyperlink>
    </w:p>
    <w:p w14:paraId="6953FA10" w14:textId="77777777" w:rsidR="00674104" w:rsidRDefault="00674104">
      <w:pPr>
        <w:pStyle w:val="Default"/>
        <w:spacing w:line="276" w:lineRule="auto"/>
        <w:jc w:val="center"/>
        <w:rPr>
          <w:sz w:val="20"/>
          <w:szCs w:val="20"/>
        </w:rPr>
      </w:pPr>
    </w:p>
    <w:p w14:paraId="55AD30E5" w14:textId="77777777" w:rsidR="00674104" w:rsidRDefault="00000000">
      <w:pPr>
        <w:pStyle w:val="Default"/>
        <w:spacing w:line="276" w:lineRule="auto"/>
        <w:jc w:val="center"/>
        <w:rPr>
          <w:rStyle w:val="Hyperlink"/>
          <w:b/>
          <w:sz w:val="20"/>
          <w:szCs w:val="20"/>
        </w:rPr>
      </w:pPr>
      <w:hyperlink r:id="rId14" w:tooltip="http://www1.tce.pr.gov.br/conteudo/repercussao-geral-no-stf-e-os-tribunais-de-contas/307026/area/249" w:history="1">
        <w:r>
          <w:rPr>
            <w:rStyle w:val="Hyperlink"/>
            <w:b/>
            <w:sz w:val="20"/>
            <w:szCs w:val="20"/>
          </w:rPr>
          <w:t>Repercussão Geral do Supremo Tribunal Federal - STF e os Tribunais de Contas</w:t>
        </w:r>
      </w:hyperlink>
    </w:p>
    <w:p w14:paraId="7039AF69" w14:textId="77777777" w:rsidR="00674104" w:rsidRDefault="00674104">
      <w:pPr>
        <w:pStyle w:val="Default"/>
        <w:spacing w:line="276" w:lineRule="auto"/>
        <w:jc w:val="center"/>
        <w:rPr>
          <w:rStyle w:val="Hyperlink"/>
          <w:b/>
          <w:sz w:val="20"/>
          <w:szCs w:val="20"/>
        </w:rPr>
      </w:pPr>
    </w:p>
    <w:p w14:paraId="700B3066" w14:textId="77777777" w:rsidR="00674104" w:rsidRDefault="00000000">
      <w:pPr>
        <w:pStyle w:val="Default"/>
        <w:spacing w:line="276" w:lineRule="auto"/>
        <w:jc w:val="center"/>
        <w:rPr>
          <w:rStyle w:val="Hyperlink"/>
          <w:b/>
          <w:sz w:val="20"/>
          <w:szCs w:val="20"/>
        </w:rPr>
      </w:pPr>
      <w:hyperlink r:id="rId15" w:tooltip="http://www1.tce.pr.gov.br/conteudo/sumulas-selecionadas/316602/area/249" w:history="1">
        <w:r>
          <w:rPr>
            <w:rStyle w:val="Hyperlink"/>
            <w:b/>
            <w:sz w:val="20"/>
            <w:szCs w:val="20"/>
          </w:rPr>
          <w:t>Súmulas Selecionadas</w:t>
        </w:r>
      </w:hyperlink>
    </w:p>
    <w:p w14:paraId="784CB090" w14:textId="77777777" w:rsidR="00674104" w:rsidRDefault="00000000">
      <w:pPr>
        <w:pStyle w:val="TCU-Epgrafe"/>
        <w:spacing w:line="276" w:lineRule="auto"/>
        <w:ind w:left="0"/>
        <w:rPr>
          <w:rFonts w:ascii="Arial" w:hAnsi="Arial" w:cs="Arial"/>
          <w:sz w:val="20"/>
        </w:rPr>
      </w:pPr>
      <w:r>
        <w:rPr>
          <w:rFonts w:ascii="Arial" w:hAnsi="Arial" w:cs="Arial"/>
          <w:noProof/>
          <w:sz w:val="20"/>
        </w:rPr>
        <mc:AlternateContent>
          <mc:Choice Requires="wpg">
            <w:drawing>
              <wp:anchor distT="0" distB="0" distL="114300" distR="114300" simplePos="0" relativeHeight="251664896" behindDoc="0" locked="0" layoutInCell="1" allowOverlap="1" wp14:anchorId="7CE88545" wp14:editId="7F4D9BD4">
                <wp:simplePos x="0" y="0"/>
                <wp:positionH relativeFrom="margin">
                  <wp:posOffset>-18205</wp:posOffset>
                </wp:positionH>
                <wp:positionV relativeFrom="paragraph">
                  <wp:posOffset>117229</wp:posOffset>
                </wp:positionV>
                <wp:extent cx="5518150" cy="0"/>
                <wp:effectExtent l="0" t="0" r="25400" b="57150"/>
                <wp:wrapNone/>
                <wp:docPr id="5" name="Conector reto 59"/>
                <wp:cNvGraphicFramePr/>
                <a:graphic xmlns:a="http://schemas.openxmlformats.org/drawingml/2006/main">
                  <a:graphicData uri="http://schemas.microsoft.com/office/word/2010/wordprocessingShape">
                    <wps:wsp>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4" o:spid="_x0000_s4" o:spt="20" style="position:absolute;mso-wrap-distance-left:9.0pt;mso-wrap-distance-top:0.0pt;mso-wrap-distance-right:9.0pt;mso-wrap-distance-bottom:0.0pt;z-index:251664896;o:allowoverlap:true;o:allowincell:true;mso-position-horizontal-relative:margin;margin-left:-1.4pt;mso-position-horizontal:absolute;mso-position-vertical-relative:text;margin-top:9.2pt;mso-position-vertical:absolute;width:434.5pt;height:0.0pt;" coordsize="100000,100000" path="" filled="f" strokecolor="#000000" strokeweight="2.00pt">
                <v:path textboxrect="0,0,0,0"/>
              </v:shape>
            </w:pict>
          </mc:Fallback>
        </mc:AlternateContent>
      </w:r>
    </w:p>
    <w:p w14:paraId="311E79BA" w14:textId="77777777" w:rsidR="00674104" w:rsidRDefault="00674104">
      <w:pPr>
        <w:jc w:val="center"/>
        <w:rPr>
          <w:rStyle w:val="Hyperlink"/>
          <w:rFonts w:ascii="Arial" w:hAnsi="Arial" w:cs="Arial"/>
          <w:i/>
          <w:color w:val="000000"/>
          <w:sz w:val="20"/>
          <w:szCs w:val="20"/>
          <w:u w:val="none"/>
        </w:rPr>
      </w:pPr>
    </w:p>
    <w:p w14:paraId="7930A052" w14:textId="77777777" w:rsidR="00674104" w:rsidRDefault="00000000">
      <w:pPr>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sectPr w:rsidR="00674104">
      <w:headerReference w:type="default" r:id="rId16"/>
      <w:footerReference w:type="defaul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483D2" w14:textId="77777777" w:rsidR="006F25DF" w:rsidRDefault="006F25DF">
      <w:r>
        <w:separator/>
      </w:r>
    </w:p>
  </w:endnote>
  <w:endnote w:type="continuationSeparator" w:id="0">
    <w:p w14:paraId="78632C89" w14:textId="77777777" w:rsidR="006F25DF" w:rsidRDefault="006F2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Bold">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auto"/>
    <w:pitch w:val="default"/>
  </w:font>
  <w:font w:name="Arial Narrow">
    <w:panose1 w:val="020B060602020203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8AD4" w14:textId="77777777" w:rsidR="00674104" w:rsidRDefault="00000000">
    <w:pPr>
      <w:pStyle w:val="Rodap"/>
      <w:jc w:val="center"/>
      <w:rPr>
        <w:sz w:val="16"/>
        <w:szCs w:val="16"/>
      </w:rPr>
    </w:pPr>
    <w:r>
      <w:rPr>
        <w:noProof/>
        <w:lang w:eastAsia="pt-BR"/>
      </w:rPr>
      <mc:AlternateContent>
        <mc:Choice Requires="wpg">
          <w:drawing>
            <wp:inline distT="0" distB="0" distL="0" distR="0" wp14:anchorId="330BC690" wp14:editId="65CD5D46">
              <wp:extent cx="463138" cy="231569"/>
              <wp:effectExtent l="0" t="0" r="0" b="0"/>
              <wp:docPr id="3"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pic:cNvPicPr>
                    </pic:nvPicPr>
                    <pic:blipFill>
                      <a:blip r:embed="rId1"/>
                      <a:stretch/>
                    </pic:blipFill>
                    <pic:spPr bwMode="auto">
                      <a:xfrm>
                        <a:off x="0" y="0"/>
                        <a:ext cx="467873" cy="233936"/>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36.5pt;height:18.2pt;" stroked="f">
              <v:path textboxrect="0,0,0,0"/>
              <v:imagedata r:id="rId2" o:title=""/>
            </v:shape>
          </w:pict>
        </mc:Fallback>
      </mc:AlternateContent>
    </w:r>
  </w:p>
  <w:p w14:paraId="6C70E0EC" w14:textId="77777777" w:rsidR="00674104" w:rsidRDefault="00000000">
    <w:pPr>
      <w:pStyle w:val="Rodap"/>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sz w:val="16"/>
        <w:szCs w:val="16"/>
      </w:rPr>
      <w:t>2</w:t>
    </w:r>
    <w:r>
      <w:rPr>
        <w:sz w:val="16"/>
        <w:szCs w:val="16"/>
      </w:rPr>
      <w:fldChar w:fldCharType="end"/>
    </w:r>
  </w:p>
  <w:p w14:paraId="4171ABF4" w14:textId="77777777" w:rsidR="00674104" w:rsidRDefault="00674104"/>
  <w:p w14:paraId="40DE90F9" w14:textId="77777777" w:rsidR="00674104" w:rsidRDefault="00674104"/>
  <w:p w14:paraId="356C786C" w14:textId="77777777" w:rsidR="00674104" w:rsidRDefault="00674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47B04" w14:textId="77777777" w:rsidR="006F25DF" w:rsidRDefault="006F25DF">
      <w:r>
        <w:separator/>
      </w:r>
    </w:p>
  </w:footnote>
  <w:footnote w:type="continuationSeparator" w:id="0">
    <w:p w14:paraId="2EA2E31E" w14:textId="77777777" w:rsidR="006F25DF" w:rsidRDefault="006F2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1B873" w14:textId="77777777" w:rsidR="00674104" w:rsidRDefault="00674104">
    <w:pPr>
      <w:pStyle w:val="Cabealho"/>
      <w:spacing w:after="100" w:afterAutospacing="1"/>
      <w:jc w:val="center"/>
      <w:rPr>
        <w:b/>
      </w:rPr>
    </w:pPr>
  </w:p>
  <w:p w14:paraId="29BE05AC" w14:textId="77777777" w:rsidR="00674104" w:rsidRDefault="00000000">
    <w:pPr>
      <w:pStyle w:val="Cabealho"/>
      <w:spacing w:after="100" w:afterAutospacing="1"/>
      <w:jc w:val="center"/>
      <w:rPr>
        <w:b/>
      </w:rPr>
    </w:pPr>
    <w:r>
      <w:rPr>
        <w:noProof/>
        <w:lang w:eastAsia="pt-BR"/>
      </w:rPr>
      <mc:AlternateContent>
        <mc:Choice Requires="wpg">
          <w:drawing>
            <wp:inline distT="0" distB="0" distL="0" distR="0" wp14:anchorId="2B072A04" wp14:editId="4CE3B285">
              <wp:extent cx="4073236" cy="872837"/>
              <wp:effectExtent l="0" t="0" r="3810" b="3810"/>
              <wp:docPr id="1"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pic:cNvPicPr>
                    </pic:nvPicPr>
                    <pic:blipFill>
                      <a:blip r:embed="rId1"/>
                      <a:stretch/>
                    </pic:blipFill>
                    <pic:spPr bwMode="auto">
                      <a:xfrm>
                        <a:off x="0" y="0"/>
                        <a:ext cx="4071668" cy="872501"/>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320.7pt;height:68.7pt;" stroked="f">
              <v:path textboxrect="0,0,0,0"/>
              <v:imagedata r:id="rId2" o:title=""/>
            </v:shape>
          </w:pict>
        </mc:Fallback>
      </mc:AlternateContent>
    </w:r>
    <w:r>
      <w:rPr>
        <w:noProof/>
        <w:lang w:eastAsia="pt-BR"/>
      </w:rPr>
      <mc:AlternateContent>
        <mc:Choice Requires="wpg">
          <w:drawing>
            <wp:inline distT="0" distB="0" distL="0" distR="0" wp14:anchorId="564474B4" wp14:editId="1B3DF5CF">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3"/>
                      <a:stretch/>
                    </pic:blipFill>
                    <pic:spPr bwMode="auto">
                      <a:xfrm>
                        <a:off x="0" y="0"/>
                        <a:ext cx="1245870" cy="77978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98.1pt;height:61.4pt;" stroked="f">
              <v:path textboxrect="0,0,0,0"/>
              <v:imagedata r:id="rId4"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46968"/>
    <w:multiLevelType w:val="hybridMultilevel"/>
    <w:tmpl w:val="0EF63AE0"/>
    <w:lvl w:ilvl="0" w:tplc="FBAC7E20">
      <w:start w:val="1"/>
      <w:numFmt w:val="bullet"/>
      <w:lvlText w:val=""/>
      <w:lvlJc w:val="left"/>
      <w:pPr>
        <w:tabs>
          <w:tab w:val="num" w:pos="720"/>
        </w:tabs>
        <w:ind w:left="720" w:hanging="360"/>
      </w:pPr>
      <w:rPr>
        <w:rFonts w:ascii="Symbol" w:hAnsi="Symbol" w:hint="default"/>
        <w:sz w:val="20"/>
      </w:rPr>
    </w:lvl>
    <w:lvl w:ilvl="1" w:tplc="36EEA2B2">
      <w:start w:val="1"/>
      <w:numFmt w:val="bullet"/>
      <w:lvlText w:val="o"/>
      <w:lvlJc w:val="left"/>
      <w:pPr>
        <w:tabs>
          <w:tab w:val="num" w:pos="1440"/>
        </w:tabs>
        <w:ind w:left="1440" w:hanging="360"/>
      </w:pPr>
      <w:rPr>
        <w:rFonts w:ascii="Courier New" w:hAnsi="Courier New" w:hint="default"/>
        <w:sz w:val="20"/>
      </w:rPr>
    </w:lvl>
    <w:lvl w:ilvl="2" w:tplc="08260E54">
      <w:start w:val="1"/>
      <w:numFmt w:val="bullet"/>
      <w:lvlText w:val=""/>
      <w:lvlJc w:val="left"/>
      <w:pPr>
        <w:tabs>
          <w:tab w:val="num" w:pos="2160"/>
        </w:tabs>
        <w:ind w:left="2160" w:hanging="360"/>
      </w:pPr>
      <w:rPr>
        <w:rFonts w:ascii="Wingdings" w:hAnsi="Wingdings" w:hint="default"/>
        <w:sz w:val="20"/>
      </w:rPr>
    </w:lvl>
    <w:lvl w:ilvl="3" w:tplc="22464EFC">
      <w:start w:val="1"/>
      <w:numFmt w:val="bullet"/>
      <w:lvlText w:val=""/>
      <w:lvlJc w:val="left"/>
      <w:pPr>
        <w:tabs>
          <w:tab w:val="num" w:pos="2880"/>
        </w:tabs>
        <w:ind w:left="2880" w:hanging="360"/>
      </w:pPr>
      <w:rPr>
        <w:rFonts w:ascii="Wingdings" w:hAnsi="Wingdings" w:hint="default"/>
        <w:sz w:val="20"/>
      </w:rPr>
    </w:lvl>
    <w:lvl w:ilvl="4" w:tplc="AE0C9678">
      <w:start w:val="1"/>
      <w:numFmt w:val="bullet"/>
      <w:lvlText w:val=""/>
      <w:lvlJc w:val="left"/>
      <w:pPr>
        <w:tabs>
          <w:tab w:val="num" w:pos="3600"/>
        </w:tabs>
        <w:ind w:left="3600" w:hanging="360"/>
      </w:pPr>
      <w:rPr>
        <w:rFonts w:ascii="Wingdings" w:hAnsi="Wingdings" w:hint="default"/>
        <w:sz w:val="20"/>
      </w:rPr>
    </w:lvl>
    <w:lvl w:ilvl="5" w:tplc="26587A6C">
      <w:start w:val="1"/>
      <w:numFmt w:val="bullet"/>
      <w:lvlText w:val=""/>
      <w:lvlJc w:val="left"/>
      <w:pPr>
        <w:tabs>
          <w:tab w:val="num" w:pos="4320"/>
        </w:tabs>
        <w:ind w:left="4320" w:hanging="360"/>
      </w:pPr>
      <w:rPr>
        <w:rFonts w:ascii="Wingdings" w:hAnsi="Wingdings" w:hint="default"/>
        <w:sz w:val="20"/>
      </w:rPr>
    </w:lvl>
    <w:lvl w:ilvl="6" w:tplc="1E168210">
      <w:start w:val="1"/>
      <w:numFmt w:val="bullet"/>
      <w:lvlText w:val=""/>
      <w:lvlJc w:val="left"/>
      <w:pPr>
        <w:tabs>
          <w:tab w:val="num" w:pos="5040"/>
        </w:tabs>
        <w:ind w:left="5040" w:hanging="360"/>
      </w:pPr>
      <w:rPr>
        <w:rFonts w:ascii="Wingdings" w:hAnsi="Wingdings" w:hint="default"/>
        <w:sz w:val="20"/>
      </w:rPr>
    </w:lvl>
    <w:lvl w:ilvl="7" w:tplc="4814BA48">
      <w:start w:val="1"/>
      <w:numFmt w:val="bullet"/>
      <w:lvlText w:val=""/>
      <w:lvlJc w:val="left"/>
      <w:pPr>
        <w:tabs>
          <w:tab w:val="num" w:pos="5760"/>
        </w:tabs>
        <w:ind w:left="5760" w:hanging="360"/>
      </w:pPr>
      <w:rPr>
        <w:rFonts w:ascii="Wingdings" w:hAnsi="Wingdings" w:hint="default"/>
        <w:sz w:val="20"/>
      </w:rPr>
    </w:lvl>
    <w:lvl w:ilvl="8" w:tplc="E30AABF2">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01ADA"/>
    <w:multiLevelType w:val="hybridMultilevel"/>
    <w:tmpl w:val="8F6A80D6"/>
    <w:lvl w:ilvl="0" w:tplc="26B07AA2">
      <w:start w:val="1"/>
      <w:numFmt w:val="decimal"/>
      <w:lvlText w:val="%1."/>
      <w:lvlJc w:val="left"/>
      <w:pPr>
        <w:ind w:left="720" w:hanging="360"/>
      </w:pPr>
      <w:rPr>
        <w:rFonts w:hint="default"/>
      </w:rPr>
    </w:lvl>
    <w:lvl w:ilvl="1" w:tplc="1D50DA96">
      <w:start w:val="1"/>
      <w:numFmt w:val="lowerLetter"/>
      <w:lvlText w:val="%2."/>
      <w:lvlJc w:val="left"/>
      <w:pPr>
        <w:ind w:left="1440" w:hanging="360"/>
      </w:pPr>
    </w:lvl>
    <w:lvl w:ilvl="2" w:tplc="517A35A8">
      <w:start w:val="1"/>
      <w:numFmt w:val="lowerRoman"/>
      <w:lvlText w:val="%3."/>
      <w:lvlJc w:val="right"/>
      <w:pPr>
        <w:ind w:left="2160" w:hanging="180"/>
      </w:pPr>
    </w:lvl>
    <w:lvl w:ilvl="3" w:tplc="E8883902">
      <w:start w:val="1"/>
      <w:numFmt w:val="decimal"/>
      <w:lvlText w:val="%4."/>
      <w:lvlJc w:val="left"/>
      <w:pPr>
        <w:ind w:left="2880" w:hanging="360"/>
      </w:pPr>
    </w:lvl>
    <w:lvl w:ilvl="4" w:tplc="6894667C">
      <w:start w:val="1"/>
      <w:numFmt w:val="lowerLetter"/>
      <w:lvlText w:val="%5."/>
      <w:lvlJc w:val="left"/>
      <w:pPr>
        <w:ind w:left="3600" w:hanging="360"/>
      </w:pPr>
    </w:lvl>
    <w:lvl w:ilvl="5" w:tplc="1916B64A">
      <w:start w:val="1"/>
      <w:numFmt w:val="lowerRoman"/>
      <w:lvlText w:val="%6."/>
      <w:lvlJc w:val="right"/>
      <w:pPr>
        <w:ind w:left="4320" w:hanging="180"/>
      </w:pPr>
    </w:lvl>
    <w:lvl w:ilvl="6" w:tplc="AD5E8C72">
      <w:start w:val="1"/>
      <w:numFmt w:val="decimal"/>
      <w:lvlText w:val="%7."/>
      <w:lvlJc w:val="left"/>
      <w:pPr>
        <w:ind w:left="5040" w:hanging="360"/>
      </w:pPr>
    </w:lvl>
    <w:lvl w:ilvl="7" w:tplc="61C2AC5A">
      <w:start w:val="1"/>
      <w:numFmt w:val="lowerLetter"/>
      <w:lvlText w:val="%8."/>
      <w:lvlJc w:val="left"/>
      <w:pPr>
        <w:ind w:left="5760" w:hanging="360"/>
      </w:pPr>
    </w:lvl>
    <w:lvl w:ilvl="8" w:tplc="9DB0CF40">
      <w:start w:val="1"/>
      <w:numFmt w:val="lowerRoman"/>
      <w:lvlText w:val="%9."/>
      <w:lvlJc w:val="right"/>
      <w:pPr>
        <w:ind w:left="6480" w:hanging="180"/>
      </w:pPr>
    </w:lvl>
  </w:abstractNum>
  <w:abstractNum w:abstractNumId="2" w15:restartNumberingAfterBreak="0">
    <w:nsid w:val="168067AC"/>
    <w:multiLevelType w:val="hybridMultilevel"/>
    <w:tmpl w:val="DFDEE060"/>
    <w:lvl w:ilvl="0" w:tplc="79727112">
      <w:start w:val="1"/>
      <w:numFmt w:val="decimal"/>
      <w:lvlText w:val="%1."/>
      <w:lvlJc w:val="left"/>
      <w:pPr>
        <w:ind w:left="720" w:hanging="360"/>
      </w:pPr>
      <w:rPr>
        <w:rFonts w:hint="default"/>
      </w:rPr>
    </w:lvl>
    <w:lvl w:ilvl="1" w:tplc="55D42040">
      <w:start w:val="1"/>
      <w:numFmt w:val="lowerLetter"/>
      <w:lvlText w:val="%2."/>
      <w:lvlJc w:val="left"/>
      <w:pPr>
        <w:ind w:left="1440" w:hanging="360"/>
      </w:pPr>
    </w:lvl>
    <w:lvl w:ilvl="2" w:tplc="A6F2212A">
      <w:start w:val="1"/>
      <w:numFmt w:val="lowerRoman"/>
      <w:lvlText w:val="%3."/>
      <w:lvlJc w:val="right"/>
      <w:pPr>
        <w:ind w:left="2160" w:hanging="180"/>
      </w:pPr>
    </w:lvl>
    <w:lvl w:ilvl="3" w:tplc="A07C5F30">
      <w:start w:val="1"/>
      <w:numFmt w:val="decimal"/>
      <w:lvlText w:val="%4."/>
      <w:lvlJc w:val="left"/>
      <w:pPr>
        <w:ind w:left="2880" w:hanging="360"/>
      </w:pPr>
    </w:lvl>
    <w:lvl w:ilvl="4" w:tplc="0F5C8B8A">
      <w:start w:val="1"/>
      <w:numFmt w:val="lowerLetter"/>
      <w:lvlText w:val="%5."/>
      <w:lvlJc w:val="left"/>
      <w:pPr>
        <w:ind w:left="3600" w:hanging="360"/>
      </w:pPr>
    </w:lvl>
    <w:lvl w:ilvl="5" w:tplc="A14EB640">
      <w:start w:val="1"/>
      <w:numFmt w:val="lowerRoman"/>
      <w:lvlText w:val="%6."/>
      <w:lvlJc w:val="right"/>
      <w:pPr>
        <w:ind w:left="4320" w:hanging="180"/>
      </w:pPr>
    </w:lvl>
    <w:lvl w:ilvl="6" w:tplc="2BF4A7A8">
      <w:start w:val="1"/>
      <w:numFmt w:val="decimal"/>
      <w:lvlText w:val="%7."/>
      <w:lvlJc w:val="left"/>
      <w:pPr>
        <w:ind w:left="5040" w:hanging="360"/>
      </w:pPr>
    </w:lvl>
    <w:lvl w:ilvl="7" w:tplc="47A63586">
      <w:start w:val="1"/>
      <w:numFmt w:val="lowerLetter"/>
      <w:lvlText w:val="%8."/>
      <w:lvlJc w:val="left"/>
      <w:pPr>
        <w:ind w:left="5760" w:hanging="360"/>
      </w:pPr>
    </w:lvl>
    <w:lvl w:ilvl="8" w:tplc="B75AA7DA">
      <w:start w:val="1"/>
      <w:numFmt w:val="lowerRoman"/>
      <w:lvlText w:val="%9."/>
      <w:lvlJc w:val="right"/>
      <w:pPr>
        <w:ind w:left="6480" w:hanging="180"/>
      </w:pPr>
    </w:lvl>
  </w:abstractNum>
  <w:abstractNum w:abstractNumId="3" w15:restartNumberingAfterBreak="0">
    <w:nsid w:val="1966204D"/>
    <w:multiLevelType w:val="hybridMultilevel"/>
    <w:tmpl w:val="BEE6F99A"/>
    <w:lvl w:ilvl="0" w:tplc="532EA708">
      <w:start w:val="2"/>
      <w:numFmt w:val="bullet"/>
      <w:lvlText w:val=""/>
      <w:lvlJc w:val="left"/>
      <w:pPr>
        <w:ind w:left="720" w:hanging="360"/>
      </w:pPr>
      <w:rPr>
        <w:rFonts w:ascii="Wingdings" w:eastAsiaTheme="minorHAnsi" w:hAnsi="Wingdings" w:cs="Arial,Bold" w:hint="default"/>
      </w:rPr>
    </w:lvl>
    <w:lvl w:ilvl="1" w:tplc="4CB2BF60">
      <w:start w:val="1"/>
      <w:numFmt w:val="bullet"/>
      <w:lvlText w:val="o"/>
      <w:lvlJc w:val="left"/>
      <w:pPr>
        <w:ind w:left="1440" w:hanging="360"/>
      </w:pPr>
      <w:rPr>
        <w:rFonts w:ascii="Courier New" w:hAnsi="Courier New" w:cs="Courier New" w:hint="default"/>
      </w:rPr>
    </w:lvl>
    <w:lvl w:ilvl="2" w:tplc="6C28D8CE">
      <w:start w:val="1"/>
      <w:numFmt w:val="bullet"/>
      <w:lvlText w:val=""/>
      <w:lvlJc w:val="left"/>
      <w:pPr>
        <w:ind w:left="2160" w:hanging="360"/>
      </w:pPr>
      <w:rPr>
        <w:rFonts w:ascii="Wingdings" w:hAnsi="Wingdings" w:hint="default"/>
      </w:rPr>
    </w:lvl>
    <w:lvl w:ilvl="3" w:tplc="05F85524">
      <w:start w:val="1"/>
      <w:numFmt w:val="bullet"/>
      <w:lvlText w:val=""/>
      <w:lvlJc w:val="left"/>
      <w:pPr>
        <w:ind w:left="2880" w:hanging="360"/>
      </w:pPr>
      <w:rPr>
        <w:rFonts w:ascii="Symbol" w:hAnsi="Symbol" w:hint="default"/>
      </w:rPr>
    </w:lvl>
    <w:lvl w:ilvl="4" w:tplc="E0B2B974">
      <w:start w:val="1"/>
      <w:numFmt w:val="bullet"/>
      <w:lvlText w:val="o"/>
      <w:lvlJc w:val="left"/>
      <w:pPr>
        <w:ind w:left="3600" w:hanging="360"/>
      </w:pPr>
      <w:rPr>
        <w:rFonts w:ascii="Courier New" w:hAnsi="Courier New" w:cs="Courier New" w:hint="default"/>
      </w:rPr>
    </w:lvl>
    <w:lvl w:ilvl="5" w:tplc="40789DCC">
      <w:start w:val="1"/>
      <w:numFmt w:val="bullet"/>
      <w:lvlText w:val=""/>
      <w:lvlJc w:val="left"/>
      <w:pPr>
        <w:ind w:left="4320" w:hanging="360"/>
      </w:pPr>
      <w:rPr>
        <w:rFonts w:ascii="Wingdings" w:hAnsi="Wingdings" w:hint="default"/>
      </w:rPr>
    </w:lvl>
    <w:lvl w:ilvl="6" w:tplc="1778AC70">
      <w:start w:val="1"/>
      <w:numFmt w:val="bullet"/>
      <w:lvlText w:val=""/>
      <w:lvlJc w:val="left"/>
      <w:pPr>
        <w:ind w:left="5040" w:hanging="360"/>
      </w:pPr>
      <w:rPr>
        <w:rFonts w:ascii="Symbol" w:hAnsi="Symbol" w:hint="default"/>
      </w:rPr>
    </w:lvl>
    <w:lvl w:ilvl="7" w:tplc="B6149B1A">
      <w:start w:val="1"/>
      <w:numFmt w:val="bullet"/>
      <w:lvlText w:val="o"/>
      <w:lvlJc w:val="left"/>
      <w:pPr>
        <w:ind w:left="5760" w:hanging="360"/>
      </w:pPr>
      <w:rPr>
        <w:rFonts w:ascii="Courier New" w:hAnsi="Courier New" w:cs="Courier New" w:hint="default"/>
      </w:rPr>
    </w:lvl>
    <w:lvl w:ilvl="8" w:tplc="B12C6C68">
      <w:start w:val="1"/>
      <w:numFmt w:val="bullet"/>
      <w:lvlText w:val=""/>
      <w:lvlJc w:val="left"/>
      <w:pPr>
        <w:ind w:left="6480" w:hanging="360"/>
      </w:pPr>
      <w:rPr>
        <w:rFonts w:ascii="Wingdings" w:hAnsi="Wingdings" w:hint="default"/>
      </w:rPr>
    </w:lvl>
  </w:abstractNum>
  <w:abstractNum w:abstractNumId="4" w15:restartNumberingAfterBreak="0">
    <w:nsid w:val="1AA8678C"/>
    <w:multiLevelType w:val="hybridMultilevel"/>
    <w:tmpl w:val="5EF8D56E"/>
    <w:lvl w:ilvl="0" w:tplc="75E40600">
      <w:start w:val="1"/>
      <w:numFmt w:val="decimal"/>
      <w:lvlText w:val="%1."/>
      <w:lvlJc w:val="left"/>
      <w:pPr>
        <w:ind w:left="720" w:hanging="360"/>
      </w:pPr>
      <w:rPr>
        <w:rFonts w:hint="default"/>
      </w:rPr>
    </w:lvl>
    <w:lvl w:ilvl="1" w:tplc="74429A70">
      <w:start w:val="1"/>
      <w:numFmt w:val="lowerLetter"/>
      <w:lvlText w:val="%2."/>
      <w:lvlJc w:val="left"/>
      <w:pPr>
        <w:ind w:left="1440" w:hanging="360"/>
      </w:pPr>
    </w:lvl>
    <w:lvl w:ilvl="2" w:tplc="4B125426">
      <w:start w:val="1"/>
      <w:numFmt w:val="lowerRoman"/>
      <w:lvlText w:val="%3."/>
      <w:lvlJc w:val="right"/>
      <w:pPr>
        <w:ind w:left="2160" w:hanging="180"/>
      </w:pPr>
    </w:lvl>
    <w:lvl w:ilvl="3" w:tplc="896A4D20">
      <w:start w:val="1"/>
      <w:numFmt w:val="decimal"/>
      <w:lvlText w:val="%4."/>
      <w:lvlJc w:val="left"/>
      <w:pPr>
        <w:ind w:left="2880" w:hanging="360"/>
      </w:pPr>
    </w:lvl>
    <w:lvl w:ilvl="4" w:tplc="528E96B2">
      <w:start w:val="1"/>
      <w:numFmt w:val="lowerLetter"/>
      <w:lvlText w:val="%5."/>
      <w:lvlJc w:val="left"/>
      <w:pPr>
        <w:ind w:left="3600" w:hanging="360"/>
      </w:pPr>
    </w:lvl>
    <w:lvl w:ilvl="5" w:tplc="B2F012A4">
      <w:start w:val="1"/>
      <w:numFmt w:val="lowerRoman"/>
      <w:lvlText w:val="%6."/>
      <w:lvlJc w:val="right"/>
      <w:pPr>
        <w:ind w:left="4320" w:hanging="180"/>
      </w:pPr>
    </w:lvl>
    <w:lvl w:ilvl="6" w:tplc="977C1578">
      <w:start w:val="1"/>
      <w:numFmt w:val="decimal"/>
      <w:lvlText w:val="%7."/>
      <w:lvlJc w:val="left"/>
      <w:pPr>
        <w:ind w:left="5040" w:hanging="360"/>
      </w:pPr>
    </w:lvl>
    <w:lvl w:ilvl="7" w:tplc="FE70B1D6">
      <w:start w:val="1"/>
      <w:numFmt w:val="lowerLetter"/>
      <w:lvlText w:val="%8."/>
      <w:lvlJc w:val="left"/>
      <w:pPr>
        <w:ind w:left="5760" w:hanging="360"/>
      </w:pPr>
    </w:lvl>
    <w:lvl w:ilvl="8" w:tplc="03149488">
      <w:start w:val="1"/>
      <w:numFmt w:val="lowerRoman"/>
      <w:lvlText w:val="%9."/>
      <w:lvlJc w:val="right"/>
      <w:pPr>
        <w:ind w:left="6480" w:hanging="180"/>
      </w:pPr>
    </w:lvl>
  </w:abstractNum>
  <w:abstractNum w:abstractNumId="5" w15:restartNumberingAfterBreak="0">
    <w:nsid w:val="1FDE44F1"/>
    <w:multiLevelType w:val="hybridMultilevel"/>
    <w:tmpl w:val="3E4C6D7A"/>
    <w:lvl w:ilvl="0" w:tplc="59522734">
      <w:start w:val="1"/>
      <w:numFmt w:val="decimal"/>
      <w:lvlText w:val="%1."/>
      <w:lvlJc w:val="left"/>
      <w:pPr>
        <w:ind w:left="720" w:hanging="360"/>
      </w:pPr>
      <w:rPr>
        <w:rFonts w:hint="default"/>
      </w:rPr>
    </w:lvl>
    <w:lvl w:ilvl="1" w:tplc="81948224">
      <w:start w:val="1"/>
      <w:numFmt w:val="lowerLetter"/>
      <w:lvlText w:val="%2."/>
      <w:lvlJc w:val="left"/>
      <w:pPr>
        <w:ind w:left="1440" w:hanging="360"/>
      </w:pPr>
    </w:lvl>
    <w:lvl w:ilvl="2" w:tplc="0E02CA32">
      <w:start w:val="1"/>
      <w:numFmt w:val="lowerRoman"/>
      <w:lvlText w:val="%3."/>
      <w:lvlJc w:val="right"/>
      <w:pPr>
        <w:ind w:left="2160" w:hanging="180"/>
      </w:pPr>
    </w:lvl>
    <w:lvl w:ilvl="3" w:tplc="75301B68">
      <w:start w:val="1"/>
      <w:numFmt w:val="decimal"/>
      <w:lvlText w:val="%4."/>
      <w:lvlJc w:val="left"/>
      <w:pPr>
        <w:ind w:left="2880" w:hanging="360"/>
      </w:pPr>
    </w:lvl>
    <w:lvl w:ilvl="4" w:tplc="E7A08900">
      <w:start w:val="1"/>
      <w:numFmt w:val="lowerLetter"/>
      <w:lvlText w:val="%5."/>
      <w:lvlJc w:val="left"/>
      <w:pPr>
        <w:ind w:left="3600" w:hanging="360"/>
      </w:pPr>
    </w:lvl>
    <w:lvl w:ilvl="5" w:tplc="39BC3D4A">
      <w:start w:val="1"/>
      <w:numFmt w:val="lowerRoman"/>
      <w:lvlText w:val="%6."/>
      <w:lvlJc w:val="right"/>
      <w:pPr>
        <w:ind w:left="4320" w:hanging="180"/>
      </w:pPr>
    </w:lvl>
    <w:lvl w:ilvl="6" w:tplc="D280EE38">
      <w:start w:val="1"/>
      <w:numFmt w:val="decimal"/>
      <w:lvlText w:val="%7."/>
      <w:lvlJc w:val="left"/>
      <w:pPr>
        <w:ind w:left="5040" w:hanging="360"/>
      </w:pPr>
    </w:lvl>
    <w:lvl w:ilvl="7" w:tplc="7F4E79C0">
      <w:start w:val="1"/>
      <w:numFmt w:val="lowerLetter"/>
      <w:lvlText w:val="%8."/>
      <w:lvlJc w:val="left"/>
      <w:pPr>
        <w:ind w:left="5760" w:hanging="360"/>
      </w:pPr>
    </w:lvl>
    <w:lvl w:ilvl="8" w:tplc="61160664">
      <w:start w:val="1"/>
      <w:numFmt w:val="lowerRoman"/>
      <w:lvlText w:val="%9."/>
      <w:lvlJc w:val="right"/>
      <w:pPr>
        <w:ind w:left="6480" w:hanging="180"/>
      </w:pPr>
    </w:lvl>
  </w:abstractNum>
  <w:abstractNum w:abstractNumId="6" w15:restartNumberingAfterBreak="0">
    <w:nsid w:val="21114DC1"/>
    <w:multiLevelType w:val="hybridMultilevel"/>
    <w:tmpl w:val="73FCF6B8"/>
    <w:lvl w:ilvl="0" w:tplc="7E2823DC">
      <w:start w:val="1"/>
      <w:numFmt w:val="bullet"/>
      <w:lvlText w:val=""/>
      <w:lvlJc w:val="left"/>
      <w:pPr>
        <w:tabs>
          <w:tab w:val="num" w:pos="720"/>
        </w:tabs>
        <w:ind w:left="720" w:hanging="360"/>
      </w:pPr>
      <w:rPr>
        <w:rFonts w:ascii="Symbol" w:hAnsi="Symbol" w:hint="default"/>
        <w:sz w:val="20"/>
      </w:rPr>
    </w:lvl>
    <w:lvl w:ilvl="1" w:tplc="0D526926">
      <w:start w:val="1"/>
      <w:numFmt w:val="bullet"/>
      <w:lvlText w:val="o"/>
      <w:lvlJc w:val="left"/>
      <w:pPr>
        <w:tabs>
          <w:tab w:val="num" w:pos="1440"/>
        </w:tabs>
        <w:ind w:left="1440" w:hanging="360"/>
      </w:pPr>
      <w:rPr>
        <w:rFonts w:ascii="Courier New" w:hAnsi="Courier New" w:hint="default"/>
        <w:sz w:val="20"/>
      </w:rPr>
    </w:lvl>
    <w:lvl w:ilvl="2" w:tplc="30D60AD0">
      <w:start w:val="1"/>
      <w:numFmt w:val="bullet"/>
      <w:lvlText w:val=""/>
      <w:lvlJc w:val="left"/>
      <w:pPr>
        <w:tabs>
          <w:tab w:val="num" w:pos="2160"/>
        </w:tabs>
        <w:ind w:left="2160" w:hanging="360"/>
      </w:pPr>
      <w:rPr>
        <w:rFonts w:ascii="Wingdings" w:hAnsi="Wingdings" w:hint="default"/>
        <w:sz w:val="20"/>
      </w:rPr>
    </w:lvl>
    <w:lvl w:ilvl="3" w:tplc="184C7E14">
      <w:start w:val="1"/>
      <w:numFmt w:val="bullet"/>
      <w:lvlText w:val=""/>
      <w:lvlJc w:val="left"/>
      <w:pPr>
        <w:tabs>
          <w:tab w:val="num" w:pos="2880"/>
        </w:tabs>
        <w:ind w:left="2880" w:hanging="360"/>
      </w:pPr>
      <w:rPr>
        <w:rFonts w:ascii="Wingdings" w:hAnsi="Wingdings" w:hint="default"/>
        <w:sz w:val="20"/>
      </w:rPr>
    </w:lvl>
    <w:lvl w:ilvl="4" w:tplc="65B40A2C">
      <w:start w:val="1"/>
      <w:numFmt w:val="bullet"/>
      <w:lvlText w:val=""/>
      <w:lvlJc w:val="left"/>
      <w:pPr>
        <w:tabs>
          <w:tab w:val="num" w:pos="3600"/>
        </w:tabs>
        <w:ind w:left="3600" w:hanging="360"/>
      </w:pPr>
      <w:rPr>
        <w:rFonts w:ascii="Wingdings" w:hAnsi="Wingdings" w:hint="default"/>
        <w:sz w:val="20"/>
      </w:rPr>
    </w:lvl>
    <w:lvl w:ilvl="5" w:tplc="BEF0B22C">
      <w:start w:val="1"/>
      <w:numFmt w:val="bullet"/>
      <w:lvlText w:val=""/>
      <w:lvlJc w:val="left"/>
      <w:pPr>
        <w:tabs>
          <w:tab w:val="num" w:pos="4320"/>
        </w:tabs>
        <w:ind w:left="4320" w:hanging="360"/>
      </w:pPr>
      <w:rPr>
        <w:rFonts w:ascii="Wingdings" w:hAnsi="Wingdings" w:hint="default"/>
        <w:sz w:val="20"/>
      </w:rPr>
    </w:lvl>
    <w:lvl w:ilvl="6" w:tplc="BE1CB322">
      <w:start w:val="1"/>
      <w:numFmt w:val="bullet"/>
      <w:lvlText w:val=""/>
      <w:lvlJc w:val="left"/>
      <w:pPr>
        <w:tabs>
          <w:tab w:val="num" w:pos="5040"/>
        </w:tabs>
        <w:ind w:left="5040" w:hanging="360"/>
      </w:pPr>
      <w:rPr>
        <w:rFonts w:ascii="Wingdings" w:hAnsi="Wingdings" w:hint="default"/>
        <w:sz w:val="20"/>
      </w:rPr>
    </w:lvl>
    <w:lvl w:ilvl="7" w:tplc="BC7673EE">
      <w:start w:val="1"/>
      <w:numFmt w:val="bullet"/>
      <w:lvlText w:val=""/>
      <w:lvlJc w:val="left"/>
      <w:pPr>
        <w:tabs>
          <w:tab w:val="num" w:pos="5760"/>
        </w:tabs>
        <w:ind w:left="5760" w:hanging="360"/>
      </w:pPr>
      <w:rPr>
        <w:rFonts w:ascii="Wingdings" w:hAnsi="Wingdings" w:hint="default"/>
        <w:sz w:val="20"/>
      </w:rPr>
    </w:lvl>
    <w:lvl w:ilvl="8" w:tplc="F2FC6304">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3D2C36"/>
    <w:multiLevelType w:val="hybridMultilevel"/>
    <w:tmpl w:val="92847564"/>
    <w:lvl w:ilvl="0" w:tplc="0DD02FC6">
      <w:start w:val="1"/>
      <w:numFmt w:val="bullet"/>
      <w:lvlText w:val=""/>
      <w:lvlJc w:val="left"/>
      <w:pPr>
        <w:tabs>
          <w:tab w:val="num" w:pos="720"/>
        </w:tabs>
        <w:ind w:left="720" w:hanging="360"/>
      </w:pPr>
      <w:rPr>
        <w:rFonts w:ascii="Symbol" w:hAnsi="Symbol" w:hint="default"/>
        <w:sz w:val="20"/>
      </w:rPr>
    </w:lvl>
    <w:lvl w:ilvl="1" w:tplc="2C82D1CE">
      <w:start w:val="1"/>
      <w:numFmt w:val="bullet"/>
      <w:lvlText w:val="o"/>
      <w:lvlJc w:val="left"/>
      <w:pPr>
        <w:tabs>
          <w:tab w:val="num" w:pos="1440"/>
        </w:tabs>
        <w:ind w:left="1440" w:hanging="360"/>
      </w:pPr>
      <w:rPr>
        <w:rFonts w:ascii="Courier New" w:hAnsi="Courier New" w:hint="default"/>
        <w:sz w:val="20"/>
      </w:rPr>
    </w:lvl>
    <w:lvl w:ilvl="2" w:tplc="450674BE">
      <w:start w:val="1"/>
      <w:numFmt w:val="bullet"/>
      <w:lvlText w:val=""/>
      <w:lvlJc w:val="left"/>
      <w:pPr>
        <w:tabs>
          <w:tab w:val="num" w:pos="2160"/>
        </w:tabs>
        <w:ind w:left="2160" w:hanging="360"/>
      </w:pPr>
      <w:rPr>
        <w:rFonts w:ascii="Wingdings" w:hAnsi="Wingdings" w:hint="default"/>
        <w:sz w:val="20"/>
      </w:rPr>
    </w:lvl>
    <w:lvl w:ilvl="3" w:tplc="207ED9E0">
      <w:start w:val="1"/>
      <w:numFmt w:val="bullet"/>
      <w:lvlText w:val=""/>
      <w:lvlJc w:val="left"/>
      <w:pPr>
        <w:tabs>
          <w:tab w:val="num" w:pos="2880"/>
        </w:tabs>
        <w:ind w:left="2880" w:hanging="360"/>
      </w:pPr>
      <w:rPr>
        <w:rFonts w:ascii="Wingdings" w:hAnsi="Wingdings" w:hint="default"/>
        <w:sz w:val="20"/>
      </w:rPr>
    </w:lvl>
    <w:lvl w:ilvl="4" w:tplc="F7DE8468">
      <w:start w:val="1"/>
      <w:numFmt w:val="bullet"/>
      <w:lvlText w:val=""/>
      <w:lvlJc w:val="left"/>
      <w:pPr>
        <w:tabs>
          <w:tab w:val="num" w:pos="3600"/>
        </w:tabs>
        <w:ind w:left="3600" w:hanging="360"/>
      </w:pPr>
      <w:rPr>
        <w:rFonts w:ascii="Wingdings" w:hAnsi="Wingdings" w:hint="default"/>
        <w:sz w:val="20"/>
      </w:rPr>
    </w:lvl>
    <w:lvl w:ilvl="5" w:tplc="FB64D0F0">
      <w:start w:val="1"/>
      <w:numFmt w:val="bullet"/>
      <w:lvlText w:val=""/>
      <w:lvlJc w:val="left"/>
      <w:pPr>
        <w:tabs>
          <w:tab w:val="num" w:pos="4320"/>
        </w:tabs>
        <w:ind w:left="4320" w:hanging="360"/>
      </w:pPr>
      <w:rPr>
        <w:rFonts w:ascii="Wingdings" w:hAnsi="Wingdings" w:hint="default"/>
        <w:sz w:val="20"/>
      </w:rPr>
    </w:lvl>
    <w:lvl w:ilvl="6" w:tplc="19321908">
      <w:start w:val="1"/>
      <w:numFmt w:val="bullet"/>
      <w:lvlText w:val=""/>
      <w:lvlJc w:val="left"/>
      <w:pPr>
        <w:tabs>
          <w:tab w:val="num" w:pos="5040"/>
        </w:tabs>
        <w:ind w:left="5040" w:hanging="360"/>
      </w:pPr>
      <w:rPr>
        <w:rFonts w:ascii="Wingdings" w:hAnsi="Wingdings" w:hint="default"/>
        <w:sz w:val="20"/>
      </w:rPr>
    </w:lvl>
    <w:lvl w:ilvl="7" w:tplc="B470B744">
      <w:start w:val="1"/>
      <w:numFmt w:val="bullet"/>
      <w:lvlText w:val=""/>
      <w:lvlJc w:val="left"/>
      <w:pPr>
        <w:tabs>
          <w:tab w:val="num" w:pos="5760"/>
        </w:tabs>
        <w:ind w:left="5760" w:hanging="360"/>
      </w:pPr>
      <w:rPr>
        <w:rFonts w:ascii="Wingdings" w:hAnsi="Wingdings" w:hint="default"/>
        <w:sz w:val="20"/>
      </w:rPr>
    </w:lvl>
    <w:lvl w:ilvl="8" w:tplc="2AEC0822">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EA13FF"/>
    <w:multiLevelType w:val="hybridMultilevel"/>
    <w:tmpl w:val="8F94B2E2"/>
    <w:lvl w:ilvl="0" w:tplc="FF060C84">
      <w:start w:val="4"/>
      <w:numFmt w:val="decimal"/>
      <w:lvlText w:val="%1."/>
      <w:lvlJc w:val="left"/>
      <w:pPr>
        <w:ind w:left="720" w:hanging="360"/>
      </w:pPr>
      <w:rPr>
        <w:rFonts w:hint="default"/>
        <w:b w:val="0"/>
      </w:rPr>
    </w:lvl>
    <w:lvl w:ilvl="1" w:tplc="AA029180">
      <w:start w:val="1"/>
      <w:numFmt w:val="lowerLetter"/>
      <w:lvlText w:val="%2."/>
      <w:lvlJc w:val="left"/>
      <w:pPr>
        <w:ind w:left="1440" w:hanging="360"/>
      </w:pPr>
    </w:lvl>
    <w:lvl w:ilvl="2" w:tplc="88A822B6">
      <w:start w:val="1"/>
      <w:numFmt w:val="lowerRoman"/>
      <w:lvlText w:val="%3."/>
      <w:lvlJc w:val="right"/>
      <w:pPr>
        <w:ind w:left="2160" w:hanging="180"/>
      </w:pPr>
    </w:lvl>
    <w:lvl w:ilvl="3" w:tplc="F8BE2B24">
      <w:start w:val="1"/>
      <w:numFmt w:val="decimal"/>
      <w:lvlText w:val="%4."/>
      <w:lvlJc w:val="left"/>
      <w:pPr>
        <w:ind w:left="2880" w:hanging="360"/>
      </w:pPr>
    </w:lvl>
    <w:lvl w:ilvl="4" w:tplc="48BA74D6">
      <w:start w:val="1"/>
      <w:numFmt w:val="lowerLetter"/>
      <w:lvlText w:val="%5."/>
      <w:lvlJc w:val="left"/>
      <w:pPr>
        <w:ind w:left="3600" w:hanging="360"/>
      </w:pPr>
    </w:lvl>
    <w:lvl w:ilvl="5" w:tplc="BDD0888C">
      <w:start w:val="1"/>
      <w:numFmt w:val="lowerRoman"/>
      <w:lvlText w:val="%6."/>
      <w:lvlJc w:val="right"/>
      <w:pPr>
        <w:ind w:left="4320" w:hanging="180"/>
      </w:pPr>
    </w:lvl>
    <w:lvl w:ilvl="6" w:tplc="DD1863F8">
      <w:start w:val="1"/>
      <w:numFmt w:val="decimal"/>
      <w:lvlText w:val="%7."/>
      <w:lvlJc w:val="left"/>
      <w:pPr>
        <w:ind w:left="5040" w:hanging="360"/>
      </w:pPr>
    </w:lvl>
    <w:lvl w:ilvl="7" w:tplc="7D245936">
      <w:start w:val="1"/>
      <w:numFmt w:val="lowerLetter"/>
      <w:lvlText w:val="%8."/>
      <w:lvlJc w:val="left"/>
      <w:pPr>
        <w:ind w:left="5760" w:hanging="360"/>
      </w:pPr>
    </w:lvl>
    <w:lvl w:ilvl="8" w:tplc="F28EC46C">
      <w:start w:val="1"/>
      <w:numFmt w:val="lowerRoman"/>
      <w:lvlText w:val="%9."/>
      <w:lvlJc w:val="right"/>
      <w:pPr>
        <w:ind w:left="6480" w:hanging="180"/>
      </w:pPr>
    </w:lvl>
  </w:abstractNum>
  <w:abstractNum w:abstractNumId="9" w15:restartNumberingAfterBreak="0">
    <w:nsid w:val="274240ED"/>
    <w:multiLevelType w:val="hybridMultilevel"/>
    <w:tmpl w:val="0E2E6CBE"/>
    <w:lvl w:ilvl="0" w:tplc="51BC04AE">
      <w:start w:val="1"/>
      <w:numFmt w:val="bullet"/>
      <w:lvlText w:val=""/>
      <w:lvlJc w:val="left"/>
      <w:pPr>
        <w:tabs>
          <w:tab w:val="num" w:pos="720"/>
        </w:tabs>
        <w:ind w:left="720" w:hanging="360"/>
      </w:pPr>
      <w:rPr>
        <w:rFonts w:ascii="Symbol" w:hAnsi="Symbol" w:hint="default"/>
        <w:sz w:val="20"/>
      </w:rPr>
    </w:lvl>
    <w:lvl w:ilvl="1" w:tplc="D59C46A6">
      <w:start w:val="1"/>
      <w:numFmt w:val="bullet"/>
      <w:lvlText w:val="o"/>
      <w:lvlJc w:val="left"/>
      <w:pPr>
        <w:tabs>
          <w:tab w:val="num" w:pos="1440"/>
        </w:tabs>
        <w:ind w:left="1440" w:hanging="360"/>
      </w:pPr>
      <w:rPr>
        <w:rFonts w:ascii="Courier New" w:hAnsi="Courier New" w:hint="default"/>
        <w:sz w:val="20"/>
      </w:rPr>
    </w:lvl>
    <w:lvl w:ilvl="2" w:tplc="C6FEABBE">
      <w:start w:val="1"/>
      <w:numFmt w:val="bullet"/>
      <w:lvlText w:val=""/>
      <w:lvlJc w:val="left"/>
      <w:pPr>
        <w:tabs>
          <w:tab w:val="num" w:pos="2160"/>
        </w:tabs>
        <w:ind w:left="2160" w:hanging="360"/>
      </w:pPr>
      <w:rPr>
        <w:rFonts w:ascii="Wingdings" w:hAnsi="Wingdings" w:hint="default"/>
        <w:sz w:val="20"/>
      </w:rPr>
    </w:lvl>
    <w:lvl w:ilvl="3" w:tplc="42B2FA26">
      <w:start w:val="1"/>
      <w:numFmt w:val="bullet"/>
      <w:lvlText w:val=""/>
      <w:lvlJc w:val="left"/>
      <w:pPr>
        <w:tabs>
          <w:tab w:val="num" w:pos="2880"/>
        </w:tabs>
        <w:ind w:left="2880" w:hanging="360"/>
      </w:pPr>
      <w:rPr>
        <w:rFonts w:ascii="Wingdings" w:hAnsi="Wingdings" w:hint="default"/>
        <w:sz w:val="20"/>
      </w:rPr>
    </w:lvl>
    <w:lvl w:ilvl="4" w:tplc="237220D8">
      <w:start w:val="1"/>
      <w:numFmt w:val="bullet"/>
      <w:lvlText w:val=""/>
      <w:lvlJc w:val="left"/>
      <w:pPr>
        <w:tabs>
          <w:tab w:val="num" w:pos="3600"/>
        </w:tabs>
        <w:ind w:left="3600" w:hanging="360"/>
      </w:pPr>
      <w:rPr>
        <w:rFonts w:ascii="Wingdings" w:hAnsi="Wingdings" w:hint="default"/>
        <w:sz w:val="20"/>
      </w:rPr>
    </w:lvl>
    <w:lvl w:ilvl="5" w:tplc="44B0A50E">
      <w:start w:val="1"/>
      <w:numFmt w:val="bullet"/>
      <w:lvlText w:val=""/>
      <w:lvlJc w:val="left"/>
      <w:pPr>
        <w:tabs>
          <w:tab w:val="num" w:pos="4320"/>
        </w:tabs>
        <w:ind w:left="4320" w:hanging="360"/>
      </w:pPr>
      <w:rPr>
        <w:rFonts w:ascii="Wingdings" w:hAnsi="Wingdings" w:hint="default"/>
        <w:sz w:val="20"/>
      </w:rPr>
    </w:lvl>
    <w:lvl w:ilvl="6" w:tplc="76D068FA">
      <w:start w:val="1"/>
      <w:numFmt w:val="bullet"/>
      <w:lvlText w:val=""/>
      <w:lvlJc w:val="left"/>
      <w:pPr>
        <w:tabs>
          <w:tab w:val="num" w:pos="5040"/>
        </w:tabs>
        <w:ind w:left="5040" w:hanging="360"/>
      </w:pPr>
      <w:rPr>
        <w:rFonts w:ascii="Wingdings" w:hAnsi="Wingdings" w:hint="default"/>
        <w:sz w:val="20"/>
      </w:rPr>
    </w:lvl>
    <w:lvl w:ilvl="7" w:tplc="CD14135C">
      <w:start w:val="1"/>
      <w:numFmt w:val="bullet"/>
      <w:lvlText w:val=""/>
      <w:lvlJc w:val="left"/>
      <w:pPr>
        <w:tabs>
          <w:tab w:val="num" w:pos="5760"/>
        </w:tabs>
        <w:ind w:left="5760" w:hanging="360"/>
      </w:pPr>
      <w:rPr>
        <w:rFonts w:ascii="Wingdings" w:hAnsi="Wingdings" w:hint="default"/>
        <w:sz w:val="20"/>
      </w:rPr>
    </w:lvl>
    <w:lvl w:ilvl="8" w:tplc="136425DC">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FD3222"/>
    <w:multiLevelType w:val="hybridMultilevel"/>
    <w:tmpl w:val="22962D0E"/>
    <w:lvl w:ilvl="0" w:tplc="C254B2BC">
      <w:start w:val="1"/>
      <w:numFmt w:val="bullet"/>
      <w:lvlText w:val=""/>
      <w:lvlJc w:val="left"/>
      <w:pPr>
        <w:tabs>
          <w:tab w:val="num" w:pos="720"/>
        </w:tabs>
        <w:ind w:left="720" w:hanging="360"/>
      </w:pPr>
      <w:rPr>
        <w:rFonts w:ascii="Symbol" w:hAnsi="Symbol" w:hint="default"/>
        <w:sz w:val="20"/>
      </w:rPr>
    </w:lvl>
    <w:lvl w:ilvl="1" w:tplc="75E8B054">
      <w:start w:val="1"/>
      <w:numFmt w:val="bullet"/>
      <w:lvlText w:val="o"/>
      <w:lvlJc w:val="left"/>
      <w:pPr>
        <w:tabs>
          <w:tab w:val="num" w:pos="1440"/>
        </w:tabs>
        <w:ind w:left="1440" w:hanging="360"/>
      </w:pPr>
      <w:rPr>
        <w:rFonts w:ascii="Courier New" w:hAnsi="Courier New" w:hint="default"/>
        <w:sz w:val="20"/>
      </w:rPr>
    </w:lvl>
    <w:lvl w:ilvl="2" w:tplc="07CEA7B2">
      <w:start w:val="1"/>
      <w:numFmt w:val="bullet"/>
      <w:lvlText w:val=""/>
      <w:lvlJc w:val="left"/>
      <w:pPr>
        <w:tabs>
          <w:tab w:val="num" w:pos="2160"/>
        </w:tabs>
        <w:ind w:left="2160" w:hanging="360"/>
      </w:pPr>
      <w:rPr>
        <w:rFonts w:ascii="Wingdings" w:hAnsi="Wingdings" w:hint="default"/>
        <w:sz w:val="20"/>
      </w:rPr>
    </w:lvl>
    <w:lvl w:ilvl="3" w:tplc="F42010E2">
      <w:start w:val="1"/>
      <w:numFmt w:val="bullet"/>
      <w:lvlText w:val=""/>
      <w:lvlJc w:val="left"/>
      <w:pPr>
        <w:tabs>
          <w:tab w:val="num" w:pos="2880"/>
        </w:tabs>
        <w:ind w:left="2880" w:hanging="360"/>
      </w:pPr>
      <w:rPr>
        <w:rFonts w:ascii="Wingdings" w:hAnsi="Wingdings" w:hint="default"/>
        <w:sz w:val="20"/>
      </w:rPr>
    </w:lvl>
    <w:lvl w:ilvl="4" w:tplc="24645346">
      <w:start w:val="1"/>
      <w:numFmt w:val="bullet"/>
      <w:lvlText w:val=""/>
      <w:lvlJc w:val="left"/>
      <w:pPr>
        <w:tabs>
          <w:tab w:val="num" w:pos="3600"/>
        </w:tabs>
        <w:ind w:left="3600" w:hanging="360"/>
      </w:pPr>
      <w:rPr>
        <w:rFonts w:ascii="Wingdings" w:hAnsi="Wingdings" w:hint="default"/>
        <w:sz w:val="20"/>
      </w:rPr>
    </w:lvl>
    <w:lvl w:ilvl="5" w:tplc="17A0B780">
      <w:start w:val="1"/>
      <w:numFmt w:val="bullet"/>
      <w:lvlText w:val=""/>
      <w:lvlJc w:val="left"/>
      <w:pPr>
        <w:tabs>
          <w:tab w:val="num" w:pos="4320"/>
        </w:tabs>
        <w:ind w:left="4320" w:hanging="360"/>
      </w:pPr>
      <w:rPr>
        <w:rFonts w:ascii="Wingdings" w:hAnsi="Wingdings" w:hint="default"/>
        <w:sz w:val="20"/>
      </w:rPr>
    </w:lvl>
    <w:lvl w:ilvl="6" w:tplc="45E6F5F8">
      <w:start w:val="1"/>
      <w:numFmt w:val="bullet"/>
      <w:lvlText w:val=""/>
      <w:lvlJc w:val="left"/>
      <w:pPr>
        <w:tabs>
          <w:tab w:val="num" w:pos="5040"/>
        </w:tabs>
        <w:ind w:left="5040" w:hanging="360"/>
      </w:pPr>
      <w:rPr>
        <w:rFonts w:ascii="Wingdings" w:hAnsi="Wingdings" w:hint="default"/>
        <w:sz w:val="20"/>
      </w:rPr>
    </w:lvl>
    <w:lvl w:ilvl="7" w:tplc="F5B25E8A">
      <w:start w:val="1"/>
      <w:numFmt w:val="bullet"/>
      <w:lvlText w:val=""/>
      <w:lvlJc w:val="left"/>
      <w:pPr>
        <w:tabs>
          <w:tab w:val="num" w:pos="5760"/>
        </w:tabs>
        <w:ind w:left="5760" w:hanging="360"/>
      </w:pPr>
      <w:rPr>
        <w:rFonts w:ascii="Wingdings" w:hAnsi="Wingdings" w:hint="default"/>
        <w:sz w:val="20"/>
      </w:rPr>
    </w:lvl>
    <w:lvl w:ilvl="8" w:tplc="3ABEE7E6">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4125B3"/>
    <w:multiLevelType w:val="hybridMultilevel"/>
    <w:tmpl w:val="DFA2E25A"/>
    <w:lvl w:ilvl="0" w:tplc="40962808">
      <w:start w:val="1"/>
      <w:numFmt w:val="decimal"/>
      <w:lvlText w:val="%1."/>
      <w:lvlJc w:val="left"/>
      <w:pPr>
        <w:ind w:left="720" w:hanging="360"/>
      </w:pPr>
      <w:rPr>
        <w:rFonts w:hint="default"/>
      </w:rPr>
    </w:lvl>
    <w:lvl w:ilvl="1" w:tplc="353EE176">
      <w:start w:val="1"/>
      <w:numFmt w:val="lowerLetter"/>
      <w:lvlText w:val="%2."/>
      <w:lvlJc w:val="left"/>
      <w:pPr>
        <w:ind w:left="1440" w:hanging="360"/>
      </w:pPr>
    </w:lvl>
    <w:lvl w:ilvl="2" w:tplc="22BC0BD2">
      <w:start w:val="1"/>
      <w:numFmt w:val="lowerRoman"/>
      <w:lvlText w:val="%3."/>
      <w:lvlJc w:val="right"/>
      <w:pPr>
        <w:ind w:left="2160" w:hanging="180"/>
      </w:pPr>
    </w:lvl>
    <w:lvl w:ilvl="3" w:tplc="C7F6AEC4">
      <w:start w:val="1"/>
      <w:numFmt w:val="decimal"/>
      <w:lvlText w:val="%4."/>
      <w:lvlJc w:val="left"/>
      <w:pPr>
        <w:ind w:left="2880" w:hanging="360"/>
      </w:pPr>
    </w:lvl>
    <w:lvl w:ilvl="4" w:tplc="0A5254F0">
      <w:start w:val="1"/>
      <w:numFmt w:val="lowerLetter"/>
      <w:lvlText w:val="%5."/>
      <w:lvlJc w:val="left"/>
      <w:pPr>
        <w:ind w:left="3600" w:hanging="360"/>
      </w:pPr>
    </w:lvl>
    <w:lvl w:ilvl="5" w:tplc="D4AC59D6">
      <w:start w:val="1"/>
      <w:numFmt w:val="lowerRoman"/>
      <w:lvlText w:val="%6."/>
      <w:lvlJc w:val="right"/>
      <w:pPr>
        <w:ind w:left="4320" w:hanging="180"/>
      </w:pPr>
    </w:lvl>
    <w:lvl w:ilvl="6" w:tplc="F8B02320">
      <w:start w:val="1"/>
      <w:numFmt w:val="decimal"/>
      <w:lvlText w:val="%7."/>
      <w:lvlJc w:val="left"/>
      <w:pPr>
        <w:ind w:left="5040" w:hanging="360"/>
      </w:pPr>
    </w:lvl>
    <w:lvl w:ilvl="7" w:tplc="E3249212">
      <w:start w:val="1"/>
      <w:numFmt w:val="lowerLetter"/>
      <w:lvlText w:val="%8."/>
      <w:lvlJc w:val="left"/>
      <w:pPr>
        <w:ind w:left="5760" w:hanging="360"/>
      </w:pPr>
    </w:lvl>
    <w:lvl w:ilvl="8" w:tplc="56EE403E">
      <w:start w:val="1"/>
      <w:numFmt w:val="lowerRoman"/>
      <w:lvlText w:val="%9."/>
      <w:lvlJc w:val="right"/>
      <w:pPr>
        <w:ind w:left="6480" w:hanging="180"/>
      </w:pPr>
    </w:lvl>
  </w:abstractNum>
  <w:abstractNum w:abstractNumId="12" w15:restartNumberingAfterBreak="0">
    <w:nsid w:val="34DE638F"/>
    <w:multiLevelType w:val="hybridMultilevel"/>
    <w:tmpl w:val="474CBE2A"/>
    <w:lvl w:ilvl="0" w:tplc="0744023C">
      <w:start w:val="1"/>
      <w:numFmt w:val="bullet"/>
      <w:lvlText w:val=""/>
      <w:lvlJc w:val="left"/>
      <w:pPr>
        <w:tabs>
          <w:tab w:val="num" w:pos="720"/>
        </w:tabs>
        <w:ind w:left="720" w:hanging="360"/>
      </w:pPr>
      <w:rPr>
        <w:rFonts w:ascii="Symbol" w:hAnsi="Symbol" w:hint="default"/>
        <w:sz w:val="20"/>
      </w:rPr>
    </w:lvl>
    <w:lvl w:ilvl="1" w:tplc="141854D4">
      <w:start w:val="1"/>
      <w:numFmt w:val="bullet"/>
      <w:lvlText w:val="o"/>
      <w:lvlJc w:val="left"/>
      <w:pPr>
        <w:tabs>
          <w:tab w:val="num" w:pos="1440"/>
        </w:tabs>
        <w:ind w:left="1440" w:hanging="360"/>
      </w:pPr>
      <w:rPr>
        <w:rFonts w:ascii="Courier New" w:hAnsi="Courier New" w:hint="default"/>
        <w:sz w:val="20"/>
      </w:rPr>
    </w:lvl>
    <w:lvl w:ilvl="2" w:tplc="B7A49748">
      <w:start w:val="1"/>
      <w:numFmt w:val="bullet"/>
      <w:lvlText w:val=""/>
      <w:lvlJc w:val="left"/>
      <w:pPr>
        <w:tabs>
          <w:tab w:val="num" w:pos="2160"/>
        </w:tabs>
        <w:ind w:left="2160" w:hanging="360"/>
      </w:pPr>
      <w:rPr>
        <w:rFonts w:ascii="Wingdings" w:hAnsi="Wingdings" w:hint="default"/>
        <w:sz w:val="20"/>
      </w:rPr>
    </w:lvl>
    <w:lvl w:ilvl="3" w:tplc="3A76409E">
      <w:start w:val="1"/>
      <w:numFmt w:val="bullet"/>
      <w:lvlText w:val=""/>
      <w:lvlJc w:val="left"/>
      <w:pPr>
        <w:tabs>
          <w:tab w:val="num" w:pos="2880"/>
        </w:tabs>
        <w:ind w:left="2880" w:hanging="360"/>
      </w:pPr>
      <w:rPr>
        <w:rFonts w:ascii="Wingdings" w:hAnsi="Wingdings" w:hint="default"/>
        <w:sz w:val="20"/>
      </w:rPr>
    </w:lvl>
    <w:lvl w:ilvl="4" w:tplc="64DE299E">
      <w:start w:val="1"/>
      <w:numFmt w:val="bullet"/>
      <w:lvlText w:val=""/>
      <w:lvlJc w:val="left"/>
      <w:pPr>
        <w:tabs>
          <w:tab w:val="num" w:pos="3600"/>
        </w:tabs>
        <w:ind w:left="3600" w:hanging="360"/>
      </w:pPr>
      <w:rPr>
        <w:rFonts w:ascii="Wingdings" w:hAnsi="Wingdings" w:hint="default"/>
        <w:sz w:val="20"/>
      </w:rPr>
    </w:lvl>
    <w:lvl w:ilvl="5" w:tplc="052CE7B0">
      <w:start w:val="1"/>
      <w:numFmt w:val="bullet"/>
      <w:lvlText w:val=""/>
      <w:lvlJc w:val="left"/>
      <w:pPr>
        <w:tabs>
          <w:tab w:val="num" w:pos="4320"/>
        </w:tabs>
        <w:ind w:left="4320" w:hanging="360"/>
      </w:pPr>
      <w:rPr>
        <w:rFonts w:ascii="Wingdings" w:hAnsi="Wingdings" w:hint="default"/>
        <w:sz w:val="20"/>
      </w:rPr>
    </w:lvl>
    <w:lvl w:ilvl="6" w:tplc="E2D80D8E">
      <w:start w:val="1"/>
      <w:numFmt w:val="bullet"/>
      <w:lvlText w:val=""/>
      <w:lvlJc w:val="left"/>
      <w:pPr>
        <w:tabs>
          <w:tab w:val="num" w:pos="5040"/>
        </w:tabs>
        <w:ind w:left="5040" w:hanging="360"/>
      </w:pPr>
      <w:rPr>
        <w:rFonts w:ascii="Wingdings" w:hAnsi="Wingdings" w:hint="default"/>
        <w:sz w:val="20"/>
      </w:rPr>
    </w:lvl>
    <w:lvl w:ilvl="7" w:tplc="8004A110">
      <w:start w:val="1"/>
      <w:numFmt w:val="bullet"/>
      <w:lvlText w:val=""/>
      <w:lvlJc w:val="left"/>
      <w:pPr>
        <w:tabs>
          <w:tab w:val="num" w:pos="5760"/>
        </w:tabs>
        <w:ind w:left="5760" w:hanging="360"/>
      </w:pPr>
      <w:rPr>
        <w:rFonts w:ascii="Wingdings" w:hAnsi="Wingdings" w:hint="default"/>
        <w:sz w:val="20"/>
      </w:rPr>
    </w:lvl>
    <w:lvl w:ilvl="8" w:tplc="5924287A">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E320A6"/>
    <w:multiLevelType w:val="hybridMultilevel"/>
    <w:tmpl w:val="96DE2652"/>
    <w:lvl w:ilvl="0" w:tplc="9D7871B2">
      <w:start w:val="1"/>
      <w:numFmt w:val="bullet"/>
      <w:lvlText w:val=""/>
      <w:lvlJc w:val="left"/>
      <w:pPr>
        <w:tabs>
          <w:tab w:val="num" w:pos="720"/>
        </w:tabs>
        <w:ind w:left="720" w:hanging="360"/>
      </w:pPr>
      <w:rPr>
        <w:rFonts w:ascii="Symbol" w:hAnsi="Symbol" w:hint="default"/>
        <w:sz w:val="20"/>
      </w:rPr>
    </w:lvl>
    <w:lvl w:ilvl="1" w:tplc="47029BF0">
      <w:start w:val="1"/>
      <w:numFmt w:val="bullet"/>
      <w:lvlText w:val="o"/>
      <w:lvlJc w:val="left"/>
      <w:pPr>
        <w:tabs>
          <w:tab w:val="num" w:pos="1440"/>
        </w:tabs>
        <w:ind w:left="1440" w:hanging="360"/>
      </w:pPr>
      <w:rPr>
        <w:rFonts w:ascii="Courier New" w:hAnsi="Courier New" w:hint="default"/>
        <w:sz w:val="20"/>
      </w:rPr>
    </w:lvl>
    <w:lvl w:ilvl="2" w:tplc="D5BC2156">
      <w:start w:val="1"/>
      <w:numFmt w:val="bullet"/>
      <w:lvlText w:val=""/>
      <w:lvlJc w:val="left"/>
      <w:pPr>
        <w:tabs>
          <w:tab w:val="num" w:pos="2160"/>
        </w:tabs>
        <w:ind w:left="2160" w:hanging="360"/>
      </w:pPr>
      <w:rPr>
        <w:rFonts w:ascii="Wingdings" w:hAnsi="Wingdings" w:hint="default"/>
        <w:sz w:val="20"/>
      </w:rPr>
    </w:lvl>
    <w:lvl w:ilvl="3" w:tplc="55F62954">
      <w:start w:val="1"/>
      <w:numFmt w:val="bullet"/>
      <w:lvlText w:val=""/>
      <w:lvlJc w:val="left"/>
      <w:pPr>
        <w:tabs>
          <w:tab w:val="num" w:pos="2880"/>
        </w:tabs>
        <w:ind w:left="2880" w:hanging="360"/>
      </w:pPr>
      <w:rPr>
        <w:rFonts w:ascii="Wingdings" w:hAnsi="Wingdings" w:hint="default"/>
        <w:sz w:val="20"/>
      </w:rPr>
    </w:lvl>
    <w:lvl w:ilvl="4" w:tplc="E30249CC">
      <w:start w:val="1"/>
      <w:numFmt w:val="bullet"/>
      <w:lvlText w:val=""/>
      <w:lvlJc w:val="left"/>
      <w:pPr>
        <w:tabs>
          <w:tab w:val="num" w:pos="3600"/>
        </w:tabs>
        <w:ind w:left="3600" w:hanging="360"/>
      </w:pPr>
      <w:rPr>
        <w:rFonts w:ascii="Wingdings" w:hAnsi="Wingdings" w:hint="default"/>
        <w:sz w:val="20"/>
      </w:rPr>
    </w:lvl>
    <w:lvl w:ilvl="5" w:tplc="8C3A2588">
      <w:start w:val="1"/>
      <w:numFmt w:val="bullet"/>
      <w:lvlText w:val=""/>
      <w:lvlJc w:val="left"/>
      <w:pPr>
        <w:tabs>
          <w:tab w:val="num" w:pos="4320"/>
        </w:tabs>
        <w:ind w:left="4320" w:hanging="360"/>
      </w:pPr>
      <w:rPr>
        <w:rFonts w:ascii="Wingdings" w:hAnsi="Wingdings" w:hint="default"/>
        <w:sz w:val="20"/>
      </w:rPr>
    </w:lvl>
    <w:lvl w:ilvl="6" w:tplc="56E86D8E">
      <w:start w:val="1"/>
      <w:numFmt w:val="bullet"/>
      <w:lvlText w:val=""/>
      <w:lvlJc w:val="left"/>
      <w:pPr>
        <w:tabs>
          <w:tab w:val="num" w:pos="5040"/>
        </w:tabs>
        <w:ind w:left="5040" w:hanging="360"/>
      </w:pPr>
      <w:rPr>
        <w:rFonts w:ascii="Wingdings" w:hAnsi="Wingdings" w:hint="default"/>
        <w:sz w:val="20"/>
      </w:rPr>
    </w:lvl>
    <w:lvl w:ilvl="7" w:tplc="7AB28A38">
      <w:start w:val="1"/>
      <w:numFmt w:val="bullet"/>
      <w:lvlText w:val=""/>
      <w:lvlJc w:val="left"/>
      <w:pPr>
        <w:tabs>
          <w:tab w:val="num" w:pos="5760"/>
        </w:tabs>
        <w:ind w:left="5760" w:hanging="360"/>
      </w:pPr>
      <w:rPr>
        <w:rFonts w:ascii="Wingdings" w:hAnsi="Wingdings" w:hint="default"/>
        <w:sz w:val="20"/>
      </w:rPr>
    </w:lvl>
    <w:lvl w:ilvl="8" w:tplc="1A62661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390338"/>
    <w:multiLevelType w:val="hybridMultilevel"/>
    <w:tmpl w:val="3DDC735A"/>
    <w:lvl w:ilvl="0" w:tplc="DD94330A">
      <w:start w:val="1"/>
      <w:numFmt w:val="decimal"/>
      <w:lvlText w:val="%1."/>
      <w:lvlJc w:val="left"/>
    </w:lvl>
    <w:lvl w:ilvl="1" w:tplc="97702302">
      <w:start w:val="1"/>
      <w:numFmt w:val="lowerLetter"/>
      <w:lvlText w:val="%2."/>
      <w:lvlJc w:val="left"/>
      <w:pPr>
        <w:ind w:left="1440" w:hanging="360"/>
      </w:pPr>
    </w:lvl>
    <w:lvl w:ilvl="2" w:tplc="6C789976">
      <w:start w:val="1"/>
      <w:numFmt w:val="lowerRoman"/>
      <w:lvlText w:val="%3."/>
      <w:lvlJc w:val="right"/>
      <w:pPr>
        <w:ind w:left="2160" w:hanging="180"/>
      </w:pPr>
    </w:lvl>
    <w:lvl w:ilvl="3" w:tplc="C4E4D082">
      <w:start w:val="1"/>
      <w:numFmt w:val="decimal"/>
      <w:lvlText w:val="%4."/>
      <w:lvlJc w:val="left"/>
      <w:pPr>
        <w:ind w:left="2880" w:hanging="360"/>
      </w:pPr>
    </w:lvl>
    <w:lvl w:ilvl="4" w:tplc="8C50645E">
      <w:start w:val="1"/>
      <w:numFmt w:val="lowerLetter"/>
      <w:lvlText w:val="%5."/>
      <w:lvlJc w:val="left"/>
      <w:pPr>
        <w:ind w:left="3600" w:hanging="360"/>
      </w:pPr>
    </w:lvl>
    <w:lvl w:ilvl="5" w:tplc="0748D54C">
      <w:start w:val="1"/>
      <w:numFmt w:val="lowerRoman"/>
      <w:lvlText w:val="%6."/>
      <w:lvlJc w:val="right"/>
      <w:pPr>
        <w:ind w:left="4320" w:hanging="180"/>
      </w:pPr>
    </w:lvl>
    <w:lvl w:ilvl="6" w:tplc="490A71D4">
      <w:start w:val="1"/>
      <w:numFmt w:val="decimal"/>
      <w:lvlText w:val="%7."/>
      <w:lvlJc w:val="left"/>
      <w:pPr>
        <w:ind w:left="5040" w:hanging="360"/>
      </w:pPr>
    </w:lvl>
    <w:lvl w:ilvl="7" w:tplc="4510CB6E">
      <w:start w:val="1"/>
      <w:numFmt w:val="lowerLetter"/>
      <w:lvlText w:val="%8."/>
      <w:lvlJc w:val="left"/>
      <w:pPr>
        <w:ind w:left="5760" w:hanging="360"/>
      </w:pPr>
    </w:lvl>
    <w:lvl w:ilvl="8" w:tplc="DF4A9E44">
      <w:start w:val="1"/>
      <w:numFmt w:val="lowerRoman"/>
      <w:lvlText w:val="%9."/>
      <w:lvlJc w:val="right"/>
      <w:pPr>
        <w:ind w:left="6480" w:hanging="180"/>
      </w:pPr>
    </w:lvl>
  </w:abstractNum>
  <w:abstractNum w:abstractNumId="15" w15:restartNumberingAfterBreak="0">
    <w:nsid w:val="39761596"/>
    <w:multiLevelType w:val="hybridMultilevel"/>
    <w:tmpl w:val="C0643878"/>
    <w:lvl w:ilvl="0" w:tplc="D6588152">
      <w:start w:val="1"/>
      <w:numFmt w:val="bullet"/>
      <w:lvlText w:val=""/>
      <w:lvlJc w:val="left"/>
      <w:pPr>
        <w:tabs>
          <w:tab w:val="num" w:pos="720"/>
        </w:tabs>
        <w:ind w:left="720" w:hanging="360"/>
      </w:pPr>
      <w:rPr>
        <w:rFonts w:ascii="Symbol" w:hAnsi="Symbol" w:hint="default"/>
        <w:sz w:val="20"/>
      </w:rPr>
    </w:lvl>
    <w:lvl w:ilvl="1" w:tplc="98580B12">
      <w:start w:val="1"/>
      <w:numFmt w:val="bullet"/>
      <w:lvlText w:val="o"/>
      <w:lvlJc w:val="left"/>
      <w:pPr>
        <w:tabs>
          <w:tab w:val="num" w:pos="1440"/>
        </w:tabs>
        <w:ind w:left="1440" w:hanging="360"/>
      </w:pPr>
      <w:rPr>
        <w:rFonts w:ascii="Courier New" w:hAnsi="Courier New" w:hint="default"/>
        <w:sz w:val="20"/>
      </w:rPr>
    </w:lvl>
    <w:lvl w:ilvl="2" w:tplc="27D09C96">
      <w:start w:val="1"/>
      <w:numFmt w:val="bullet"/>
      <w:lvlText w:val=""/>
      <w:lvlJc w:val="left"/>
      <w:pPr>
        <w:tabs>
          <w:tab w:val="num" w:pos="2160"/>
        </w:tabs>
        <w:ind w:left="2160" w:hanging="360"/>
      </w:pPr>
      <w:rPr>
        <w:rFonts w:ascii="Wingdings" w:hAnsi="Wingdings" w:hint="default"/>
        <w:sz w:val="20"/>
      </w:rPr>
    </w:lvl>
    <w:lvl w:ilvl="3" w:tplc="B70CC08C">
      <w:start w:val="1"/>
      <w:numFmt w:val="bullet"/>
      <w:lvlText w:val=""/>
      <w:lvlJc w:val="left"/>
      <w:pPr>
        <w:tabs>
          <w:tab w:val="num" w:pos="2880"/>
        </w:tabs>
        <w:ind w:left="2880" w:hanging="360"/>
      </w:pPr>
      <w:rPr>
        <w:rFonts w:ascii="Wingdings" w:hAnsi="Wingdings" w:hint="default"/>
        <w:sz w:val="20"/>
      </w:rPr>
    </w:lvl>
    <w:lvl w:ilvl="4" w:tplc="6654FF1C">
      <w:start w:val="1"/>
      <w:numFmt w:val="bullet"/>
      <w:lvlText w:val=""/>
      <w:lvlJc w:val="left"/>
      <w:pPr>
        <w:tabs>
          <w:tab w:val="num" w:pos="3600"/>
        </w:tabs>
        <w:ind w:left="3600" w:hanging="360"/>
      </w:pPr>
      <w:rPr>
        <w:rFonts w:ascii="Wingdings" w:hAnsi="Wingdings" w:hint="default"/>
        <w:sz w:val="20"/>
      </w:rPr>
    </w:lvl>
    <w:lvl w:ilvl="5" w:tplc="9E1E92B4">
      <w:start w:val="1"/>
      <w:numFmt w:val="bullet"/>
      <w:lvlText w:val=""/>
      <w:lvlJc w:val="left"/>
      <w:pPr>
        <w:tabs>
          <w:tab w:val="num" w:pos="4320"/>
        </w:tabs>
        <w:ind w:left="4320" w:hanging="360"/>
      </w:pPr>
      <w:rPr>
        <w:rFonts w:ascii="Wingdings" w:hAnsi="Wingdings" w:hint="default"/>
        <w:sz w:val="20"/>
      </w:rPr>
    </w:lvl>
    <w:lvl w:ilvl="6" w:tplc="68783B5A">
      <w:start w:val="1"/>
      <w:numFmt w:val="bullet"/>
      <w:lvlText w:val=""/>
      <w:lvlJc w:val="left"/>
      <w:pPr>
        <w:tabs>
          <w:tab w:val="num" w:pos="5040"/>
        </w:tabs>
        <w:ind w:left="5040" w:hanging="360"/>
      </w:pPr>
      <w:rPr>
        <w:rFonts w:ascii="Wingdings" w:hAnsi="Wingdings" w:hint="default"/>
        <w:sz w:val="20"/>
      </w:rPr>
    </w:lvl>
    <w:lvl w:ilvl="7" w:tplc="3CBA0772">
      <w:start w:val="1"/>
      <w:numFmt w:val="bullet"/>
      <w:lvlText w:val=""/>
      <w:lvlJc w:val="left"/>
      <w:pPr>
        <w:tabs>
          <w:tab w:val="num" w:pos="5760"/>
        </w:tabs>
        <w:ind w:left="5760" w:hanging="360"/>
      </w:pPr>
      <w:rPr>
        <w:rFonts w:ascii="Wingdings" w:hAnsi="Wingdings" w:hint="default"/>
        <w:sz w:val="20"/>
      </w:rPr>
    </w:lvl>
    <w:lvl w:ilvl="8" w:tplc="07049A90">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0F1DBF"/>
    <w:multiLevelType w:val="hybridMultilevel"/>
    <w:tmpl w:val="BB2AE16E"/>
    <w:lvl w:ilvl="0" w:tplc="EA62483E">
      <w:start w:val="1"/>
      <w:numFmt w:val="decimal"/>
      <w:lvlText w:val="%1."/>
      <w:lvlJc w:val="left"/>
      <w:pPr>
        <w:ind w:left="720" w:hanging="360"/>
      </w:pPr>
      <w:rPr>
        <w:rFonts w:hint="default"/>
      </w:rPr>
    </w:lvl>
    <w:lvl w:ilvl="1" w:tplc="F3CEBF7E">
      <w:start w:val="1"/>
      <w:numFmt w:val="lowerLetter"/>
      <w:lvlText w:val="%2."/>
      <w:lvlJc w:val="left"/>
      <w:pPr>
        <w:ind w:left="1440" w:hanging="360"/>
      </w:pPr>
    </w:lvl>
    <w:lvl w:ilvl="2" w:tplc="D0D28704">
      <w:start w:val="1"/>
      <w:numFmt w:val="lowerRoman"/>
      <w:lvlText w:val="%3."/>
      <w:lvlJc w:val="right"/>
      <w:pPr>
        <w:ind w:left="2160" w:hanging="180"/>
      </w:pPr>
    </w:lvl>
    <w:lvl w:ilvl="3" w:tplc="1848DE5E">
      <w:start w:val="1"/>
      <w:numFmt w:val="decimal"/>
      <w:lvlText w:val="%4."/>
      <w:lvlJc w:val="left"/>
      <w:pPr>
        <w:ind w:left="2880" w:hanging="360"/>
      </w:pPr>
    </w:lvl>
    <w:lvl w:ilvl="4" w:tplc="389048D8">
      <w:start w:val="1"/>
      <w:numFmt w:val="lowerLetter"/>
      <w:lvlText w:val="%5."/>
      <w:lvlJc w:val="left"/>
      <w:pPr>
        <w:ind w:left="3600" w:hanging="360"/>
      </w:pPr>
    </w:lvl>
    <w:lvl w:ilvl="5" w:tplc="F93AD52C">
      <w:start w:val="1"/>
      <w:numFmt w:val="lowerRoman"/>
      <w:lvlText w:val="%6."/>
      <w:lvlJc w:val="right"/>
      <w:pPr>
        <w:ind w:left="4320" w:hanging="180"/>
      </w:pPr>
    </w:lvl>
    <w:lvl w:ilvl="6" w:tplc="999458EA">
      <w:start w:val="1"/>
      <w:numFmt w:val="decimal"/>
      <w:lvlText w:val="%7."/>
      <w:lvlJc w:val="left"/>
      <w:pPr>
        <w:ind w:left="5040" w:hanging="360"/>
      </w:pPr>
    </w:lvl>
    <w:lvl w:ilvl="7" w:tplc="981A8188">
      <w:start w:val="1"/>
      <w:numFmt w:val="lowerLetter"/>
      <w:lvlText w:val="%8."/>
      <w:lvlJc w:val="left"/>
      <w:pPr>
        <w:ind w:left="5760" w:hanging="360"/>
      </w:pPr>
    </w:lvl>
    <w:lvl w:ilvl="8" w:tplc="D59A123E">
      <w:start w:val="1"/>
      <w:numFmt w:val="lowerRoman"/>
      <w:lvlText w:val="%9."/>
      <w:lvlJc w:val="right"/>
      <w:pPr>
        <w:ind w:left="6480" w:hanging="180"/>
      </w:pPr>
    </w:lvl>
  </w:abstractNum>
  <w:abstractNum w:abstractNumId="17" w15:restartNumberingAfterBreak="0">
    <w:nsid w:val="3FCE00AA"/>
    <w:multiLevelType w:val="hybridMultilevel"/>
    <w:tmpl w:val="5420B6DC"/>
    <w:lvl w:ilvl="0" w:tplc="8E88A0BC">
      <w:start w:val="1"/>
      <w:numFmt w:val="bullet"/>
      <w:lvlText w:val=""/>
      <w:lvlJc w:val="left"/>
      <w:pPr>
        <w:tabs>
          <w:tab w:val="num" w:pos="720"/>
        </w:tabs>
        <w:ind w:left="720" w:hanging="360"/>
      </w:pPr>
      <w:rPr>
        <w:rFonts w:ascii="Symbol" w:hAnsi="Symbol" w:hint="default"/>
        <w:sz w:val="20"/>
      </w:rPr>
    </w:lvl>
    <w:lvl w:ilvl="1" w:tplc="DD5227D4">
      <w:start w:val="1"/>
      <w:numFmt w:val="bullet"/>
      <w:lvlText w:val="o"/>
      <w:lvlJc w:val="left"/>
      <w:pPr>
        <w:tabs>
          <w:tab w:val="num" w:pos="1440"/>
        </w:tabs>
        <w:ind w:left="1440" w:hanging="360"/>
      </w:pPr>
      <w:rPr>
        <w:rFonts w:ascii="Courier New" w:hAnsi="Courier New" w:hint="default"/>
        <w:sz w:val="20"/>
      </w:rPr>
    </w:lvl>
    <w:lvl w:ilvl="2" w:tplc="66D6A198">
      <w:start w:val="1"/>
      <w:numFmt w:val="bullet"/>
      <w:lvlText w:val=""/>
      <w:lvlJc w:val="left"/>
      <w:pPr>
        <w:tabs>
          <w:tab w:val="num" w:pos="2160"/>
        </w:tabs>
        <w:ind w:left="2160" w:hanging="360"/>
      </w:pPr>
      <w:rPr>
        <w:rFonts w:ascii="Wingdings" w:hAnsi="Wingdings" w:hint="default"/>
        <w:sz w:val="20"/>
      </w:rPr>
    </w:lvl>
    <w:lvl w:ilvl="3" w:tplc="B4E44504">
      <w:start w:val="1"/>
      <w:numFmt w:val="bullet"/>
      <w:lvlText w:val=""/>
      <w:lvlJc w:val="left"/>
      <w:pPr>
        <w:tabs>
          <w:tab w:val="num" w:pos="2880"/>
        </w:tabs>
        <w:ind w:left="2880" w:hanging="360"/>
      </w:pPr>
      <w:rPr>
        <w:rFonts w:ascii="Wingdings" w:hAnsi="Wingdings" w:hint="default"/>
        <w:sz w:val="20"/>
      </w:rPr>
    </w:lvl>
    <w:lvl w:ilvl="4" w:tplc="15D83CEC">
      <w:start w:val="1"/>
      <w:numFmt w:val="bullet"/>
      <w:lvlText w:val=""/>
      <w:lvlJc w:val="left"/>
      <w:pPr>
        <w:tabs>
          <w:tab w:val="num" w:pos="3600"/>
        </w:tabs>
        <w:ind w:left="3600" w:hanging="360"/>
      </w:pPr>
      <w:rPr>
        <w:rFonts w:ascii="Wingdings" w:hAnsi="Wingdings" w:hint="default"/>
        <w:sz w:val="20"/>
      </w:rPr>
    </w:lvl>
    <w:lvl w:ilvl="5" w:tplc="A770F3DA">
      <w:start w:val="1"/>
      <w:numFmt w:val="bullet"/>
      <w:lvlText w:val=""/>
      <w:lvlJc w:val="left"/>
      <w:pPr>
        <w:tabs>
          <w:tab w:val="num" w:pos="4320"/>
        </w:tabs>
        <w:ind w:left="4320" w:hanging="360"/>
      </w:pPr>
      <w:rPr>
        <w:rFonts w:ascii="Wingdings" w:hAnsi="Wingdings" w:hint="default"/>
        <w:sz w:val="20"/>
      </w:rPr>
    </w:lvl>
    <w:lvl w:ilvl="6" w:tplc="9780B68E">
      <w:start w:val="1"/>
      <w:numFmt w:val="bullet"/>
      <w:lvlText w:val=""/>
      <w:lvlJc w:val="left"/>
      <w:pPr>
        <w:tabs>
          <w:tab w:val="num" w:pos="5040"/>
        </w:tabs>
        <w:ind w:left="5040" w:hanging="360"/>
      </w:pPr>
      <w:rPr>
        <w:rFonts w:ascii="Wingdings" w:hAnsi="Wingdings" w:hint="default"/>
        <w:sz w:val="20"/>
      </w:rPr>
    </w:lvl>
    <w:lvl w:ilvl="7" w:tplc="F198E480">
      <w:start w:val="1"/>
      <w:numFmt w:val="bullet"/>
      <w:lvlText w:val=""/>
      <w:lvlJc w:val="left"/>
      <w:pPr>
        <w:tabs>
          <w:tab w:val="num" w:pos="5760"/>
        </w:tabs>
        <w:ind w:left="5760" w:hanging="360"/>
      </w:pPr>
      <w:rPr>
        <w:rFonts w:ascii="Wingdings" w:hAnsi="Wingdings" w:hint="default"/>
        <w:sz w:val="20"/>
      </w:rPr>
    </w:lvl>
    <w:lvl w:ilvl="8" w:tplc="B84EFDD4">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631DE"/>
    <w:multiLevelType w:val="hybridMultilevel"/>
    <w:tmpl w:val="9C24B170"/>
    <w:lvl w:ilvl="0" w:tplc="88BC3250">
      <w:start w:val="1"/>
      <w:numFmt w:val="bullet"/>
      <w:lvlText w:val=""/>
      <w:lvlJc w:val="left"/>
      <w:pPr>
        <w:tabs>
          <w:tab w:val="num" w:pos="720"/>
        </w:tabs>
        <w:ind w:left="720" w:hanging="360"/>
      </w:pPr>
      <w:rPr>
        <w:rFonts w:ascii="Symbol" w:hAnsi="Symbol" w:hint="default"/>
        <w:sz w:val="20"/>
      </w:rPr>
    </w:lvl>
    <w:lvl w:ilvl="1" w:tplc="73168500">
      <w:start w:val="1"/>
      <w:numFmt w:val="bullet"/>
      <w:lvlText w:val="o"/>
      <w:lvlJc w:val="left"/>
      <w:pPr>
        <w:tabs>
          <w:tab w:val="num" w:pos="1440"/>
        </w:tabs>
        <w:ind w:left="1440" w:hanging="360"/>
      </w:pPr>
      <w:rPr>
        <w:rFonts w:ascii="Courier New" w:hAnsi="Courier New" w:hint="default"/>
        <w:sz w:val="20"/>
      </w:rPr>
    </w:lvl>
    <w:lvl w:ilvl="2" w:tplc="F0602414">
      <w:start w:val="1"/>
      <w:numFmt w:val="bullet"/>
      <w:lvlText w:val=""/>
      <w:lvlJc w:val="left"/>
      <w:pPr>
        <w:tabs>
          <w:tab w:val="num" w:pos="2160"/>
        </w:tabs>
        <w:ind w:left="2160" w:hanging="360"/>
      </w:pPr>
      <w:rPr>
        <w:rFonts w:ascii="Wingdings" w:hAnsi="Wingdings" w:hint="default"/>
        <w:sz w:val="20"/>
      </w:rPr>
    </w:lvl>
    <w:lvl w:ilvl="3" w:tplc="84F07324">
      <w:start w:val="1"/>
      <w:numFmt w:val="bullet"/>
      <w:lvlText w:val=""/>
      <w:lvlJc w:val="left"/>
      <w:pPr>
        <w:tabs>
          <w:tab w:val="num" w:pos="2880"/>
        </w:tabs>
        <w:ind w:left="2880" w:hanging="360"/>
      </w:pPr>
      <w:rPr>
        <w:rFonts w:ascii="Wingdings" w:hAnsi="Wingdings" w:hint="default"/>
        <w:sz w:val="20"/>
      </w:rPr>
    </w:lvl>
    <w:lvl w:ilvl="4" w:tplc="8CECE4B2">
      <w:start w:val="1"/>
      <w:numFmt w:val="bullet"/>
      <w:lvlText w:val=""/>
      <w:lvlJc w:val="left"/>
      <w:pPr>
        <w:tabs>
          <w:tab w:val="num" w:pos="3600"/>
        </w:tabs>
        <w:ind w:left="3600" w:hanging="360"/>
      </w:pPr>
      <w:rPr>
        <w:rFonts w:ascii="Wingdings" w:hAnsi="Wingdings" w:hint="default"/>
        <w:sz w:val="20"/>
      </w:rPr>
    </w:lvl>
    <w:lvl w:ilvl="5" w:tplc="1B8AEF4A">
      <w:start w:val="1"/>
      <w:numFmt w:val="bullet"/>
      <w:lvlText w:val=""/>
      <w:lvlJc w:val="left"/>
      <w:pPr>
        <w:tabs>
          <w:tab w:val="num" w:pos="4320"/>
        </w:tabs>
        <w:ind w:left="4320" w:hanging="360"/>
      </w:pPr>
      <w:rPr>
        <w:rFonts w:ascii="Wingdings" w:hAnsi="Wingdings" w:hint="default"/>
        <w:sz w:val="20"/>
      </w:rPr>
    </w:lvl>
    <w:lvl w:ilvl="6" w:tplc="9E7227D0">
      <w:start w:val="1"/>
      <w:numFmt w:val="bullet"/>
      <w:lvlText w:val=""/>
      <w:lvlJc w:val="left"/>
      <w:pPr>
        <w:tabs>
          <w:tab w:val="num" w:pos="5040"/>
        </w:tabs>
        <w:ind w:left="5040" w:hanging="360"/>
      </w:pPr>
      <w:rPr>
        <w:rFonts w:ascii="Wingdings" w:hAnsi="Wingdings" w:hint="default"/>
        <w:sz w:val="20"/>
      </w:rPr>
    </w:lvl>
    <w:lvl w:ilvl="7" w:tplc="AAAAB832">
      <w:start w:val="1"/>
      <w:numFmt w:val="bullet"/>
      <w:lvlText w:val=""/>
      <w:lvlJc w:val="left"/>
      <w:pPr>
        <w:tabs>
          <w:tab w:val="num" w:pos="5760"/>
        </w:tabs>
        <w:ind w:left="5760" w:hanging="360"/>
      </w:pPr>
      <w:rPr>
        <w:rFonts w:ascii="Wingdings" w:hAnsi="Wingdings" w:hint="default"/>
        <w:sz w:val="20"/>
      </w:rPr>
    </w:lvl>
    <w:lvl w:ilvl="8" w:tplc="CC34A634">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0C45F4"/>
    <w:multiLevelType w:val="hybridMultilevel"/>
    <w:tmpl w:val="C2EC5B62"/>
    <w:lvl w:ilvl="0" w:tplc="5A4EE30E">
      <w:start w:val="1"/>
      <w:numFmt w:val="bullet"/>
      <w:lvlText w:val=""/>
      <w:lvlJc w:val="left"/>
      <w:pPr>
        <w:tabs>
          <w:tab w:val="num" w:pos="720"/>
        </w:tabs>
        <w:ind w:left="720" w:hanging="360"/>
      </w:pPr>
      <w:rPr>
        <w:rFonts w:ascii="Symbol" w:hAnsi="Symbol" w:hint="default"/>
        <w:sz w:val="20"/>
      </w:rPr>
    </w:lvl>
    <w:lvl w:ilvl="1" w:tplc="2EEA4234">
      <w:start w:val="1"/>
      <w:numFmt w:val="bullet"/>
      <w:lvlText w:val="o"/>
      <w:lvlJc w:val="left"/>
      <w:pPr>
        <w:tabs>
          <w:tab w:val="num" w:pos="1440"/>
        </w:tabs>
        <w:ind w:left="1440" w:hanging="360"/>
      </w:pPr>
      <w:rPr>
        <w:rFonts w:ascii="Courier New" w:hAnsi="Courier New" w:hint="default"/>
        <w:sz w:val="20"/>
      </w:rPr>
    </w:lvl>
    <w:lvl w:ilvl="2" w:tplc="3B8E22FE">
      <w:start w:val="1"/>
      <w:numFmt w:val="bullet"/>
      <w:lvlText w:val=""/>
      <w:lvlJc w:val="left"/>
      <w:pPr>
        <w:tabs>
          <w:tab w:val="num" w:pos="2160"/>
        </w:tabs>
        <w:ind w:left="2160" w:hanging="360"/>
      </w:pPr>
      <w:rPr>
        <w:rFonts w:ascii="Wingdings" w:hAnsi="Wingdings" w:hint="default"/>
        <w:sz w:val="20"/>
      </w:rPr>
    </w:lvl>
    <w:lvl w:ilvl="3" w:tplc="D18A26A6">
      <w:start w:val="1"/>
      <w:numFmt w:val="bullet"/>
      <w:lvlText w:val=""/>
      <w:lvlJc w:val="left"/>
      <w:pPr>
        <w:tabs>
          <w:tab w:val="num" w:pos="2880"/>
        </w:tabs>
        <w:ind w:left="2880" w:hanging="360"/>
      </w:pPr>
      <w:rPr>
        <w:rFonts w:ascii="Wingdings" w:hAnsi="Wingdings" w:hint="default"/>
        <w:sz w:val="20"/>
      </w:rPr>
    </w:lvl>
    <w:lvl w:ilvl="4" w:tplc="1492A5BE">
      <w:start w:val="1"/>
      <w:numFmt w:val="bullet"/>
      <w:lvlText w:val=""/>
      <w:lvlJc w:val="left"/>
      <w:pPr>
        <w:tabs>
          <w:tab w:val="num" w:pos="3600"/>
        </w:tabs>
        <w:ind w:left="3600" w:hanging="360"/>
      </w:pPr>
      <w:rPr>
        <w:rFonts w:ascii="Wingdings" w:hAnsi="Wingdings" w:hint="default"/>
        <w:sz w:val="20"/>
      </w:rPr>
    </w:lvl>
    <w:lvl w:ilvl="5" w:tplc="16EA8B04">
      <w:start w:val="1"/>
      <w:numFmt w:val="bullet"/>
      <w:lvlText w:val=""/>
      <w:lvlJc w:val="left"/>
      <w:pPr>
        <w:tabs>
          <w:tab w:val="num" w:pos="4320"/>
        </w:tabs>
        <w:ind w:left="4320" w:hanging="360"/>
      </w:pPr>
      <w:rPr>
        <w:rFonts w:ascii="Wingdings" w:hAnsi="Wingdings" w:hint="default"/>
        <w:sz w:val="20"/>
      </w:rPr>
    </w:lvl>
    <w:lvl w:ilvl="6" w:tplc="BA723BDA">
      <w:start w:val="1"/>
      <w:numFmt w:val="bullet"/>
      <w:lvlText w:val=""/>
      <w:lvlJc w:val="left"/>
      <w:pPr>
        <w:tabs>
          <w:tab w:val="num" w:pos="5040"/>
        </w:tabs>
        <w:ind w:left="5040" w:hanging="360"/>
      </w:pPr>
      <w:rPr>
        <w:rFonts w:ascii="Wingdings" w:hAnsi="Wingdings" w:hint="default"/>
        <w:sz w:val="20"/>
      </w:rPr>
    </w:lvl>
    <w:lvl w:ilvl="7" w:tplc="6CB6E4B8">
      <w:start w:val="1"/>
      <w:numFmt w:val="bullet"/>
      <w:lvlText w:val=""/>
      <w:lvlJc w:val="left"/>
      <w:pPr>
        <w:tabs>
          <w:tab w:val="num" w:pos="5760"/>
        </w:tabs>
        <w:ind w:left="5760" w:hanging="360"/>
      </w:pPr>
      <w:rPr>
        <w:rFonts w:ascii="Wingdings" w:hAnsi="Wingdings" w:hint="default"/>
        <w:sz w:val="20"/>
      </w:rPr>
    </w:lvl>
    <w:lvl w:ilvl="8" w:tplc="266699FA">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951E89"/>
    <w:multiLevelType w:val="hybridMultilevel"/>
    <w:tmpl w:val="39DC08AE"/>
    <w:lvl w:ilvl="0" w:tplc="684EDACC">
      <w:start w:val="1"/>
      <w:numFmt w:val="decimal"/>
      <w:lvlText w:val="%1."/>
      <w:lvlJc w:val="left"/>
      <w:pPr>
        <w:ind w:left="720" w:hanging="360"/>
      </w:pPr>
      <w:rPr>
        <w:rFonts w:hint="default"/>
      </w:rPr>
    </w:lvl>
    <w:lvl w:ilvl="1" w:tplc="6A20DB78">
      <w:start w:val="1"/>
      <w:numFmt w:val="lowerLetter"/>
      <w:lvlText w:val="%2."/>
      <w:lvlJc w:val="left"/>
      <w:pPr>
        <w:ind w:left="1440" w:hanging="360"/>
      </w:pPr>
    </w:lvl>
    <w:lvl w:ilvl="2" w:tplc="3DD22F34">
      <w:start w:val="1"/>
      <w:numFmt w:val="lowerRoman"/>
      <w:lvlText w:val="%3."/>
      <w:lvlJc w:val="right"/>
      <w:pPr>
        <w:ind w:left="2160" w:hanging="180"/>
      </w:pPr>
    </w:lvl>
    <w:lvl w:ilvl="3" w:tplc="4B6258D2">
      <w:start w:val="1"/>
      <w:numFmt w:val="decimal"/>
      <w:lvlText w:val="%4."/>
      <w:lvlJc w:val="left"/>
      <w:pPr>
        <w:ind w:left="2880" w:hanging="360"/>
      </w:pPr>
    </w:lvl>
    <w:lvl w:ilvl="4" w:tplc="06F2D434">
      <w:start w:val="1"/>
      <w:numFmt w:val="lowerLetter"/>
      <w:lvlText w:val="%5."/>
      <w:lvlJc w:val="left"/>
      <w:pPr>
        <w:ind w:left="3600" w:hanging="360"/>
      </w:pPr>
    </w:lvl>
    <w:lvl w:ilvl="5" w:tplc="4B64AEC6">
      <w:start w:val="1"/>
      <w:numFmt w:val="lowerRoman"/>
      <w:lvlText w:val="%6."/>
      <w:lvlJc w:val="right"/>
      <w:pPr>
        <w:ind w:left="4320" w:hanging="180"/>
      </w:pPr>
    </w:lvl>
    <w:lvl w:ilvl="6" w:tplc="5E266F5A">
      <w:start w:val="1"/>
      <w:numFmt w:val="decimal"/>
      <w:lvlText w:val="%7."/>
      <w:lvlJc w:val="left"/>
      <w:pPr>
        <w:ind w:left="5040" w:hanging="360"/>
      </w:pPr>
    </w:lvl>
    <w:lvl w:ilvl="7" w:tplc="5192D61E">
      <w:start w:val="1"/>
      <w:numFmt w:val="lowerLetter"/>
      <w:lvlText w:val="%8."/>
      <w:lvlJc w:val="left"/>
      <w:pPr>
        <w:ind w:left="5760" w:hanging="360"/>
      </w:pPr>
    </w:lvl>
    <w:lvl w:ilvl="8" w:tplc="E36419DE">
      <w:start w:val="1"/>
      <w:numFmt w:val="lowerRoman"/>
      <w:lvlText w:val="%9."/>
      <w:lvlJc w:val="right"/>
      <w:pPr>
        <w:ind w:left="6480" w:hanging="180"/>
      </w:pPr>
    </w:lvl>
  </w:abstractNum>
  <w:abstractNum w:abstractNumId="21" w15:restartNumberingAfterBreak="0">
    <w:nsid w:val="57970926"/>
    <w:multiLevelType w:val="hybridMultilevel"/>
    <w:tmpl w:val="41C6C6BC"/>
    <w:lvl w:ilvl="0" w:tplc="D640D1AC">
      <w:start w:val="1"/>
      <w:numFmt w:val="bullet"/>
      <w:lvlText w:val=""/>
      <w:lvlJc w:val="left"/>
      <w:pPr>
        <w:tabs>
          <w:tab w:val="num" w:pos="720"/>
        </w:tabs>
        <w:ind w:left="720" w:hanging="360"/>
      </w:pPr>
      <w:rPr>
        <w:rFonts w:ascii="Symbol" w:hAnsi="Symbol" w:hint="default"/>
        <w:sz w:val="20"/>
      </w:rPr>
    </w:lvl>
    <w:lvl w:ilvl="1" w:tplc="6A526456">
      <w:start w:val="1"/>
      <w:numFmt w:val="bullet"/>
      <w:lvlText w:val="o"/>
      <w:lvlJc w:val="left"/>
      <w:pPr>
        <w:tabs>
          <w:tab w:val="num" w:pos="1440"/>
        </w:tabs>
        <w:ind w:left="1440" w:hanging="360"/>
      </w:pPr>
      <w:rPr>
        <w:rFonts w:ascii="Courier New" w:hAnsi="Courier New" w:hint="default"/>
        <w:sz w:val="20"/>
      </w:rPr>
    </w:lvl>
    <w:lvl w:ilvl="2" w:tplc="C9323832">
      <w:start w:val="1"/>
      <w:numFmt w:val="bullet"/>
      <w:lvlText w:val=""/>
      <w:lvlJc w:val="left"/>
      <w:pPr>
        <w:tabs>
          <w:tab w:val="num" w:pos="2160"/>
        </w:tabs>
        <w:ind w:left="2160" w:hanging="360"/>
      </w:pPr>
      <w:rPr>
        <w:rFonts w:ascii="Wingdings" w:hAnsi="Wingdings" w:hint="default"/>
        <w:sz w:val="20"/>
      </w:rPr>
    </w:lvl>
    <w:lvl w:ilvl="3" w:tplc="444EF8E4">
      <w:start w:val="1"/>
      <w:numFmt w:val="bullet"/>
      <w:lvlText w:val=""/>
      <w:lvlJc w:val="left"/>
      <w:pPr>
        <w:tabs>
          <w:tab w:val="num" w:pos="2880"/>
        </w:tabs>
        <w:ind w:left="2880" w:hanging="360"/>
      </w:pPr>
      <w:rPr>
        <w:rFonts w:ascii="Wingdings" w:hAnsi="Wingdings" w:hint="default"/>
        <w:sz w:val="20"/>
      </w:rPr>
    </w:lvl>
    <w:lvl w:ilvl="4" w:tplc="D2F6B7EC">
      <w:start w:val="1"/>
      <w:numFmt w:val="bullet"/>
      <w:lvlText w:val=""/>
      <w:lvlJc w:val="left"/>
      <w:pPr>
        <w:tabs>
          <w:tab w:val="num" w:pos="3600"/>
        </w:tabs>
        <w:ind w:left="3600" w:hanging="360"/>
      </w:pPr>
      <w:rPr>
        <w:rFonts w:ascii="Wingdings" w:hAnsi="Wingdings" w:hint="default"/>
        <w:sz w:val="20"/>
      </w:rPr>
    </w:lvl>
    <w:lvl w:ilvl="5" w:tplc="6B889952">
      <w:start w:val="1"/>
      <w:numFmt w:val="bullet"/>
      <w:lvlText w:val=""/>
      <w:lvlJc w:val="left"/>
      <w:pPr>
        <w:tabs>
          <w:tab w:val="num" w:pos="4320"/>
        </w:tabs>
        <w:ind w:left="4320" w:hanging="360"/>
      </w:pPr>
      <w:rPr>
        <w:rFonts w:ascii="Wingdings" w:hAnsi="Wingdings" w:hint="default"/>
        <w:sz w:val="20"/>
      </w:rPr>
    </w:lvl>
    <w:lvl w:ilvl="6" w:tplc="63287D7E">
      <w:start w:val="1"/>
      <w:numFmt w:val="bullet"/>
      <w:lvlText w:val=""/>
      <w:lvlJc w:val="left"/>
      <w:pPr>
        <w:tabs>
          <w:tab w:val="num" w:pos="5040"/>
        </w:tabs>
        <w:ind w:left="5040" w:hanging="360"/>
      </w:pPr>
      <w:rPr>
        <w:rFonts w:ascii="Wingdings" w:hAnsi="Wingdings" w:hint="default"/>
        <w:sz w:val="20"/>
      </w:rPr>
    </w:lvl>
    <w:lvl w:ilvl="7" w:tplc="B0D6AF20">
      <w:start w:val="1"/>
      <w:numFmt w:val="bullet"/>
      <w:lvlText w:val=""/>
      <w:lvlJc w:val="left"/>
      <w:pPr>
        <w:tabs>
          <w:tab w:val="num" w:pos="5760"/>
        </w:tabs>
        <w:ind w:left="5760" w:hanging="360"/>
      </w:pPr>
      <w:rPr>
        <w:rFonts w:ascii="Wingdings" w:hAnsi="Wingdings" w:hint="default"/>
        <w:sz w:val="20"/>
      </w:rPr>
    </w:lvl>
    <w:lvl w:ilvl="8" w:tplc="14C8BE5E">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B75DDE"/>
    <w:multiLevelType w:val="hybridMultilevel"/>
    <w:tmpl w:val="B8F2BE88"/>
    <w:lvl w:ilvl="0" w:tplc="0D1C5CE8">
      <w:start w:val="1"/>
      <w:numFmt w:val="bullet"/>
      <w:lvlText w:val=""/>
      <w:lvlJc w:val="left"/>
      <w:pPr>
        <w:tabs>
          <w:tab w:val="num" w:pos="720"/>
        </w:tabs>
        <w:ind w:left="720" w:hanging="360"/>
      </w:pPr>
      <w:rPr>
        <w:rFonts w:ascii="Symbol" w:hAnsi="Symbol" w:hint="default"/>
        <w:sz w:val="20"/>
      </w:rPr>
    </w:lvl>
    <w:lvl w:ilvl="1" w:tplc="A4002680">
      <w:start w:val="1"/>
      <w:numFmt w:val="bullet"/>
      <w:lvlText w:val="o"/>
      <w:lvlJc w:val="left"/>
      <w:pPr>
        <w:tabs>
          <w:tab w:val="num" w:pos="1440"/>
        </w:tabs>
        <w:ind w:left="1440" w:hanging="360"/>
      </w:pPr>
      <w:rPr>
        <w:rFonts w:ascii="Courier New" w:hAnsi="Courier New" w:hint="default"/>
        <w:sz w:val="20"/>
      </w:rPr>
    </w:lvl>
    <w:lvl w:ilvl="2" w:tplc="6AEC75AC">
      <w:start w:val="1"/>
      <w:numFmt w:val="bullet"/>
      <w:lvlText w:val=""/>
      <w:lvlJc w:val="left"/>
      <w:pPr>
        <w:tabs>
          <w:tab w:val="num" w:pos="2160"/>
        </w:tabs>
        <w:ind w:left="2160" w:hanging="360"/>
      </w:pPr>
      <w:rPr>
        <w:rFonts w:ascii="Wingdings" w:hAnsi="Wingdings" w:hint="default"/>
        <w:sz w:val="20"/>
      </w:rPr>
    </w:lvl>
    <w:lvl w:ilvl="3" w:tplc="AE0C7116">
      <w:start w:val="1"/>
      <w:numFmt w:val="bullet"/>
      <w:lvlText w:val=""/>
      <w:lvlJc w:val="left"/>
      <w:pPr>
        <w:tabs>
          <w:tab w:val="num" w:pos="2880"/>
        </w:tabs>
        <w:ind w:left="2880" w:hanging="360"/>
      </w:pPr>
      <w:rPr>
        <w:rFonts w:ascii="Wingdings" w:hAnsi="Wingdings" w:hint="default"/>
        <w:sz w:val="20"/>
      </w:rPr>
    </w:lvl>
    <w:lvl w:ilvl="4" w:tplc="BE461C4C">
      <w:start w:val="1"/>
      <w:numFmt w:val="bullet"/>
      <w:lvlText w:val=""/>
      <w:lvlJc w:val="left"/>
      <w:pPr>
        <w:tabs>
          <w:tab w:val="num" w:pos="3600"/>
        </w:tabs>
        <w:ind w:left="3600" w:hanging="360"/>
      </w:pPr>
      <w:rPr>
        <w:rFonts w:ascii="Wingdings" w:hAnsi="Wingdings" w:hint="default"/>
        <w:sz w:val="20"/>
      </w:rPr>
    </w:lvl>
    <w:lvl w:ilvl="5" w:tplc="EA8EDFAA">
      <w:start w:val="1"/>
      <w:numFmt w:val="bullet"/>
      <w:lvlText w:val=""/>
      <w:lvlJc w:val="left"/>
      <w:pPr>
        <w:tabs>
          <w:tab w:val="num" w:pos="4320"/>
        </w:tabs>
        <w:ind w:left="4320" w:hanging="360"/>
      </w:pPr>
      <w:rPr>
        <w:rFonts w:ascii="Wingdings" w:hAnsi="Wingdings" w:hint="default"/>
        <w:sz w:val="20"/>
      </w:rPr>
    </w:lvl>
    <w:lvl w:ilvl="6" w:tplc="3BC8E524">
      <w:start w:val="1"/>
      <w:numFmt w:val="bullet"/>
      <w:lvlText w:val=""/>
      <w:lvlJc w:val="left"/>
      <w:pPr>
        <w:tabs>
          <w:tab w:val="num" w:pos="5040"/>
        </w:tabs>
        <w:ind w:left="5040" w:hanging="360"/>
      </w:pPr>
      <w:rPr>
        <w:rFonts w:ascii="Wingdings" w:hAnsi="Wingdings" w:hint="default"/>
        <w:sz w:val="20"/>
      </w:rPr>
    </w:lvl>
    <w:lvl w:ilvl="7" w:tplc="1616BC02">
      <w:start w:val="1"/>
      <w:numFmt w:val="bullet"/>
      <w:lvlText w:val=""/>
      <w:lvlJc w:val="left"/>
      <w:pPr>
        <w:tabs>
          <w:tab w:val="num" w:pos="5760"/>
        </w:tabs>
        <w:ind w:left="5760" w:hanging="360"/>
      </w:pPr>
      <w:rPr>
        <w:rFonts w:ascii="Wingdings" w:hAnsi="Wingdings" w:hint="default"/>
        <w:sz w:val="20"/>
      </w:rPr>
    </w:lvl>
    <w:lvl w:ilvl="8" w:tplc="2CC03870">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6026B9"/>
    <w:multiLevelType w:val="hybridMultilevel"/>
    <w:tmpl w:val="9618B7C6"/>
    <w:lvl w:ilvl="0" w:tplc="95B49A4C">
      <w:start w:val="1"/>
      <w:numFmt w:val="bullet"/>
      <w:lvlText w:val=""/>
      <w:lvlJc w:val="left"/>
      <w:pPr>
        <w:tabs>
          <w:tab w:val="num" w:pos="720"/>
        </w:tabs>
        <w:ind w:left="720" w:hanging="360"/>
      </w:pPr>
      <w:rPr>
        <w:rFonts w:ascii="Symbol" w:hAnsi="Symbol" w:hint="default"/>
        <w:sz w:val="20"/>
      </w:rPr>
    </w:lvl>
    <w:lvl w:ilvl="1" w:tplc="C1FC6FF4">
      <w:start w:val="1"/>
      <w:numFmt w:val="bullet"/>
      <w:lvlText w:val="o"/>
      <w:lvlJc w:val="left"/>
      <w:pPr>
        <w:tabs>
          <w:tab w:val="num" w:pos="1440"/>
        </w:tabs>
        <w:ind w:left="1440" w:hanging="360"/>
      </w:pPr>
      <w:rPr>
        <w:rFonts w:ascii="Courier New" w:hAnsi="Courier New" w:hint="default"/>
        <w:sz w:val="20"/>
      </w:rPr>
    </w:lvl>
    <w:lvl w:ilvl="2" w:tplc="65A4CB74">
      <w:start w:val="1"/>
      <w:numFmt w:val="bullet"/>
      <w:lvlText w:val=""/>
      <w:lvlJc w:val="left"/>
      <w:pPr>
        <w:tabs>
          <w:tab w:val="num" w:pos="2160"/>
        </w:tabs>
        <w:ind w:left="2160" w:hanging="360"/>
      </w:pPr>
      <w:rPr>
        <w:rFonts w:ascii="Wingdings" w:hAnsi="Wingdings" w:hint="default"/>
        <w:sz w:val="20"/>
      </w:rPr>
    </w:lvl>
    <w:lvl w:ilvl="3" w:tplc="C0D2B522">
      <w:start w:val="1"/>
      <w:numFmt w:val="bullet"/>
      <w:lvlText w:val=""/>
      <w:lvlJc w:val="left"/>
      <w:pPr>
        <w:tabs>
          <w:tab w:val="num" w:pos="2880"/>
        </w:tabs>
        <w:ind w:left="2880" w:hanging="360"/>
      </w:pPr>
      <w:rPr>
        <w:rFonts w:ascii="Wingdings" w:hAnsi="Wingdings" w:hint="default"/>
        <w:sz w:val="20"/>
      </w:rPr>
    </w:lvl>
    <w:lvl w:ilvl="4" w:tplc="72DA972E">
      <w:start w:val="1"/>
      <w:numFmt w:val="bullet"/>
      <w:lvlText w:val=""/>
      <w:lvlJc w:val="left"/>
      <w:pPr>
        <w:tabs>
          <w:tab w:val="num" w:pos="3600"/>
        </w:tabs>
        <w:ind w:left="3600" w:hanging="360"/>
      </w:pPr>
      <w:rPr>
        <w:rFonts w:ascii="Wingdings" w:hAnsi="Wingdings" w:hint="default"/>
        <w:sz w:val="20"/>
      </w:rPr>
    </w:lvl>
    <w:lvl w:ilvl="5" w:tplc="5148CA48">
      <w:start w:val="1"/>
      <w:numFmt w:val="bullet"/>
      <w:lvlText w:val=""/>
      <w:lvlJc w:val="left"/>
      <w:pPr>
        <w:tabs>
          <w:tab w:val="num" w:pos="4320"/>
        </w:tabs>
        <w:ind w:left="4320" w:hanging="360"/>
      </w:pPr>
      <w:rPr>
        <w:rFonts w:ascii="Wingdings" w:hAnsi="Wingdings" w:hint="default"/>
        <w:sz w:val="20"/>
      </w:rPr>
    </w:lvl>
    <w:lvl w:ilvl="6" w:tplc="D0E0D9C0">
      <w:start w:val="1"/>
      <w:numFmt w:val="bullet"/>
      <w:lvlText w:val=""/>
      <w:lvlJc w:val="left"/>
      <w:pPr>
        <w:tabs>
          <w:tab w:val="num" w:pos="5040"/>
        </w:tabs>
        <w:ind w:left="5040" w:hanging="360"/>
      </w:pPr>
      <w:rPr>
        <w:rFonts w:ascii="Wingdings" w:hAnsi="Wingdings" w:hint="default"/>
        <w:sz w:val="20"/>
      </w:rPr>
    </w:lvl>
    <w:lvl w:ilvl="7" w:tplc="18EED396">
      <w:start w:val="1"/>
      <w:numFmt w:val="bullet"/>
      <w:lvlText w:val=""/>
      <w:lvlJc w:val="left"/>
      <w:pPr>
        <w:tabs>
          <w:tab w:val="num" w:pos="5760"/>
        </w:tabs>
        <w:ind w:left="5760" w:hanging="360"/>
      </w:pPr>
      <w:rPr>
        <w:rFonts w:ascii="Wingdings" w:hAnsi="Wingdings" w:hint="default"/>
        <w:sz w:val="20"/>
      </w:rPr>
    </w:lvl>
    <w:lvl w:ilvl="8" w:tplc="D46CD582">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793769"/>
    <w:multiLevelType w:val="hybridMultilevel"/>
    <w:tmpl w:val="D5DC0A56"/>
    <w:lvl w:ilvl="0" w:tplc="E854A3BE">
      <w:start w:val="1"/>
      <w:numFmt w:val="decimal"/>
      <w:lvlText w:val="%1."/>
      <w:lvlJc w:val="left"/>
      <w:pPr>
        <w:ind w:left="720" w:hanging="360"/>
      </w:pPr>
      <w:rPr>
        <w:rFonts w:hint="default"/>
      </w:rPr>
    </w:lvl>
    <w:lvl w:ilvl="1" w:tplc="61CC3C9C">
      <w:start w:val="1"/>
      <w:numFmt w:val="lowerLetter"/>
      <w:lvlText w:val="%2."/>
      <w:lvlJc w:val="left"/>
      <w:pPr>
        <w:ind w:left="1440" w:hanging="360"/>
      </w:pPr>
    </w:lvl>
    <w:lvl w:ilvl="2" w:tplc="A4CEE024">
      <w:start w:val="1"/>
      <w:numFmt w:val="lowerRoman"/>
      <w:lvlText w:val="%3."/>
      <w:lvlJc w:val="right"/>
      <w:pPr>
        <w:ind w:left="2160" w:hanging="180"/>
      </w:pPr>
    </w:lvl>
    <w:lvl w:ilvl="3" w:tplc="488EC1A2">
      <w:start w:val="1"/>
      <w:numFmt w:val="decimal"/>
      <w:lvlText w:val="%4."/>
      <w:lvlJc w:val="left"/>
      <w:pPr>
        <w:ind w:left="2880" w:hanging="360"/>
      </w:pPr>
    </w:lvl>
    <w:lvl w:ilvl="4" w:tplc="F8102F76">
      <w:start w:val="1"/>
      <w:numFmt w:val="lowerLetter"/>
      <w:lvlText w:val="%5."/>
      <w:lvlJc w:val="left"/>
      <w:pPr>
        <w:ind w:left="3600" w:hanging="360"/>
      </w:pPr>
    </w:lvl>
    <w:lvl w:ilvl="5" w:tplc="4DD08440">
      <w:start w:val="1"/>
      <w:numFmt w:val="lowerRoman"/>
      <w:lvlText w:val="%6."/>
      <w:lvlJc w:val="right"/>
      <w:pPr>
        <w:ind w:left="4320" w:hanging="180"/>
      </w:pPr>
    </w:lvl>
    <w:lvl w:ilvl="6" w:tplc="F656032E">
      <w:start w:val="1"/>
      <w:numFmt w:val="decimal"/>
      <w:lvlText w:val="%7."/>
      <w:lvlJc w:val="left"/>
      <w:pPr>
        <w:ind w:left="5040" w:hanging="360"/>
      </w:pPr>
    </w:lvl>
    <w:lvl w:ilvl="7" w:tplc="6CA46B50">
      <w:start w:val="1"/>
      <w:numFmt w:val="lowerLetter"/>
      <w:lvlText w:val="%8."/>
      <w:lvlJc w:val="left"/>
      <w:pPr>
        <w:ind w:left="5760" w:hanging="360"/>
      </w:pPr>
    </w:lvl>
    <w:lvl w:ilvl="8" w:tplc="65280796">
      <w:start w:val="1"/>
      <w:numFmt w:val="lowerRoman"/>
      <w:lvlText w:val="%9."/>
      <w:lvlJc w:val="right"/>
      <w:pPr>
        <w:ind w:left="6480" w:hanging="180"/>
      </w:pPr>
    </w:lvl>
  </w:abstractNum>
  <w:abstractNum w:abstractNumId="25" w15:restartNumberingAfterBreak="0">
    <w:nsid w:val="6EF21A0D"/>
    <w:multiLevelType w:val="hybridMultilevel"/>
    <w:tmpl w:val="3628FD56"/>
    <w:lvl w:ilvl="0" w:tplc="978A394E">
      <w:start w:val="9"/>
      <w:numFmt w:val="bullet"/>
      <w:lvlText w:val=""/>
      <w:lvlJc w:val="left"/>
      <w:pPr>
        <w:ind w:left="720" w:hanging="360"/>
      </w:pPr>
      <w:rPr>
        <w:rFonts w:ascii="Wingdings" w:eastAsiaTheme="minorHAnsi" w:hAnsi="Wingdings" w:cs="Times New Roman" w:hint="default"/>
      </w:rPr>
    </w:lvl>
    <w:lvl w:ilvl="1" w:tplc="B144E91C">
      <w:start w:val="1"/>
      <w:numFmt w:val="bullet"/>
      <w:lvlText w:val="o"/>
      <w:lvlJc w:val="left"/>
      <w:pPr>
        <w:ind w:left="1440" w:hanging="360"/>
      </w:pPr>
      <w:rPr>
        <w:rFonts w:ascii="Courier New" w:hAnsi="Courier New" w:cs="Courier New" w:hint="default"/>
      </w:rPr>
    </w:lvl>
    <w:lvl w:ilvl="2" w:tplc="9BCA12A8">
      <w:start w:val="1"/>
      <w:numFmt w:val="bullet"/>
      <w:lvlText w:val=""/>
      <w:lvlJc w:val="left"/>
      <w:pPr>
        <w:ind w:left="2160" w:hanging="360"/>
      </w:pPr>
      <w:rPr>
        <w:rFonts w:ascii="Wingdings" w:hAnsi="Wingdings" w:hint="default"/>
      </w:rPr>
    </w:lvl>
    <w:lvl w:ilvl="3" w:tplc="3A7C0D54">
      <w:start w:val="1"/>
      <w:numFmt w:val="bullet"/>
      <w:lvlText w:val=""/>
      <w:lvlJc w:val="left"/>
      <w:pPr>
        <w:ind w:left="2880" w:hanging="360"/>
      </w:pPr>
      <w:rPr>
        <w:rFonts w:ascii="Symbol" w:hAnsi="Symbol" w:hint="default"/>
      </w:rPr>
    </w:lvl>
    <w:lvl w:ilvl="4" w:tplc="B1ACC8D2">
      <w:start w:val="1"/>
      <w:numFmt w:val="bullet"/>
      <w:lvlText w:val="o"/>
      <w:lvlJc w:val="left"/>
      <w:pPr>
        <w:ind w:left="3600" w:hanging="360"/>
      </w:pPr>
      <w:rPr>
        <w:rFonts w:ascii="Courier New" w:hAnsi="Courier New" w:cs="Courier New" w:hint="default"/>
      </w:rPr>
    </w:lvl>
    <w:lvl w:ilvl="5" w:tplc="DBB8A8C8">
      <w:start w:val="1"/>
      <w:numFmt w:val="bullet"/>
      <w:lvlText w:val=""/>
      <w:lvlJc w:val="left"/>
      <w:pPr>
        <w:ind w:left="4320" w:hanging="360"/>
      </w:pPr>
      <w:rPr>
        <w:rFonts w:ascii="Wingdings" w:hAnsi="Wingdings" w:hint="default"/>
      </w:rPr>
    </w:lvl>
    <w:lvl w:ilvl="6" w:tplc="B038C488">
      <w:start w:val="1"/>
      <w:numFmt w:val="bullet"/>
      <w:lvlText w:val=""/>
      <w:lvlJc w:val="left"/>
      <w:pPr>
        <w:ind w:left="5040" w:hanging="360"/>
      </w:pPr>
      <w:rPr>
        <w:rFonts w:ascii="Symbol" w:hAnsi="Symbol" w:hint="default"/>
      </w:rPr>
    </w:lvl>
    <w:lvl w:ilvl="7" w:tplc="3F1CA096">
      <w:start w:val="1"/>
      <w:numFmt w:val="bullet"/>
      <w:lvlText w:val="o"/>
      <w:lvlJc w:val="left"/>
      <w:pPr>
        <w:ind w:left="5760" w:hanging="360"/>
      </w:pPr>
      <w:rPr>
        <w:rFonts w:ascii="Courier New" w:hAnsi="Courier New" w:cs="Courier New" w:hint="default"/>
      </w:rPr>
    </w:lvl>
    <w:lvl w:ilvl="8" w:tplc="2820A866">
      <w:start w:val="1"/>
      <w:numFmt w:val="bullet"/>
      <w:lvlText w:val=""/>
      <w:lvlJc w:val="left"/>
      <w:pPr>
        <w:ind w:left="6480" w:hanging="360"/>
      </w:pPr>
      <w:rPr>
        <w:rFonts w:ascii="Wingdings" w:hAnsi="Wingdings" w:hint="default"/>
      </w:rPr>
    </w:lvl>
  </w:abstractNum>
  <w:abstractNum w:abstractNumId="26" w15:restartNumberingAfterBreak="0">
    <w:nsid w:val="75BB6A24"/>
    <w:multiLevelType w:val="hybridMultilevel"/>
    <w:tmpl w:val="870A1DA2"/>
    <w:lvl w:ilvl="0" w:tplc="21AE83F8">
      <w:start w:val="1"/>
      <w:numFmt w:val="bullet"/>
      <w:lvlText w:val=""/>
      <w:lvlJc w:val="left"/>
      <w:pPr>
        <w:tabs>
          <w:tab w:val="num" w:pos="720"/>
        </w:tabs>
        <w:ind w:left="720" w:hanging="360"/>
      </w:pPr>
      <w:rPr>
        <w:rFonts w:ascii="Symbol" w:hAnsi="Symbol" w:hint="default"/>
        <w:sz w:val="20"/>
      </w:rPr>
    </w:lvl>
    <w:lvl w:ilvl="1" w:tplc="64022264">
      <w:start w:val="1"/>
      <w:numFmt w:val="bullet"/>
      <w:lvlText w:val="o"/>
      <w:lvlJc w:val="left"/>
      <w:pPr>
        <w:tabs>
          <w:tab w:val="num" w:pos="1440"/>
        </w:tabs>
        <w:ind w:left="1440" w:hanging="360"/>
      </w:pPr>
      <w:rPr>
        <w:rFonts w:ascii="Courier New" w:hAnsi="Courier New" w:hint="default"/>
        <w:sz w:val="20"/>
      </w:rPr>
    </w:lvl>
    <w:lvl w:ilvl="2" w:tplc="C5FAB9EE">
      <w:start w:val="1"/>
      <w:numFmt w:val="bullet"/>
      <w:lvlText w:val=""/>
      <w:lvlJc w:val="left"/>
      <w:pPr>
        <w:tabs>
          <w:tab w:val="num" w:pos="2160"/>
        </w:tabs>
        <w:ind w:left="2160" w:hanging="360"/>
      </w:pPr>
      <w:rPr>
        <w:rFonts w:ascii="Wingdings" w:hAnsi="Wingdings" w:hint="default"/>
        <w:sz w:val="20"/>
      </w:rPr>
    </w:lvl>
    <w:lvl w:ilvl="3" w:tplc="8052686C">
      <w:start w:val="1"/>
      <w:numFmt w:val="bullet"/>
      <w:lvlText w:val=""/>
      <w:lvlJc w:val="left"/>
      <w:pPr>
        <w:tabs>
          <w:tab w:val="num" w:pos="2880"/>
        </w:tabs>
        <w:ind w:left="2880" w:hanging="360"/>
      </w:pPr>
      <w:rPr>
        <w:rFonts w:ascii="Wingdings" w:hAnsi="Wingdings" w:hint="default"/>
        <w:sz w:val="20"/>
      </w:rPr>
    </w:lvl>
    <w:lvl w:ilvl="4" w:tplc="56682FFA">
      <w:start w:val="1"/>
      <w:numFmt w:val="bullet"/>
      <w:lvlText w:val=""/>
      <w:lvlJc w:val="left"/>
      <w:pPr>
        <w:tabs>
          <w:tab w:val="num" w:pos="3600"/>
        </w:tabs>
        <w:ind w:left="3600" w:hanging="360"/>
      </w:pPr>
      <w:rPr>
        <w:rFonts w:ascii="Wingdings" w:hAnsi="Wingdings" w:hint="default"/>
        <w:sz w:val="20"/>
      </w:rPr>
    </w:lvl>
    <w:lvl w:ilvl="5" w:tplc="08B09C8C">
      <w:start w:val="1"/>
      <w:numFmt w:val="bullet"/>
      <w:lvlText w:val=""/>
      <w:lvlJc w:val="left"/>
      <w:pPr>
        <w:tabs>
          <w:tab w:val="num" w:pos="4320"/>
        </w:tabs>
        <w:ind w:left="4320" w:hanging="360"/>
      </w:pPr>
      <w:rPr>
        <w:rFonts w:ascii="Wingdings" w:hAnsi="Wingdings" w:hint="default"/>
        <w:sz w:val="20"/>
      </w:rPr>
    </w:lvl>
    <w:lvl w:ilvl="6" w:tplc="5080CB0E">
      <w:start w:val="1"/>
      <w:numFmt w:val="bullet"/>
      <w:lvlText w:val=""/>
      <w:lvlJc w:val="left"/>
      <w:pPr>
        <w:tabs>
          <w:tab w:val="num" w:pos="5040"/>
        </w:tabs>
        <w:ind w:left="5040" w:hanging="360"/>
      </w:pPr>
      <w:rPr>
        <w:rFonts w:ascii="Wingdings" w:hAnsi="Wingdings" w:hint="default"/>
        <w:sz w:val="20"/>
      </w:rPr>
    </w:lvl>
    <w:lvl w:ilvl="7" w:tplc="6832AA34">
      <w:start w:val="1"/>
      <w:numFmt w:val="bullet"/>
      <w:lvlText w:val=""/>
      <w:lvlJc w:val="left"/>
      <w:pPr>
        <w:tabs>
          <w:tab w:val="num" w:pos="5760"/>
        </w:tabs>
        <w:ind w:left="5760" w:hanging="360"/>
      </w:pPr>
      <w:rPr>
        <w:rFonts w:ascii="Wingdings" w:hAnsi="Wingdings" w:hint="default"/>
        <w:sz w:val="20"/>
      </w:rPr>
    </w:lvl>
    <w:lvl w:ilvl="8" w:tplc="2D6C0A60">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6E3447"/>
    <w:multiLevelType w:val="hybridMultilevel"/>
    <w:tmpl w:val="9F0C0930"/>
    <w:lvl w:ilvl="0" w:tplc="B86A55AA">
      <w:start w:val="1"/>
      <w:numFmt w:val="decimal"/>
      <w:lvlText w:val="%1."/>
      <w:lvlJc w:val="left"/>
      <w:pPr>
        <w:ind w:left="720" w:hanging="360"/>
      </w:pPr>
      <w:rPr>
        <w:rFonts w:hint="default"/>
      </w:rPr>
    </w:lvl>
    <w:lvl w:ilvl="1" w:tplc="BD18D732">
      <w:start w:val="1"/>
      <w:numFmt w:val="lowerLetter"/>
      <w:lvlText w:val="%2."/>
      <w:lvlJc w:val="left"/>
      <w:pPr>
        <w:ind w:left="1440" w:hanging="360"/>
      </w:pPr>
    </w:lvl>
    <w:lvl w:ilvl="2" w:tplc="39468764">
      <w:start w:val="1"/>
      <w:numFmt w:val="lowerRoman"/>
      <w:lvlText w:val="%3."/>
      <w:lvlJc w:val="right"/>
      <w:pPr>
        <w:ind w:left="2160" w:hanging="180"/>
      </w:pPr>
    </w:lvl>
    <w:lvl w:ilvl="3" w:tplc="94C49048">
      <w:start w:val="1"/>
      <w:numFmt w:val="decimal"/>
      <w:lvlText w:val="%4."/>
      <w:lvlJc w:val="left"/>
      <w:pPr>
        <w:ind w:left="2880" w:hanging="360"/>
      </w:pPr>
    </w:lvl>
    <w:lvl w:ilvl="4" w:tplc="916C5114">
      <w:start w:val="1"/>
      <w:numFmt w:val="lowerLetter"/>
      <w:lvlText w:val="%5."/>
      <w:lvlJc w:val="left"/>
      <w:pPr>
        <w:ind w:left="3600" w:hanging="360"/>
      </w:pPr>
    </w:lvl>
    <w:lvl w:ilvl="5" w:tplc="DFB2339E">
      <w:start w:val="1"/>
      <w:numFmt w:val="lowerRoman"/>
      <w:lvlText w:val="%6."/>
      <w:lvlJc w:val="right"/>
      <w:pPr>
        <w:ind w:left="4320" w:hanging="180"/>
      </w:pPr>
    </w:lvl>
    <w:lvl w:ilvl="6" w:tplc="9E26938E">
      <w:start w:val="1"/>
      <w:numFmt w:val="decimal"/>
      <w:lvlText w:val="%7."/>
      <w:lvlJc w:val="left"/>
      <w:pPr>
        <w:ind w:left="5040" w:hanging="360"/>
      </w:pPr>
    </w:lvl>
    <w:lvl w:ilvl="7" w:tplc="30B62802">
      <w:start w:val="1"/>
      <w:numFmt w:val="lowerLetter"/>
      <w:lvlText w:val="%8."/>
      <w:lvlJc w:val="left"/>
      <w:pPr>
        <w:ind w:left="5760" w:hanging="360"/>
      </w:pPr>
    </w:lvl>
    <w:lvl w:ilvl="8" w:tplc="4C9A3028">
      <w:start w:val="1"/>
      <w:numFmt w:val="lowerRoman"/>
      <w:lvlText w:val="%9."/>
      <w:lvlJc w:val="right"/>
      <w:pPr>
        <w:ind w:left="6480" w:hanging="180"/>
      </w:pPr>
    </w:lvl>
  </w:abstractNum>
  <w:abstractNum w:abstractNumId="28" w15:restartNumberingAfterBreak="0">
    <w:nsid w:val="7726495F"/>
    <w:multiLevelType w:val="hybridMultilevel"/>
    <w:tmpl w:val="29C24F06"/>
    <w:lvl w:ilvl="0" w:tplc="F0B87F2A">
      <w:start w:val="1"/>
      <w:numFmt w:val="bullet"/>
      <w:lvlText w:val=""/>
      <w:lvlJc w:val="left"/>
      <w:pPr>
        <w:tabs>
          <w:tab w:val="num" w:pos="720"/>
        </w:tabs>
        <w:ind w:left="720" w:hanging="360"/>
      </w:pPr>
      <w:rPr>
        <w:rFonts w:ascii="Symbol" w:hAnsi="Symbol" w:hint="default"/>
        <w:sz w:val="20"/>
      </w:rPr>
    </w:lvl>
    <w:lvl w:ilvl="1" w:tplc="0AAA6BC0">
      <w:start w:val="1"/>
      <w:numFmt w:val="bullet"/>
      <w:lvlText w:val="o"/>
      <w:lvlJc w:val="left"/>
      <w:pPr>
        <w:tabs>
          <w:tab w:val="num" w:pos="1440"/>
        </w:tabs>
        <w:ind w:left="1440" w:hanging="360"/>
      </w:pPr>
      <w:rPr>
        <w:rFonts w:ascii="Courier New" w:hAnsi="Courier New" w:hint="default"/>
        <w:sz w:val="20"/>
      </w:rPr>
    </w:lvl>
    <w:lvl w:ilvl="2" w:tplc="0A8C09EC">
      <w:start w:val="1"/>
      <w:numFmt w:val="bullet"/>
      <w:lvlText w:val=""/>
      <w:lvlJc w:val="left"/>
      <w:pPr>
        <w:tabs>
          <w:tab w:val="num" w:pos="2160"/>
        </w:tabs>
        <w:ind w:left="2160" w:hanging="360"/>
      </w:pPr>
      <w:rPr>
        <w:rFonts w:ascii="Wingdings" w:hAnsi="Wingdings" w:hint="default"/>
        <w:sz w:val="20"/>
      </w:rPr>
    </w:lvl>
    <w:lvl w:ilvl="3" w:tplc="F970DD72">
      <w:start w:val="1"/>
      <w:numFmt w:val="bullet"/>
      <w:lvlText w:val=""/>
      <w:lvlJc w:val="left"/>
      <w:pPr>
        <w:tabs>
          <w:tab w:val="num" w:pos="2880"/>
        </w:tabs>
        <w:ind w:left="2880" w:hanging="360"/>
      </w:pPr>
      <w:rPr>
        <w:rFonts w:ascii="Wingdings" w:hAnsi="Wingdings" w:hint="default"/>
        <w:sz w:val="20"/>
      </w:rPr>
    </w:lvl>
    <w:lvl w:ilvl="4" w:tplc="13AC31A0">
      <w:start w:val="1"/>
      <w:numFmt w:val="bullet"/>
      <w:lvlText w:val=""/>
      <w:lvlJc w:val="left"/>
      <w:pPr>
        <w:tabs>
          <w:tab w:val="num" w:pos="3600"/>
        </w:tabs>
        <w:ind w:left="3600" w:hanging="360"/>
      </w:pPr>
      <w:rPr>
        <w:rFonts w:ascii="Wingdings" w:hAnsi="Wingdings" w:hint="default"/>
        <w:sz w:val="20"/>
      </w:rPr>
    </w:lvl>
    <w:lvl w:ilvl="5" w:tplc="4E602DE4">
      <w:start w:val="1"/>
      <w:numFmt w:val="bullet"/>
      <w:lvlText w:val=""/>
      <w:lvlJc w:val="left"/>
      <w:pPr>
        <w:tabs>
          <w:tab w:val="num" w:pos="4320"/>
        </w:tabs>
        <w:ind w:left="4320" w:hanging="360"/>
      </w:pPr>
      <w:rPr>
        <w:rFonts w:ascii="Wingdings" w:hAnsi="Wingdings" w:hint="default"/>
        <w:sz w:val="20"/>
      </w:rPr>
    </w:lvl>
    <w:lvl w:ilvl="6" w:tplc="FFAC076E">
      <w:start w:val="1"/>
      <w:numFmt w:val="bullet"/>
      <w:lvlText w:val=""/>
      <w:lvlJc w:val="left"/>
      <w:pPr>
        <w:tabs>
          <w:tab w:val="num" w:pos="5040"/>
        </w:tabs>
        <w:ind w:left="5040" w:hanging="360"/>
      </w:pPr>
      <w:rPr>
        <w:rFonts w:ascii="Wingdings" w:hAnsi="Wingdings" w:hint="default"/>
        <w:sz w:val="20"/>
      </w:rPr>
    </w:lvl>
    <w:lvl w:ilvl="7" w:tplc="721E6AF0">
      <w:start w:val="1"/>
      <w:numFmt w:val="bullet"/>
      <w:lvlText w:val=""/>
      <w:lvlJc w:val="left"/>
      <w:pPr>
        <w:tabs>
          <w:tab w:val="num" w:pos="5760"/>
        </w:tabs>
        <w:ind w:left="5760" w:hanging="360"/>
      </w:pPr>
      <w:rPr>
        <w:rFonts w:ascii="Wingdings" w:hAnsi="Wingdings" w:hint="default"/>
        <w:sz w:val="20"/>
      </w:rPr>
    </w:lvl>
    <w:lvl w:ilvl="8" w:tplc="E2B60220">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C26446"/>
    <w:multiLevelType w:val="hybridMultilevel"/>
    <w:tmpl w:val="49B64EB2"/>
    <w:lvl w:ilvl="0" w:tplc="9CEA5606">
      <w:start w:val="1"/>
      <w:numFmt w:val="bullet"/>
      <w:lvlText w:val=""/>
      <w:lvlJc w:val="left"/>
      <w:pPr>
        <w:tabs>
          <w:tab w:val="num" w:pos="720"/>
        </w:tabs>
        <w:ind w:left="720" w:hanging="360"/>
      </w:pPr>
      <w:rPr>
        <w:rFonts w:ascii="Symbol" w:hAnsi="Symbol" w:hint="default"/>
        <w:sz w:val="20"/>
      </w:rPr>
    </w:lvl>
    <w:lvl w:ilvl="1" w:tplc="8898BB2E">
      <w:start w:val="1"/>
      <w:numFmt w:val="bullet"/>
      <w:lvlText w:val="o"/>
      <w:lvlJc w:val="left"/>
      <w:pPr>
        <w:tabs>
          <w:tab w:val="num" w:pos="1440"/>
        </w:tabs>
        <w:ind w:left="1440" w:hanging="360"/>
      </w:pPr>
      <w:rPr>
        <w:rFonts w:ascii="Courier New" w:hAnsi="Courier New" w:hint="default"/>
        <w:sz w:val="20"/>
      </w:rPr>
    </w:lvl>
    <w:lvl w:ilvl="2" w:tplc="7B70D3A0">
      <w:start w:val="1"/>
      <w:numFmt w:val="bullet"/>
      <w:lvlText w:val=""/>
      <w:lvlJc w:val="left"/>
      <w:pPr>
        <w:tabs>
          <w:tab w:val="num" w:pos="2160"/>
        </w:tabs>
        <w:ind w:left="2160" w:hanging="360"/>
      </w:pPr>
      <w:rPr>
        <w:rFonts w:ascii="Wingdings" w:hAnsi="Wingdings" w:hint="default"/>
        <w:sz w:val="20"/>
      </w:rPr>
    </w:lvl>
    <w:lvl w:ilvl="3" w:tplc="2E5CDE5C">
      <w:start w:val="1"/>
      <w:numFmt w:val="bullet"/>
      <w:lvlText w:val=""/>
      <w:lvlJc w:val="left"/>
      <w:pPr>
        <w:tabs>
          <w:tab w:val="num" w:pos="2880"/>
        </w:tabs>
        <w:ind w:left="2880" w:hanging="360"/>
      </w:pPr>
      <w:rPr>
        <w:rFonts w:ascii="Wingdings" w:hAnsi="Wingdings" w:hint="default"/>
        <w:sz w:val="20"/>
      </w:rPr>
    </w:lvl>
    <w:lvl w:ilvl="4" w:tplc="25849BA0">
      <w:start w:val="1"/>
      <w:numFmt w:val="bullet"/>
      <w:lvlText w:val=""/>
      <w:lvlJc w:val="left"/>
      <w:pPr>
        <w:tabs>
          <w:tab w:val="num" w:pos="3600"/>
        </w:tabs>
        <w:ind w:left="3600" w:hanging="360"/>
      </w:pPr>
      <w:rPr>
        <w:rFonts w:ascii="Wingdings" w:hAnsi="Wingdings" w:hint="default"/>
        <w:sz w:val="20"/>
      </w:rPr>
    </w:lvl>
    <w:lvl w:ilvl="5" w:tplc="E9064220">
      <w:start w:val="1"/>
      <w:numFmt w:val="bullet"/>
      <w:lvlText w:val=""/>
      <w:lvlJc w:val="left"/>
      <w:pPr>
        <w:tabs>
          <w:tab w:val="num" w:pos="4320"/>
        </w:tabs>
        <w:ind w:left="4320" w:hanging="360"/>
      </w:pPr>
      <w:rPr>
        <w:rFonts w:ascii="Wingdings" w:hAnsi="Wingdings" w:hint="default"/>
        <w:sz w:val="20"/>
      </w:rPr>
    </w:lvl>
    <w:lvl w:ilvl="6" w:tplc="54C8D8BA">
      <w:start w:val="1"/>
      <w:numFmt w:val="bullet"/>
      <w:lvlText w:val=""/>
      <w:lvlJc w:val="left"/>
      <w:pPr>
        <w:tabs>
          <w:tab w:val="num" w:pos="5040"/>
        </w:tabs>
        <w:ind w:left="5040" w:hanging="360"/>
      </w:pPr>
      <w:rPr>
        <w:rFonts w:ascii="Wingdings" w:hAnsi="Wingdings" w:hint="default"/>
        <w:sz w:val="20"/>
      </w:rPr>
    </w:lvl>
    <w:lvl w:ilvl="7" w:tplc="0B56445A">
      <w:start w:val="1"/>
      <w:numFmt w:val="bullet"/>
      <w:lvlText w:val=""/>
      <w:lvlJc w:val="left"/>
      <w:pPr>
        <w:tabs>
          <w:tab w:val="num" w:pos="5760"/>
        </w:tabs>
        <w:ind w:left="5760" w:hanging="360"/>
      </w:pPr>
      <w:rPr>
        <w:rFonts w:ascii="Wingdings" w:hAnsi="Wingdings" w:hint="default"/>
        <w:sz w:val="20"/>
      </w:rPr>
    </w:lvl>
    <w:lvl w:ilvl="8" w:tplc="C5CCDB2C">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B852FA"/>
    <w:multiLevelType w:val="hybridMultilevel"/>
    <w:tmpl w:val="239EAFCE"/>
    <w:lvl w:ilvl="0" w:tplc="FB929802">
      <w:start w:val="9"/>
      <w:numFmt w:val="bullet"/>
      <w:lvlText w:val=""/>
      <w:lvlJc w:val="left"/>
      <w:pPr>
        <w:ind w:left="720" w:hanging="360"/>
      </w:pPr>
      <w:rPr>
        <w:rFonts w:ascii="Wingdings" w:eastAsiaTheme="minorHAnsi" w:hAnsi="Wingdings" w:cs="Arial,Bold" w:hint="default"/>
      </w:rPr>
    </w:lvl>
    <w:lvl w:ilvl="1" w:tplc="1A0EF256">
      <w:start w:val="1"/>
      <w:numFmt w:val="bullet"/>
      <w:lvlText w:val="o"/>
      <w:lvlJc w:val="left"/>
      <w:pPr>
        <w:ind w:left="1440" w:hanging="360"/>
      </w:pPr>
      <w:rPr>
        <w:rFonts w:ascii="Courier New" w:hAnsi="Courier New" w:cs="Courier New" w:hint="default"/>
      </w:rPr>
    </w:lvl>
    <w:lvl w:ilvl="2" w:tplc="6AEE960A">
      <w:start w:val="1"/>
      <w:numFmt w:val="bullet"/>
      <w:lvlText w:val=""/>
      <w:lvlJc w:val="left"/>
      <w:pPr>
        <w:ind w:left="2160" w:hanging="360"/>
      </w:pPr>
      <w:rPr>
        <w:rFonts w:ascii="Wingdings" w:hAnsi="Wingdings" w:hint="default"/>
      </w:rPr>
    </w:lvl>
    <w:lvl w:ilvl="3" w:tplc="92567BAE">
      <w:start w:val="1"/>
      <w:numFmt w:val="bullet"/>
      <w:lvlText w:val=""/>
      <w:lvlJc w:val="left"/>
      <w:pPr>
        <w:ind w:left="2880" w:hanging="360"/>
      </w:pPr>
      <w:rPr>
        <w:rFonts w:ascii="Symbol" w:hAnsi="Symbol" w:hint="default"/>
      </w:rPr>
    </w:lvl>
    <w:lvl w:ilvl="4" w:tplc="65807B70">
      <w:start w:val="1"/>
      <w:numFmt w:val="bullet"/>
      <w:lvlText w:val="o"/>
      <w:lvlJc w:val="left"/>
      <w:pPr>
        <w:ind w:left="3600" w:hanging="360"/>
      </w:pPr>
      <w:rPr>
        <w:rFonts w:ascii="Courier New" w:hAnsi="Courier New" w:cs="Courier New" w:hint="default"/>
      </w:rPr>
    </w:lvl>
    <w:lvl w:ilvl="5" w:tplc="1BFCF1AE">
      <w:start w:val="1"/>
      <w:numFmt w:val="bullet"/>
      <w:lvlText w:val=""/>
      <w:lvlJc w:val="left"/>
      <w:pPr>
        <w:ind w:left="4320" w:hanging="360"/>
      </w:pPr>
      <w:rPr>
        <w:rFonts w:ascii="Wingdings" w:hAnsi="Wingdings" w:hint="default"/>
      </w:rPr>
    </w:lvl>
    <w:lvl w:ilvl="6" w:tplc="68225BE4">
      <w:start w:val="1"/>
      <w:numFmt w:val="bullet"/>
      <w:lvlText w:val=""/>
      <w:lvlJc w:val="left"/>
      <w:pPr>
        <w:ind w:left="5040" w:hanging="360"/>
      </w:pPr>
      <w:rPr>
        <w:rFonts w:ascii="Symbol" w:hAnsi="Symbol" w:hint="default"/>
      </w:rPr>
    </w:lvl>
    <w:lvl w:ilvl="7" w:tplc="9446CFAA">
      <w:start w:val="1"/>
      <w:numFmt w:val="bullet"/>
      <w:lvlText w:val="o"/>
      <w:lvlJc w:val="left"/>
      <w:pPr>
        <w:ind w:left="5760" w:hanging="360"/>
      </w:pPr>
      <w:rPr>
        <w:rFonts w:ascii="Courier New" w:hAnsi="Courier New" w:cs="Courier New" w:hint="default"/>
      </w:rPr>
    </w:lvl>
    <w:lvl w:ilvl="8" w:tplc="29D2D1C8">
      <w:start w:val="1"/>
      <w:numFmt w:val="bullet"/>
      <w:lvlText w:val=""/>
      <w:lvlJc w:val="left"/>
      <w:pPr>
        <w:ind w:left="6480" w:hanging="360"/>
      </w:pPr>
      <w:rPr>
        <w:rFonts w:ascii="Wingdings" w:hAnsi="Wingdings" w:hint="default"/>
      </w:rPr>
    </w:lvl>
  </w:abstractNum>
  <w:num w:numId="1" w16cid:durableId="1605186786">
    <w:abstractNumId w:val="25"/>
  </w:num>
  <w:num w:numId="2" w16cid:durableId="306250873">
    <w:abstractNumId w:val="30"/>
  </w:num>
  <w:num w:numId="3" w16cid:durableId="677388726">
    <w:abstractNumId w:val="3"/>
  </w:num>
  <w:num w:numId="4" w16cid:durableId="1047685675">
    <w:abstractNumId w:val="4"/>
  </w:num>
  <w:num w:numId="5" w16cid:durableId="721440985">
    <w:abstractNumId w:val="5"/>
  </w:num>
  <w:num w:numId="6" w16cid:durableId="1806388785">
    <w:abstractNumId w:val="27"/>
  </w:num>
  <w:num w:numId="7" w16cid:durableId="1750274423">
    <w:abstractNumId w:val="24"/>
  </w:num>
  <w:num w:numId="8" w16cid:durableId="1623338313">
    <w:abstractNumId w:val="16"/>
  </w:num>
  <w:num w:numId="9" w16cid:durableId="30689274">
    <w:abstractNumId w:val="1"/>
  </w:num>
  <w:num w:numId="10" w16cid:durableId="1698004936">
    <w:abstractNumId w:val="20"/>
  </w:num>
  <w:num w:numId="11" w16cid:durableId="1982075097">
    <w:abstractNumId w:val="8"/>
  </w:num>
  <w:num w:numId="12" w16cid:durableId="1728411462">
    <w:abstractNumId w:val="2"/>
  </w:num>
  <w:num w:numId="13" w16cid:durableId="655452802">
    <w:abstractNumId w:val="17"/>
  </w:num>
  <w:num w:numId="14" w16cid:durableId="1281952948">
    <w:abstractNumId w:val="29"/>
  </w:num>
  <w:num w:numId="15" w16cid:durableId="103888583">
    <w:abstractNumId w:val="10"/>
  </w:num>
  <w:num w:numId="16" w16cid:durableId="1451974577">
    <w:abstractNumId w:val="18"/>
  </w:num>
  <w:num w:numId="17" w16cid:durableId="1703506953">
    <w:abstractNumId w:val="9"/>
  </w:num>
  <w:num w:numId="18" w16cid:durableId="2026638350">
    <w:abstractNumId w:val="6"/>
  </w:num>
  <w:num w:numId="19" w16cid:durableId="1215431091">
    <w:abstractNumId w:val="7"/>
  </w:num>
  <w:num w:numId="20" w16cid:durableId="1899054223">
    <w:abstractNumId w:val="26"/>
  </w:num>
  <w:num w:numId="21" w16cid:durableId="1581677446">
    <w:abstractNumId w:val="15"/>
  </w:num>
  <w:num w:numId="22" w16cid:durableId="402145135">
    <w:abstractNumId w:val="0"/>
  </w:num>
  <w:num w:numId="23" w16cid:durableId="1958825558">
    <w:abstractNumId w:val="22"/>
  </w:num>
  <w:num w:numId="24" w16cid:durableId="1643582161">
    <w:abstractNumId w:val="21"/>
  </w:num>
  <w:num w:numId="25" w16cid:durableId="1396464771">
    <w:abstractNumId w:val="11"/>
  </w:num>
  <w:num w:numId="26" w16cid:durableId="579027903">
    <w:abstractNumId w:val="23"/>
  </w:num>
  <w:num w:numId="27" w16cid:durableId="507332749">
    <w:abstractNumId w:val="13"/>
  </w:num>
  <w:num w:numId="28" w16cid:durableId="522325421">
    <w:abstractNumId w:val="12"/>
  </w:num>
  <w:num w:numId="29" w16cid:durableId="1994405859">
    <w:abstractNumId w:val="28"/>
  </w:num>
  <w:num w:numId="30" w16cid:durableId="2041665161">
    <w:abstractNumId w:val="19"/>
  </w:num>
  <w:num w:numId="31" w16cid:durableId="8255086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104"/>
    <w:rsid w:val="000A0C9E"/>
    <w:rsid w:val="00674104"/>
    <w:rsid w:val="006A03EE"/>
    <w:rsid w:val="006F2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3E6DB"/>
  <w15:docId w15:val="{2B7DC2A1-38FD-4E21-B0D2-146661F5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pPr>
      <w:widowControl w:val="0"/>
      <w:ind w:left="100" w:right="3120"/>
      <w:outlineLvl w:val="0"/>
    </w:pPr>
    <w:rPr>
      <w:rFonts w:ascii="Calibri" w:eastAsia="Calibri" w:hAnsi="Calibri" w:cs="Calibri"/>
      <w:b/>
      <w:bCs/>
      <w:sz w:val="4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spacing w:after="57"/>
      <w:ind w:left="567"/>
    </w:pPr>
  </w:style>
  <w:style w:type="paragraph" w:styleId="Sumrio4">
    <w:name w:val="toc 4"/>
    <w:basedOn w:val="Normal"/>
    <w:next w:val="Normal"/>
    <w:uiPriority w:val="39"/>
    <w:unhideWhenUsed/>
    <w:pPr>
      <w:spacing w:after="57"/>
      <w:ind w:left="850"/>
    </w:pPr>
  </w:style>
  <w:style w:type="paragraph" w:styleId="Sumrio5">
    <w:name w:val="toc 5"/>
    <w:basedOn w:val="Normal"/>
    <w:next w:val="Normal"/>
    <w:uiPriority w:val="39"/>
    <w:unhideWhenUsed/>
    <w:pPr>
      <w:spacing w:after="57"/>
      <w:ind w:left="1134"/>
    </w:pPr>
  </w:style>
  <w:style w:type="paragraph" w:styleId="Sumrio6">
    <w:name w:val="toc 6"/>
    <w:basedOn w:val="Normal"/>
    <w:next w:val="Normal"/>
    <w:uiPriority w:val="39"/>
    <w:unhideWhenUsed/>
    <w:pPr>
      <w:spacing w:after="57"/>
      <w:ind w:left="1417"/>
    </w:pPr>
  </w:style>
  <w:style w:type="paragraph" w:styleId="Sumrio7">
    <w:name w:val="toc 7"/>
    <w:basedOn w:val="Normal"/>
    <w:next w:val="Normal"/>
    <w:uiPriority w:val="39"/>
    <w:unhideWhenUsed/>
    <w:pPr>
      <w:spacing w:after="57"/>
      <w:ind w:left="1701"/>
    </w:pPr>
  </w:style>
  <w:style w:type="paragraph" w:styleId="Sumrio8">
    <w:name w:val="toc 8"/>
    <w:basedOn w:val="Normal"/>
    <w:next w:val="Normal"/>
    <w:uiPriority w:val="39"/>
    <w:unhideWhenUsed/>
    <w:pPr>
      <w:spacing w:after="57"/>
      <w:ind w:left="1984"/>
    </w:pPr>
  </w:style>
  <w:style w:type="paragraph" w:styleId="Sumrio9">
    <w:name w:val="toc 9"/>
    <w:basedOn w:val="Normal"/>
    <w:next w:val="Normal"/>
    <w:uiPriority w:val="39"/>
    <w:unhideWhenUsed/>
    <w:pPr>
      <w:spacing w:after="57"/>
      <w:ind w:left="2268"/>
    </w:pPr>
  </w:style>
  <w:style w:type="paragraph" w:styleId="CabealhodoSumrio">
    <w:name w:val="TOC Heading"/>
    <w:uiPriority w:val="39"/>
    <w:unhideWhenUsed/>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widowControl w:val="0"/>
      <w:spacing w:before="113"/>
      <w:ind w:left="100"/>
    </w:pPr>
    <w:rPr>
      <w:rFonts w:ascii="Arial Narrow" w:eastAsia="Arial Narrow" w:hAnsi="Arial Narrow" w:cs="Arial Narrow"/>
      <w:sz w:val="18"/>
      <w:szCs w:val="18"/>
      <w:lang w:val="en-US" w:eastAsia="en-US"/>
    </w:rPr>
  </w:style>
  <w:style w:type="paragraph" w:styleId="Sumrio1">
    <w:name w:val="toc 1"/>
    <w:basedOn w:val="Normal"/>
    <w:next w:val="Normal"/>
    <w:uiPriority w:val="39"/>
    <w:semiHidden/>
    <w:unhideWhenUsed/>
    <w:pPr>
      <w:spacing w:after="100" w:line="276" w:lineRule="auto"/>
    </w:pPr>
    <w:rPr>
      <w:rFonts w:ascii="Calibri" w:eastAsiaTheme="minorHAnsi" w:hAnsi="Calibri"/>
      <w:sz w:val="22"/>
      <w:szCs w:val="22"/>
      <w:lang w:eastAsia="en-US"/>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Pr>
      <w:rFonts w:ascii="Calibri" w:eastAsia="Calibri" w:hAnsi="Calibri" w:cs="Calibri"/>
      <w:b/>
      <w:bCs/>
      <w:sz w:val="4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cesc.tc.br/sites/default/files/leis_normas/resolucao_n_79-2013_consolidada.pdf" TargetMode="External"/><Relationship Id="rId13" Type="http://schemas.openxmlformats.org/officeDocument/2006/relationships/hyperlink" Target="http://www1.tce.pr.gov.br/conteudo/boletim-de-jurisprudencia-internacional/316601/area/24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tce.pr.gov.br/conteudo/boletim-informativo-de-jurisprudencia/280400/area/24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pesquisas-prontas/308475/area/249" TargetMode="External"/><Relationship Id="rId5" Type="http://schemas.openxmlformats.org/officeDocument/2006/relationships/webSettings" Target="webSettings.xml"/><Relationship Id="rId15" Type="http://schemas.openxmlformats.org/officeDocument/2006/relationships/hyperlink" Target="http://www1.tce.pr.gov.br/conteudo/sumulas-selecionadas/316602/area/249" TargetMode="External"/><Relationship Id="rId10" Type="http://schemas.openxmlformats.org/officeDocument/2006/relationships/hyperlink" Target="https://virtual.tce.sc.gov.br/pw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irtual.tce.sc.gov.br/pwa/" TargetMode="External"/><Relationship Id="rId14" Type="http://schemas.openxmlformats.org/officeDocument/2006/relationships/hyperlink" Target="http://www1.tce.pr.gov.br/conteudo/repercussao-geral-no-stf-e-os-tribunais-de-contas/307026/area/249"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g"/><Relationship Id="rId1" Type="http://schemas.openxmlformats.org/officeDocument/2006/relationships/image" Target="media/image1.jpg"/><Relationship Id="rId4" Type="http://schemas.openxmlformats.org/officeDocument/2006/relationships/image" Target="media/image2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3C74D022-C9B6-4C98-8292-5C7868A5971E}"/>
</file>

<file path=docProps/app.xml><?xml version="1.0" encoding="utf-8"?>
<Properties xmlns="http://schemas.openxmlformats.org/officeDocument/2006/extended-properties" xmlns:vt="http://schemas.openxmlformats.org/officeDocument/2006/docPropsVTypes">
  <Template>Normal</Template>
  <TotalTime>0</TotalTime>
  <Pages>9</Pages>
  <Words>4139</Words>
  <Characters>22353</Characters>
  <Application>Microsoft Office Word</Application>
  <DocSecurity>0</DocSecurity>
  <Lines>186</Lines>
  <Paragraphs>52</Paragraphs>
  <ScaleCrop>false</ScaleCrop>
  <Company/>
  <LinksUpToDate>false</LinksUpToDate>
  <CharactersWithSpaces>26440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Guilherme Hansen Faraj</dc:creator>
  <cp:lastModifiedBy>Andre Martins</cp:lastModifiedBy>
  <cp:revision>2</cp:revision>
  <dcterms:created xsi:type="dcterms:W3CDTF">2022-07-25T17:38:00Z</dcterms:created>
  <dcterms:modified xsi:type="dcterms:W3CDTF">2022-07-25T17:38:00Z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ies>
</file>