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2D40F" w14:textId="3A75C0BA" w:rsidR="00086AA8" w:rsidRDefault="00017EB9" w:rsidP="002B058E">
      <w:pPr>
        <w:pStyle w:val="Cabealho"/>
        <w:spacing w:line="276" w:lineRule="auto"/>
        <w:rPr>
          <w:rFonts w:ascii="Arial" w:hAnsi="Arial" w:cs="Arial"/>
          <w:sz w:val="20"/>
          <w:szCs w:val="20"/>
        </w:rPr>
      </w:pPr>
      <w:r w:rsidRPr="002B058E">
        <w:rPr>
          <w:rFonts w:ascii="Arial" w:hAnsi="Arial" w:cs="Arial"/>
          <w:noProof/>
          <w:sz w:val="20"/>
          <w:szCs w:val="20"/>
        </w:rPr>
        <mc:AlternateContent>
          <mc:Choice Requires="wps">
            <w:drawing>
              <wp:anchor distT="45720" distB="45720" distL="114300" distR="114300" simplePos="0" relativeHeight="251672064" behindDoc="0" locked="0" layoutInCell="1" allowOverlap="1" wp14:anchorId="092CB808" wp14:editId="20C86028">
                <wp:simplePos x="0" y="0"/>
                <wp:positionH relativeFrom="margin">
                  <wp:posOffset>-775335</wp:posOffset>
                </wp:positionH>
                <wp:positionV relativeFrom="paragraph">
                  <wp:posOffset>-413385</wp:posOffset>
                </wp:positionV>
                <wp:extent cx="3835400" cy="449580"/>
                <wp:effectExtent l="0" t="0" r="0" b="0"/>
                <wp:wrapNone/>
                <wp:docPr id="119464062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449580"/>
                        </a:xfrm>
                        <a:prstGeom prst="rect">
                          <a:avLst/>
                        </a:prstGeom>
                        <a:noFill/>
                        <a:ln w="9525">
                          <a:noFill/>
                          <a:miter lim="800000"/>
                          <a:headEnd/>
                          <a:tailEnd/>
                        </a:ln>
                      </wps:spPr>
                      <wps:txbx>
                        <w:txbxContent>
                          <w:p w14:paraId="0E3773ED" w14:textId="77777777" w:rsidR="00660E2F" w:rsidRPr="00017EB9" w:rsidRDefault="00660E2F" w:rsidP="00660E2F">
                            <w:pPr>
                              <w:rPr>
                                <w:rFonts w:ascii="Arial" w:hAnsi="Arial" w:cs="Arial"/>
                                <w:b/>
                                <w:bCs/>
                                <w:color w:val="FFFFFF" w:themeColor="background1"/>
                                <w:sz w:val="56"/>
                                <w:szCs w:val="56"/>
                              </w:rPr>
                            </w:pPr>
                            <w:r w:rsidRPr="00017EB9">
                              <w:rPr>
                                <w:rFonts w:ascii="Arial" w:hAnsi="Arial" w:cs="Arial"/>
                                <w:b/>
                                <w:bCs/>
                                <w:color w:val="FFFFFF" w:themeColor="background1"/>
                                <w:sz w:val="56"/>
                                <w:szCs w:val="56"/>
                              </w:rPr>
                              <w:t>TESES AMBIENTAIS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2CB808" id="_x0000_t202" coordsize="21600,21600" o:spt="202" path="m,l,21600r21600,l21600,xe">
                <v:stroke joinstyle="miter"/>
                <v:path gradientshapeok="t" o:connecttype="rect"/>
              </v:shapetype>
              <v:shape id="Caixa de Texto 2" o:spid="_x0000_s1026" type="#_x0000_t202" style="position:absolute;margin-left:-61.05pt;margin-top:-32.55pt;width:302pt;height:35.4pt;z-index:2516720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" filled="f" stroked="f">
                <v:textbox>
                  <w:txbxContent>
                    <w:p w14:paraId="0E3773ED" w14:textId="77777777" w:rsidR="00660E2F" w:rsidRPr="00017EB9" w:rsidRDefault="00660E2F" w:rsidP="00660E2F">
                      <w:pPr>
                        <w:rPr>
                          <w:rFonts w:ascii="Arial" w:hAnsi="Arial" w:cs="Arial"/>
                          <w:b/>
                          <w:bCs/>
                          <w:color w:val="FFFFFF" w:themeColor="background1"/>
                          <w:sz w:val="56"/>
                          <w:szCs w:val="56"/>
                        </w:rPr>
                      </w:pPr>
                      <w:r w:rsidRPr="00017EB9">
                        <w:rPr>
                          <w:rFonts w:ascii="Arial" w:hAnsi="Arial" w:cs="Arial"/>
                          <w:b/>
                          <w:bCs/>
                          <w:color w:val="FFFFFF" w:themeColor="background1"/>
                          <w:sz w:val="56"/>
                          <w:szCs w:val="56"/>
                        </w:rPr>
                        <w:t>TESES AMBIENTAIS</w:t>
                      </w:r>
                    </w:p>
                  </w:txbxContent>
                </v:textbox>
                <w10:wrap anchorx="margin"/>
              </v:shape>
            </w:pict>
          </mc:Fallback>
        </mc:AlternateContent>
      </w:r>
      <w:r w:rsidRPr="002B058E">
        <w:rPr>
          <w:rFonts w:ascii="Arial" w:hAnsi="Arial" w:cs="Arial"/>
          <w:noProof/>
          <w:sz w:val="20"/>
          <w:szCs w:val="20"/>
        </w:rPr>
        <mc:AlternateContent>
          <mc:Choice Requires="wps">
            <w:drawing>
              <wp:anchor distT="45720" distB="45720" distL="114300" distR="114300" simplePos="0" relativeHeight="251670016" behindDoc="0" locked="0" layoutInCell="1" allowOverlap="1" wp14:anchorId="72075A5C" wp14:editId="12ACDC1D">
                <wp:simplePos x="0" y="0"/>
                <wp:positionH relativeFrom="margin">
                  <wp:posOffset>-768350</wp:posOffset>
                </wp:positionH>
                <wp:positionV relativeFrom="paragraph">
                  <wp:posOffset>94615</wp:posOffset>
                </wp:positionV>
                <wp:extent cx="1423035" cy="414020"/>
                <wp:effectExtent l="0" t="0" r="0" b="0"/>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3035" cy="414020"/>
                        </a:xfrm>
                        <a:prstGeom prst="rect">
                          <a:avLst/>
                        </a:prstGeom>
                        <a:noFill/>
                        <a:ln w="9525">
                          <a:noFill/>
                          <a:miter lim="800000"/>
                          <a:headEnd/>
                          <a:tailEnd/>
                        </a:ln>
                      </wps:spPr>
                      <wps:txbx>
                        <w:txbxContent>
                          <w:p w14:paraId="50BCFFCA" w14:textId="4521627F" w:rsidR="002B058E" w:rsidRPr="00017EB9" w:rsidRDefault="00017EB9">
                            <w:pPr>
                              <w:rPr>
                                <w:rFonts w:ascii="Arial" w:hAnsi="Arial" w:cs="Arial"/>
                                <w:b/>
                                <w:bCs/>
                                <w:color w:val="FFFFFF" w:themeColor="background1"/>
                                <w:sz w:val="56"/>
                                <w:szCs w:val="56"/>
                              </w:rPr>
                            </w:pPr>
                            <w:r w:rsidRPr="00017EB9">
                              <w:rPr>
                                <w:rFonts w:ascii="Arial" w:hAnsi="Arial" w:cs="Arial"/>
                                <w:b/>
                                <w:bCs/>
                                <w:color w:val="FFFFFF" w:themeColor="background1"/>
                                <w:sz w:val="44"/>
                                <w:szCs w:val="44"/>
                              </w:rPr>
                              <w:t>N.º</w:t>
                            </w:r>
                            <w:r w:rsidR="002B058E" w:rsidRPr="00017EB9">
                              <w:rPr>
                                <w:rFonts w:ascii="Arial" w:hAnsi="Arial" w:cs="Arial"/>
                                <w:b/>
                                <w:bCs/>
                                <w:color w:val="FFFFFF" w:themeColor="background1"/>
                                <w:sz w:val="56"/>
                                <w:szCs w:val="56"/>
                              </w:rPr>
                              <w:t xml:space="preserve"> </w:t>
                            </w:r>
                            <w:r w:rsidR="002B058E" w:rsidRPr="00017EB9">
                              <w:rPr>
                                <w:rFonts w:ascii="Arial" w:hAnsi="Arial" w:cs="Arial"/>
                                <w:b/>
                                <w:bCs/>
                                <w:color w:val="FFFFFF" w:themeColor="background1"/>
                                <w:sz w:val="44"/>
                                <w:szCs w:val="44"/>
                              </w:rPr>
                              <w:t>3</w:t>
                            </w:r>
                            <w:r w:rsidR="00AF7CAD">
                              <w:rPr>
                                <w:rFonts w:ascii="Arial" w:hAnsi="Arial" w:cs="Arial"/>
                                <w:b/>
                                <w:bCs/>
                                <w:color w:val="FFFFFF" w:themeColor="background1"/>
                                <w:sz w:val="44"/>
                                <w:szCs w:val="44"/>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075A5C" id="_x0000_s1027" type="#_x0000_t202" style="position:absolute;margin-left:-60.5pt;margin-top:7.45pt;width:112.05pt;height:32.6pt;z-index:2516700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" filled="f" stroked="f">
                <v:textbox>
                  <w:txbxContent>
                    <w:p w14:paraId="50BCFFCA" w14:textId="4521627F" w:rsidR="002B058E" w:rsidRPr="00017EB9" w:rsidRDefault="00017EB9">
                      <w:pPr>
                        <w:rPr>
                          <w:rFonts w:ascii="Arial" w:hAnsi="Arial" w:cs="Arial"/>
                          <w:b/>
                          <w:bCs/>
                          <w:color w:val="FFFFFF" w:themeColor="background1"/>
                          <w:sz w:val="56"/>
                          <w:szCs w:val="56"/>
                        </w:rPr>
                      </w:pPr>
                      <w:r w:rsidRPr="00017EB9">
                        <w:rPr>
                          <w:rFonts w:ascii="Arial" w:hAnsi="Arial" w:cs="Arial"/>
                          <w:b/>
                          <w:bCs/>
                          <w:color w:val="FFFFFF" w:themeColor="background1"/>
                          <w:sz w:val="44"/>
                          <w:szCs w:val="44"/>
                        </w:rPr>
                        <w:t>N.º</w:t>
                      </w:r>
                      <w:r w:rsidR="002B058E" w:rsidRPr="00017EB9">
                        <w:rPr>
                          <w:rFonts w:ascii="Arial" w:hAnsi="Arial" w:cs="Arial"/>
                          <w:b/>
                          <w:bCs/>
                          <w:color w:val="FFFFFF" w:themeColor="background1"/>
                          <w:sz w:val="56"/>
                          <w:szCs w:val="56"/>
                        </w:rPr>
                        <w:t xml:space="preserve"> </w:t>
                      </w:r>
                      <w:r w:rsidR="002B058E" w:rsidRPr="00017EB9">
                        <w:rPr>
                          <w:rFonts w:ascii="Arial" w:hAnsi="Arial" w:cs="Arial"/>
                          <w:b/>
                          <w:bCs/>
                          <w:color w:val="FFFFFF" w:themeColor="background1"/>
                          <w:sz w:val="44"/>
                          <w:szCs w:val="44"/>
                        </w:rPr>
                        <w:t>3</w:t>
                      </w:r>
                      <w:r w:rsidR="00AF7CAD">
                        <w:rPr>
                          <w:rFonts w:ascii="Arial" w:hAnsi="Arial" w:cs="Arial"/>
                          <w:b/>
                          <w:bCs/>
                          <w:color w:val="FFFFFF" w:themeColor="background1"/>
                          <w:sz w:val="44"/>
                          <w:szCs w:val="44"/>
                        </w:rPr>
                        <w:t>7</w:t>
                      </w:r>
                    </w:p>
                  </w:txbxContent>
                </v:textbox>
                <w10:wrap anchorx="margin"/>
              </v:shape>
            </w:pict>
          </mc:Fallback>
        </mc:AlternateContent>
      </w:r>
    </w:p>
    <w:p w14:paraId="22AA43C3" w14:textId="7261E91D" w:rsidR="00674104" w:rsidRPr="002B058E" w:rsidRDefault="00086AA8" w:rsidP="00017EB9">
      <w:pPr>
        <w:pStyle w:val="Cabealho"/>
        <w:spacing w:line="276" w:lineRule="auto"/>
        <w:jc w:val="both"/>
        <w:rPr>
          <w:rFonts w:ascii="Arial" w:hAnsi="Arial" w:cs="Arial"/>
          <w:b/>
          <w:sz w:val="20"/>
          <w:szCs w:val="20"/>
        </w:rPr>
      </w:pPr>
      <w:r>
        <w:rPr>
          <w:rFonts w:ascii="Arial" w:hAnsi="Arial" w:cs="Arial"/>
          <w:b/>
          <w:noProof/>
          <w:sz w:val="28"/>
          <w:szCs w:val="28"/>
        </w:rPr>
        <w:drawing>
          <wp:anchor distT="0" distB="0" distL="114300" distR="114300" simplePos="0" relativeHeight="251665920" behindDoc="0" locked="0" layoutInCell="1" allowOverlap="1" wp14:anchorId="7E23F413" wp14:editId="300D3D05">
            <wp:simplePos x="0" y="0"/>
            <wp:positionH relativeFrom="page">
              <wp:align>left</wp:align>
            </wp:positionH>
            <wp:positionV relativeFrom="page">
              <wp:align>top</wp:align>
            </wp:positionV>
            <wp:extent cx="7578725" cy="2654300"/>
            <wp:effectExtent l="0" t="0" r="3175" b="0"/>
            <wp:wrapSquare wrapText="bothSides"/>
            <wp:docPr id="316827396"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827396" name="Imagem 3"/>
                    <pic:cNvPicPr/>
                  </pic:nvPicPr>
                  <pic:blipFill>
                    <a:blip r:embed="rId12" cstate="print">
                      <a:extLst>
                        <a:ext uri="{28A0092B-C50C-407E-A947-70E740481C1C}">
                          <a14:useLocalDpi xmlns:a14="http://schemas.microsoft.com/office/drawing/2010/main" val="0"/>
                        </a:ext>
                      </a:extLst>
                    </a:blip>
                    <a:srcRect l="398" r="398"/>
                    <a:stretch>
                      <a:fillRect/>
                    </a:stretch>
                  </pic:blipFill>
                  <pic:spPr bwMode="auto">
                    <a:xfrm>
                      <a:off x="0" y="0"/>
                      <a:ext cx="7578725" cy="2654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215CB">
        <w:rPr>
          <w:rFonts w:ascii="Arial" w:hAnsi="Arial" w:cs="Arial"/>
          <w:sz w:val="20"/>
          <w:szCs w:val="20"/>
        </w:rPr>
        <w:t xml:space="preserve">Este Boletim de periodicidade </w:t>
      </w:r>
      <w:r w:rsidR="001331C5">
        <w:rPr>
          <w:rFonts w:ascii="Arial" w:hAnsi="Arial" w:cs="Arial"/>
          <w:sz w:val="20"/>
          <w:szCs w:val="20"/>
        </w:rPr>
        <w:t>bimestral</w:t>
      </w:r>
      <w:r w:rsidR="004215CB">
        <w:rPr>
          <w:rFonts w:ascii="Arial" w:hAnsi="Arial" w:cs="Arial"/>
          <w:sz w:val="20"/>
          <w:szCs w:val="20"/>
        </w:rPr>
        <w:t xml:space="preserve"> contém informações sintéticas </w:t>
      </w:r>
      <w:r w:rsidR="00324281">
        <w:rPr>
          <w:rFonts w:ascii="Arial" w:hAnsi="Arial" w:cs="Arial"/>
          <w:sz w:val="20"/>
          <w:szCs w:val="20"/>
        </w:rPr>
        <w:t>de julgados relacionados ao</w:t>
      </w:r>
      <w:r w:rsidR="004215CB">
        <w:rPr>
          <w:rFonts w:ascii="Arial" w:hAnsi="Arial" w:cs="Arial"/>
          <w:sz w:val="20"/>
          <w:szCs w:val="20"/>
        </w:rPr>
        <w:t xml:space="preserve"> Direito Ambiental proferidas pelo Supremo Tribunal Federal - STF, Superior Tribunal de Justiça - STJ, Tribunal de Contas da União - TCU e do Tribunal de Contas do Paraná </w:t>
      </w:r>
      <w:r w:rsidR="00017EB9">
        <w:rPr>
          <w:rFonts w:ascii="Arial" w:hAnsi="Arial" w:cs="Arial"/>
          <w:sz w:val="20"/>
          <w:szCs w:val="20"/>
        </w:rPr>
        <w:t>–</w:t>
      </w:r>
      <w:r w:rsidR="004215CB">
        <w:rPr>
          <w:rFonts w:ascii="Arial" w:hAnsi="Arial" w:cs="Arial"/>
          <w:sz w:val="20"/>
          <w:szCs w:val="20"/>
        </w:rPr>
        <w:t xml:space="preserve"> TCE</w:t>
      </w:r>
      <w:r w:rsidR="00017EB9">
        <w:rPr>
          <w:rFonts w:ascii="Arial" w:hAnsi="Arial" w:cs="Arial"/>
          <w:sz w:val="20"/>
          <w:szCs w:val="20"/>
        </w:rPr>
        <w:t>-</w:t>
      </w:r>
      <w:r w:rsidR="004215CB">
        <w:rPr>
          <w:rFonts w:ascii="Arial" w:hAnsi="Arial" w:cs="Arial"/>
          <w:sz w:val="20"/>
          <w:szCs w:val="20"/>
        </w:rPr>
        <w:t>PR, bem como de outros Tribunais de Contas Estaduais e Municipais sobre temas relacionados ao controle externo</w:t>
      </w:r>
      <w:r w:rsidR="001F0576">
        <w:rPr>
          <w:rFonts w:ascii="Arial" w:hAnsi="Arial" w:cs="Arial"/>
          <w:sz w:val="20"/>
          <w:szCs w:val="20"/>
        </w:rPr>
        <w:t>,</w:t>
      </w:r>
      <w:r w:rsidR="004215CB">
        <w:rPr>
          <w:rFonts w:ascii="Arial" w:hAnsi="Arial" w:cs="Arial"/>
          <w:sz w:val="20"/>
          <w:szCs w:val="20"/>
        </w:rPr>
        <w:t xml:space="preserve"> evidenciando o </w:t>
      </w:r>
      <w:r w:rsidR="00324281">
        <w:rPr>
          <w:rFonts w:ascii="Arial" w:hAnsi="Arial" w:cs="Arial"/>
          <w:sz w:val="20"/>
          <w:szCs w:val="20"/>
        </w:rPr>
        <w:t>valor</w:t>
      </w:r>
      <w:r w:rsidR="004215CB">
        <w:rPr>
          <w:rFonts w:ascii="Arial" w:hAnsi="Arial" w:cs="Arial"/>
          <w:sz w:val="20"/>
          <w:szCs w:val="20"/>
        </w:rPr>
        <w:t xml:space="preserve"> da sustentabilidade.</w:t>
      </w:r>
    </w:p>
    <w:p w14:paraId="78F65BF7" w14:textId="77777777" w:rsidR="00674104" w:rsidRDefault="004215CB">
      <w:pPr>
        <w:jc w:val="both"/>
        <w:rPr>
          <w:rFonts w:ascii="Arial" w:hAnsi="Arial" w:cs="Arial"/>
          <w:sz w:val="20"/>
          <w:szCs w:val="20"/>
        </w:rPr>
      </w:pPr>
      <w:r>
        <w:rPr>
          <w:rFonts w:ascii="Arial" w:hAnsi="Arial" w:cs="Arial"/>
          <w:sz w:val="20"/>
          <w:szCs w:val="20"/>
        </w:rPr>
        <w:t xml:space="preserve"> </w:t>
      </w:r>
    </w:p>
    <w:p w14:paraId="1E33018D" w14:textId="77777777" w:rsidR="00674104" w:rsidRDefault="004215CB">
      <w:pPr>
        <w:jc w:val="both"/>
        <w:rPr>
          <w:rFonts w:ascii="Arial" w:hAnsi="Arial" w:cs="Arial"/>
          <w:sz w:val="20"/>
          <w:szCs w:val="20"/>
        </w:rPr>
      </w:pPr>
      <w:r>
        <w:rPr>
          <w:rFonts w:ascii="Arial" w:hAnsi="Arial" w:cs="Arial"/>
          <w:sz w:val="20"/>
          <w:szCs w:val="20"/>
        </w:rPr>
        <w:t>A seleção das decisões leva em consideração os aspectos de gestão ambiental eficiente, transparente e propositiva. Para aprofundamento, o leitor pode acessar o inteiro teor das deliberações por meio dos links disponíveis.</w:t>
      </w:r>
    </w:p>
    <w:p w14:paraId="25CF4A94" w14:textId="77777777" w:rsidR="00674104" w:rsidRPr="00412BC4" w:rsidRDefault="00674104">
      <w:pPr>
        <w:jc w:val="both"/>
        <w:rPr>
          <w:rFonts w:ascii="Arial" w:hAnsi="Arial" w:cs="Arial"/>
          <w:sz w:val="20"/>
          <w:szCs w:val="20"/>
          <w:u w:val="single"/>
        </w:rPr>
      </w:pPr>
    </w:p>
    <w:p w14:paraId="1C6CC6C4" w14:textId="77777777" w:rsidR="00674104" w:rsidRDefault="004215CB">
      <w:pPr>
        <w:jc w:val="both"/>
        <w:rPr>
          <w:rFonts w:ascii="Arial" w:hAnsi="Arial" w:cs="Arial"/>
          <w:sz w:val="20"/>
          <w:szCs w:val="20"/>
        </w:rPr>
      </w:pPr>
      <w:r>
        <w:rPr>
          <w:rFonts w:ascii="Arial" w:hAnsi="Arial" w:cs="Arial"/>
          <w:sz w:val="20"/>
          <w:szCs w:val="20"/>
        </w:rPr>
        <w:t>Lembramos, por fim, que este informativo não representa um repositório oficial de jurisprudência.</w:t>
      </w:r>
    </w:p>
    <w:p w14:paraId="14120D1F" w14:textId="77777777" w:rsidR="00674104" w:rsidRDefault="00674104">
      <w:pPr>
        <w:jc w:val="both"/>
        <w:rPr>
          <w:rFonts w:ascii="Arial" w:hAnsi="Arial" w:cs="Arial"/>
          <w:sz w:val="20"/>
          <w:szCs w:val="20"/>
        </w:rPr>
      </w:pPr>
    </w:p>
    <w:p w14:paraId="138E0F6B" w14:textId="77777777" w:rsidR="00674104" w:rsidRDefault="00AD46A8">
      <w:pPr>
        <w:jc w:val="both"/>
        <w:rPr>
          <w:rFonts w:ascii="Arial" w:hAnsi="Arial" w:cs="Arial"/>
          <w:sz w:val="20"/>
          <w:szCs w:val="20"/>
        </w:rPr>
      </w:pPr>
      <w:r>
        <w:rPr>
          <w:noProof/>
        </w:rPr>
        <mc:AlternateContent>
          <mc:Choice Requires="wps">
            <w:drawing>
              <wp:anchor distT="4294967294" distB="4294967294" distL="114300" distR="114300" simplePos="0" relativeHeight="251660800" behindDoc="0" locked="0" layoutInCell="1" allowOverlap="1" wp14:anchorId="693C7F97" wp14:editId="50F7A0EA">
                <wp:simplePos x="0" y="0"/>
                <wp:positionH relativeFrom="margin">
                  <wp:posOffset>-635</wp:posOffset>
                </wp:positionH>
                <wp:positionV relativeFrom="paragraph">
                  <wp:posOffset>29844</wp:posOffset>
                </wp:positionV>
                <wp:extent cx="5397500" cy="0"/>
                <wp:effectExtent l="0" t="0" r="12700" b="38100"/>
                <wp:wrapNone/>
                <wp:docPr id="1744572658"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975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546336F8" id="Conector reto 2" o:spid="_x0000_s1026" style="position:absolute;z-index:251660800;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margin;mso-height-relative:margin" from="-.05pt,2.35pt" to="424.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" strokecolor="black [3200]" strokeweight="2pt">
                <v:shadow on="t" color="black" opacity="24903f" origin=",.5" offset="0,.55556mm"/>
                <o:lock v:ext="edit" shapetype="f"/>
                <w10:wrap anchorx="margin"/>
              </v:line>
            </w:pict>
          </mc:Fallback>
        </mc:AlternateContent>
      </w:r>
    </w:p>
    <w:p w14:paraId="4BF23557" w14:textId="77777777" w:rsidR="00674104" w:rsidRPr="00017EB9" w:rsidRDefault="007D1CC9" w:rsidP="00017EB9">
      <w:pPr>
        <w:shd w:val="clear" w:color="auto" w:fill="5D9D4F"/>
        <w:tabs>
          <w:tab w:val="center" w:pos="4252"/>
        </w:tabs>
        <w:spacing w:line="276" w:lineRule="auto"/>
        <w:rPr>
          <w:rFonts w:ascii="Arial" w:eastAsia="Arial" w:hAnsi="Arial" w:cs="Arial"/>
          <w:b/>
          <w:color w:val="FFFFFF" w:themeColor="background1"/>
          <w:sz w:val="20"/>
          <w:szCs w:val="20"/>
        </w:rPr>
      </w:pPr>
      <w:r>
        <w:rPr>
          <w:rFonts w:ascii="Arial" w:eastAsia="Arial" w:hAnsi="Arial" w:cs="Arial"/>
          <w:b/>
          <w:sz w:val="20"/>
          <w:szCs w:val="20"/>
        </w:rPr>
        <w:tab/>
      </w:r>
      <w:r w:rsidR="004215CB" w:rsidRPr="00017EB9">
        <w:rPr>
          <w:rFonts w:ascii="Arial" w:eastAsia="Arial" w:hAnsi="Arial" w:cs="Arial"/>
          <w:b/>
          <w:color w:val="FFFFFF" w:themeColor="background1"/>
          <w:sz w:val="20"/>
          <w:szCs w:val="20"/>
        </w:rPr>
        <w:t>SUMÁRIO</w:t>
      </w:r>
    </w:p>
    <w:sdt>
      <w:sdtPr>
        <w:rPr>
          <w:rFonts w:ascii="Times New Roman" w:hAnsi="Times New Roman" w:cs="Times New Roman"/>
          <w:b w:val="0"/>
          <w:bCs w:val="0"/>
          <w:caps w:val="0"/>
          <w:sz w:val="24"/>
          <w:szCs w:val="24"/>
        </w:rPr>
        <w:id w:val="-1690376001"/>
        <w:docPartObj>
          <w:docPartGallery w:val="Table of Contents"/>
          <w:docPartUnique/>
        </w:docPartObj>
      </w:sdtPr>
      <w:sdtEndPr>
        <w:rPr>
          <w:rFonts w:asciiTheme="minorHAnsi" w:hAnsiTheme="minorHAnsi" w:cstheme="minorHAnsi"/>
          <w:b/>
          <w:bCs/>
          <w:caps/>
          <w:noProof/>
          <w:sz w:val="20"/>
          <w:szCs w:val="20"/>
        </w:rPr>
      </w:sdtEndPr>
      <w:sdtContent>
        <w:p w14:paraId="2131B2A4" w14:textId="2E8CDFDA" w:rsidR="000E258E" w:rsidRDefault="004B01E8" w:rsidP="000E258E">
          <w:pPr>
            <w:pStyle w:val="Sumrio1"/>
            <w:tabs>
              <w:tab w:val="right" w:leader="dot" w:pos="8494"/>
            </w:tabs>
            <w:jc w:val="both"/>
            <w:rPr>
              <w:rFonts w:eastAsiaTheme="minorEastAsia" w:cstheme="minorBidi"/>
              <w:b w:val="0"/>
              <w:bCs w:val="0"/>
              <w:caps w:val="0"/>
              <w:noProof/>
              <w:kern w:val="2"/>
              <w:sz w:val="24"/>
              <w:szCs w:val="24"/>
              <w14:ligatures w14:val="standardContextual"/>
            </w:rPr>
          </w:pPr>
          <w:r>
            <w:fldChar w:fldCharType="begin"/>
          </w:r>
          <w:r>
            <w:instrText xml:space="preserve"> TOC \o "1-1" \h \z \u </w:instrText>
          </w:r>
          <w:r>
            <w:fldChar w:fldCharType="separate"/>
          </w:r>
          <w:hyperlink w:anchor="_Toc188888786" w:history="1">
            <w:r w:rsidR="000E258E" w:rsidRPr="00D9461E">
              <w:rPr>
                <w:rStyle w:val="Hyperlink"/>
                <w:noProof/>
              </w:rPr>
              <w:t xml:space="preserve">1. </w:t>
            </w:r>
            <w:r w:rsidR="000E258E" w:rsidRPr="00D9461E">
              <w:rPr>
                <w:rStyle w:val="Hyperlink"/>
                <w:rFonts w:eastAsiaTheme="minorHAnsi" w:cs="Arial"/>
                <w:noProof/>
              </w:rPr>
              <w:t>AU</w:t>
            </w:r>
            <w:r w:rsidR="000E258E" w:rsidRPr="00D9461E">
              <w:rPr>
                <w:rStyle w:val="Hyperlink"/>
                <w:rFonts w:eastAsiaTheme="minorHAnsi" w:cs="Arial"/>
                <w:noProof/>
              </w:rPr>
              <w:t>D</w:t>
            </w:r>
            <w:r w:rsidR="000E258E" w:rsidRPr="00D9461E">
              <w:rPr>
                <w:rStyle w:val="Hyperlink"/>
                <w:rFonts w:eastAsiaTheme="minorHAnsi" w:cs="Arial"/>
                <w:noProof/>
              </w:rPr>
              <w:t>ITORIA OPERACIONAL. BNB. ESTUDO SOBRE A EFETIVIDADE DA ATUAÇÃO DO BNB NO</w:t>
            </w:r>
            <w:r w:rsidR="000E258E" w:rsidRPr="00D9461E">
              <w:rPr>
                <w:rStyle w:val="Hyperlink"/>
                <w:rFonts w:eastAsiaTheme="minorHAnsi" w:cs="Arial"/>
                <w:noProof/>
              </w:rPr>
              <w:t xml:space="preserve"> </w:t>
            </w:r>
            <w:r w:rsidR="000E258E" w:rsidRPr="00D9461E">
              <w:rPr>
                <w:rStyle w:val="Hyperlink"/>
                <w:rFonts w:eastAsiaTheme="minorHAnsi" w:cs="Arial"/>
                <w:noProof/>
              </w:rPr>
              <w:t>DESENVOLVIMENTO DA REGIÃO DA SUDENE. ANÁLISE DAS ATIVIDADES DE AVALIAÇÃO, MONITORAMENTO E DIVULGAÇÃO DAS AÇÕES DESENVOLVIDAS PELO BANCO. FRAGILIDADES E OPORTUNIDADES DE MELHORIA. RECOMENDAÇÕES.</w:t>
            </w:r>
            <w:r w:rsidR="000E258E">
              <w:rPr>
                <w:noProof/>
                <w:webHidden/>
              </w:rPr>
              <w:tab/>
            </w:r>
            <w:r w:rsidR="000E258E">
              <w:rPr>
                <w:noProof/>
                <w:webHidden/>
              </w:rPr>
              <w:fldChar w:fldCharType="begin"/>
            </w:r>
            <w:r w:rsidR="000E258E">
              <w:rPr>
                <w:noProof/>
                <w:webHidden/>
              </w:rPr>
              <w:instrText xml:space="preserve"> PAGEREF _Toc188888786 \h </w:instrText>
            </w:r>
            <w:r w:rsidR="000E258E">
              <w:rPr>
                <w:noProof/>
                <w:webHidden/>
              </w:rPr>
            </w:r>
            <w:r w:rsidR="000E258E">
              <w:rPr>
                <w:noProof/>
                <w:webHidden/>
              </w:rPr>
              <w:fldChar w:fldCharType="separate"/>
            </w:r>
            <w:r w:rsidR="00305652">
              <w:rPr>
                <w:noProof/>
                <w:webHidden/>
              </w:rPr>
              <w:t>2</w:t>
            </w:r>
            <w:r w:rsidR="000E258E">
              <w:rPr>
                <w:noProof/>
                <w:webHidden/>
              </w:rPr>
              <w:fldChar w:fldCharType="end"/>
            </w:r>
          </w:hyperlink>
        </w:p>
        <w:p w14:paraId="0A9F0AAF" w14:textId="0DA46EAC" w:rsidR="000E258E" w:rsidRDefault="000E258E" w:rsidP="000E258E">
          <w:pPr>
            <w:pStyle w:val="Sumrio1"/>
            <w:tabs>
              <w:tab w:val="right" w:leader="dot" w:pos="8494"/>
            </w:tabs>
            <w:jc w:val="both"/>
            <w:rPr>
              <w:rFonts w:eastAsiaTheme="minorEastAsia" w:cstheme="minorBidi"/>
              <w:b w:val="0"/>
              <w:bCs w:val="0"/>
              <w:caps w:val="0"/>
              <w:noProof/>
              <w:kern w:val="2"/>
              <w:sz w:val="24"/>
              <w:szCs w:val="24"/>
              <w14:ligatures w14:val="standardContextual"/>
            </w:rPr>
          </w:pPr>
          <w:hyperlink w:anchor="_Toc188888787" w:history="1">
            <w:r w:rsidRPr="00D9461E">
              <w:rPr>
                <w:rStyle w:val="Hyperlink"/>
                <w:noProof/>
              </w:rPr>
              <w:t>2. Consulta. Questionamento sobre a contabilização de gastos realizados com publicidade institucional visando o enfrentamento de emergência sanitária (surto de dengue) em período eleitoral. Possibilidade de exclusão dos limites legais do art. 73, incisos VI e VII, da Lei nº 9.504/97, para fins de fiscalização, preservada a competência da Justiça Eleitoral.</w:t>
            </w:r>
            <w:r>
              <w:rPr>
                <w:noProof/>
                <w:webHidden/>
              </w:rPr>
              <w:tab/>
            </w:r>
            <w:r>
              <w:rPr>
                <w:noProof/>
                <w:webHidden/>
              </w:rPr>
              <w:fldChar w:fldCharType="begin"/>
            </w:r>
            <w:r>
              <w:rPr>
                <w:noProof/>
                <w:webHidden/>
              </w:rPr>
              <w:instrText xml:space="preserve"> PAGEREF _Toc188888787 \h </w:instrText>
            </w:r>
            <w:r>
              <w:rPr>
                <w:noProof/>
                <w:webHidden/>
              </w:rPr>
            </w:r>
            <w:r>
              <w:rPr>
                <w:noProof/>
                <w:webHidden/>
              </w:rPr>
              <w:fldChar w:fldCharType="separate"/>
            </w:r>
            <w:r w:rsidR="00305652">
              <w:rPr>
                <w:noProof/>
                <w:webHidden/>
              </w:rPr>
              <w:t>4</w:t>
            </w:r>
            <w:r>
              <w:rPr>
                <w:noProof/>
                <w:webHidden/>
              </w:rPr>
              <w:fldChar w:fldCharType="end"/>
            </w:r>
          </w:hyperlink>
        </w:p>
        <w:p w14:paraId="12B3757A" w14:textId="5AD9A8E4" w:rsidR="000E258E" w:rsidRDefault="000E258E" w:rsidP="000E258E">
          <w:pPr>
            <w:pStyle w:val="Sumrio1"/>
            <w:tabs>
              <w:tab w:val="right" w:leader="dot" w:pos="8494"/>
            </w:tabs>
            <w:jc w:val="both"/>
            <w:rPr>
              <w:rFonts w:eastAsiaTheme="minorEastAsia" w:cstheme="minorBidi"/>
              <w:b w:val="0"/>
              <w:bCs w:val="0"/>
              <w:caps w:val="0"/>
              <w:noProof/>
              <w:kern w:val="2"/>
              <w:sz w:val="24"/>
              <w:szCs w:val="24"/>
              <w14:ligatures w14:val="standardContextual"/>
            </w:rPr>
          </w:pPr>
          <w:hyperlink w:anchor="_Toc188888791" w:history="1">
            <w:r w:rsidRPr="00D9461E">
              <w:rPr>
                <w:rStyle w:val="Hyperlink"/>
                <w:noProof/>
              </w:rPr>
              <w:t>3. REPRESENTAÇÃO. INSTITUTO DO MEIO AMBIENTE E DOS RECURSOS HÍDRICOS DO DISTRITO FEDERAL. BRASÍLIA AMBIENTAL. NORMAS DE ACESSIBILIDADE. PARQUES ECOLÓGICOS. ESCLARECIMENTOS. PROCEDÊNCIA.</w:t>
            </w:r>
            <w:r>
              <w:rPr>
                <w:noProof/>
                <w:webHidden/>
              </w:rPr>
              <w:tab/>
            </w:r>
            <w:r>
              <w:rPr>
                <w:noProof/>
                <w:webHidden/>
              </w:rPr>
              <w:fldChar w:fldCharType="begin"/>
            </w:r>
            <w:r>
              <w:rPr>
                <w:noProof/>
                <w:webHidden/>
              </w:rPr>
              <w:instrText xml:space="preserve"> PAGEREF _Toc188888791 \h </w:instrText>
            </w:r>
            <w:r>
              <w:rPr>
                <w:noProof/>
                <w:webHidden/>
              </w:rPr>
            </w:r>
            <w:r>
              <w:rPr>
                <w:noProof/>
                <w:webHidden/>
              </w:rPr>
              <w:fldChar w:fldCharType="separate"/>
            </w:r>
            <w:r w:rsidR="00305652">
              <w:rPr>
                <w:noProof/>
                <w:webHidden/>
              </w:rPr>
              <w:t>4</w:t>
            </w:r>
            <w:r>
              <w:rPr>
                <w:noProof/>
                <w:webHidden/>
              </w:rPr>
              <w:fldChar w:fldCharType="end"/>
            </w:r>
          </w:hyperlink>
        </w:p>
        <w:p w14:paraId="2C17DA20" w14:textId="57ADE087" w:rsidR="000E258E" w:rsidRDefault="000E258E" w:rsidP="000E258E">
          <w:pPr>
            <w:pStyle w:val="Sumrio1"/>
            <w:tabs>
              <w:tab w:val="right" w:leader="dot" w:pos="8494"/>
            </w:tabs>
            <w:jc w:val="both"/>
            <w:rPr>
              <w:rFonts w:eastAsiaTheme="minorEastAsia" w:cstheme="minorBidi"/>
              <w:b w:val="0"/>
              <w:bCs w:val="0"/>
              <w:caps w:val="0"/>
              <w:noProof/>
              <w:kern w:val="2"/>
              <w:sz w:val="24"/>
              <w:szCs w:val="24"/>
              <w14:ligatures w14:val="standardContextual"/>
            </w:rPr>
          </w:pPr>
          <w:hyperlink w:anchor="_Toc188888811" w:history="1">
            <w:r w:rsidRPr="00D9461E">
              <w:rPr>
                <w:rStyle w:val="Hyperlink"/>
                <w:noProof/>
              </w:rPr>
              <w:t>4. DIREITO ADMINISTRATIVO E OUTRAS MATÉRIAS DE DIREITO PÚBLICO. AGRAVO REGIMENTAL NO RECURSO EXTRAORDINÁRIO COM AGRAVO. MEIO AMBIENTE. ÁREA DE PRESERVAÇÃO PERMANENTE. AGRAVO REGIMENTAL DESPROVIDO. I. Caso em exame 1. Trata-se de agravo regimental interposto contra decisão que negou seguimento ao recurso extraordinário, fundamentada na natureza infraconstitucional da questão e na necessidade de reexame de provas, vedado pelo STF. II. Questão em discussão 2. A questão em discussão consiste em saber se o direito à moradia do agravante prevalece sobre a proteção ambiental da área onde se encontra o imóvel. III. Razões de decidir 3. O direito à moradia e a proteção ambiental foram ponderados conforme a legislação, que já definia a área como de preservação antes da construção, afastando aplicação retroativa da lei. IV. Dispositivo e tese 5. Agravo regimental desprovido. _________ Jurisprudência relevante citada: ARE 1.460.442 AgR, ARE 1.139.337 AgR, Súmula 279 STF.</w:t>
            </w:r>
            <w:r>
              <w:rPr>
                <w:noProof/>
                <w:webHidden/>
              </w:rPr>
              <w:tab/>
            </w:r>
            <w:r>
              <w:rPr>
                <w:noProof/>
                <w:webHidden/>
              </w:rPr>
              <w:fldChar w:fldCharType="begin"/>
            </w:r>
            <w:r>
              <w:rPr>
                <w:noProof/>
                <w:webHidden/>
              </w:rPr>
              <w:instrText xml:space="preserve"> PAGEREF _Toc188888811 \h </w:instrText>
            </w:r>
            <w:r>
              <w:rPr>
                <w:noProof/>
                <w:webHidden/>
              </w:rPr>
            </w:r>
            <w:r>
              <w:rPr>
                <w:noProof/>
                <w:webHidden/>
              </w:rPr>
              <w:fldChar w:fldCharType="separate"/>
            </w:r>
            <w:r w:rsidR="00305652">
              <w:rPr>
                <w:noProof/>
                <w:webHidden/>
              </w:rPr>
              <w:t>6</w:t>
            </w:r>
            <w:r>
              <w:rPr>
                <w:noProof/>
                <w:webHidden/>
              </w:rPr>
              <w:fldChar w:fldCharType="end"/>
            </w:r>
          </w:hyperlink>
        </w:p>
        <w:p w14:paraId="6ECA0EE9" w14:textId="374EB9E9" w:rsidR="00C76BA8" w:rsidRDefault="000E258E" w:rsidP="000C7B30">
          <w:pPr>
            <w:pStyle w:val="Sumrio1"/>
            <w:tabs>
              <w:tab w:val="right" w:leader="dot" w:pos="8494"/>
            </w:tabs>
            <w:jc w:val="both"/>
            <w:rPr>
              <w:noProof/>
            </w:rPr>
          </w:pPr>
          <w:hyperlink w:anchor="_Toc188888813" w:history="1">
            <w:r w:rsidRPr="00D9461E">
              <w:rPr>
                <w:rStyle w:val="Hyperlink"/>
                <w:noProof/>
              </w:rPr>
              <w:t xml:space="preserve">5. ADMINISTRATIVO. RECURSO ESPECIAL REPRESENTATIVO DE CONTROVÉRSIA. AÇÃO CIVIL PÚBLICA. TRANSPORTE DE CARGA COM EXCESSO DE PESO EM RODOVIA. REITERAÇÃO DA CONDUTA. RECONHECIMENTO DA RESPONSABILIDADE CIVIL. DIREITO AO TRÂNSITO SEGURO. DANOS MATERIAIS. </w:t>
            </w:r>
            <w:r w:rsidRPr="00D9461E">
              <w:rPr>
                <w:rStyle w:val="Hyperlink"/>
                <w:noProof/>
              </w:rPr>
              <w:lastRenderedPageBreak/>
              <w:t>FATO NOTÓRIO. DANOS MORAIS COLETIVOS. DANO IN RE IPSA. IMPOSIÇÃO DE TUTELA INIBITÓRIA. POSSIBILIDADE. AUSÊNCIA DE BIS IN IDEM. JURISPRUDÊNCIA PACÍFICA DO STJ. TESE FIRMADA SOB O RITO DOS RECURSOS ESPECIAIS REPETITIVOS. RECU</w:t>
            </w:r>
            <w:r w:rsidRPr="00D9461E">
              <w:rPr>
                <w:rStyle w:val="Hyperlink"/>
                <w:noProof/>
              </w:rPr>
              <w:t>R</w:t>
            </w:r>
            <w:r w:rsidRPr="00D9461E">
              <w:rPr>
                <w:rStyle w:val="Hyperlink"/>
                <w:noProof/>
              </w:rPr>
              <w:t>SOS ESPECIAIS CONHECIDOS E DESPROVIDOS.</w:t>
            </w:r>
            <w:r>
              <w:rPr>
                <w:noProof/>
                <w:webHidden/>
              </w:rPr>
              <w:tab/>
            </w:r>
            <w:r>
              <w:rPr>
                <w:noProof/>
                <w:webHidden/>
              </w:rPr>
              <w:fldChar w:fldCharType="begin"/>
            </w:r>
            <w:r>
              <w:rPr>
                <w:noProof/>
                <w:webHidden/>
              </w:rPr>
              <w:instrText xml:space="preserve"> PAGEREF _Toc188888813 \h </w:instrText>
            </w:r>
            <w:r>
              <w:rPr>
                <w:noProof/>
                <w:webHidden/>
              </w:rPr>
            </w:r>
            <w:r>
              <w:rPr>
                <w:noProof/>
                <w:webHidden/>
              </w:rPr>
              <w:fldChar w:fldCharType="separate"/>
            </w:r>
            <w:r w:rsidR="00305652">
              <w:rPr>
                <w:noProof/>
                <w:webHidden/>
              </w:rPr>
              <w:t>6</w:t>
            </w:r>
            <w:r>
              <w:rPr>
                <w:noProof/>
                <w:webHidden/>
              </w:rPr>
              <w:fldChar w:fldCharType="end"/>
            </w:r>
          </w:hyperlink>
          <w:r w:rsidR="004B01E8">
            <w:fldChar w:fldCharType="end"/>
          </w:r>
        </w:p>
      </w:sdtContent>
    </w:sdt>
    <w:p w14:paraId="7F506A26" w14:textId="77777777" w:rsidR="000E258E" w:rsidRPr="000E258E" w:rsidRDefault="000E258E" w:rsidP="000E258E">
      <w:pPr>
        <w:rPr>
          <w:rFonts w:eastAsiaTheme="minorEastAsia"/>
        </w:rPr>
      </w:pPr>
    </w:p>
    <w:p w14:paraId="58AB044B" w14:textId="77777777" w:rsidR="00674104" w:rsidRPr="00BB4B21" w:rsidRDefault="004215CB" w:rsidP="00BB4B21">
      <w:pPr>
        <w:shd w:val="clear" w:color="auto" w:fill="5D9D4F"/>
        <w:jc w:val="center"/>
        <w:rPr>
          <w:rFonts w:ascii="Arial" w:eastAsia="Arial" w:hAnsi="Arial" w:cs="Arial"/>
          <w:b/>
          <w:color w:val="FFFFFF" w:themeColor="background1"/>
          <w:sz w:val="20"/>
          <w:szCs w:val="20"/>
        </w:rPr>
      </w:pPr>
      <w:r w:rsidRPr="00BB4B21">
        <w:rPr>
          <w:rFonts w:ascii="Arial" w:eastAsia="Arial" w:hAnsi="Arial" w:cs="Arial"/>
          <w:b/>
          <w:color w:val="FFFFFF" w:themeColor="background1"/>
          <w:sz w:val="20"/>
          <w:szCs w:val="20"/>
        </w:rPr>
        <w:t xml:space="preserve">TRIBUNAL DE CONTAS </w:t>
      </w:r>
      <w:r w:rsidR="009204AA" w:rsidRPr="00BB4B21">
        <w:rPr>
          <w:rFonts w:ascii="Arial" w:eastAsia="Arial" w:hAnsi="Arial" w:cs="Arial"/>
          <w:b/>
          <w:color w:val="FFFFFF" w:themeColor="background1"/>
          <w:sz w:val="20"/>
          <w:szCs w:val="20"/>
        </w:rPr>
        <w:t>DA UNIÃO</w:t>
      </w:r>
      <w:r w:rsidRPr="00BB4B21">
        <w:rPr>
          <w:rFonts w:ascii="Arial" w:eastAsia="Arial" w:hAnsi="Arial" w:cs="Arial"/>
          <w:b/>
          <w:color w:val="FFFFFF" w:themeColor="background1"/>
          <w:sz w:val="20"/>
          <w:szCs w:val="20"/>
        </w:rPr>
        <w:t xml:space="preserve"> </w:t>
      </w:r>
    </w:p>
    <w:p w14:paraId="63495318" w14:textId="6628EA80" w:rsidR="00EA4601" w:rsidRPr="008710CF" w:rsidRDefault="003F38C2" w:rsidP="00B7195E">
      <w:pPr>
        <w:pStyle w:val="Ttulo1"/>
        <w:spacing w:before="120" w:after="120"/>
        <w:ind w:right="-1"/>
        <w:rPr>
          <w:lang w:val="pt-BR"/>
        </w:rPr>
      </w:pPr>
      <w:bookmarkStart w:id="0" w:name="_Toc188888786"/>
      <w:r w:rsidRPr="004B01E8">
        <w:rPr>
          <w:lang w:val="pt-BR"/>
        </w:rPr>
        <w:t>1</w:t>
      </w:r>
      <w:r w:rsidR="00B7195E">
        <w:rPr>
          <w:lang w:val="pt-BR"/>
        </w:rPr>
        <w:t xml:space="preserve">. </w:t>
      </w:r>
      <w:r w:rsidR="0058637E" w:rsidRPr="0058637E">
        <w:rPr>
          <w:rFonts w:eastAsiaTheme="minorHAnsi" w:cs="Arial"/>
          <w:szCs w:val="20"/>
          <w:lang w:val="pt-BR"/>
        </w:rPr>
        <w:t>AUDITORIA OPERACIONAL. BNB. ESTUDO SOBRE A EFETIVIDADE DA ATUAÇÃO DO BNB NO DESENVOLVIMENTO DA REGIÃO DA SUDENE. ANÁLISE DAS ATIVIDADES DE AVALIAÇÃO, MONITORAMENTO E DIVULGAÇÃO DAS AÇÕES DESENVOLVIDAS PELO BANCO. FRAGILIDADES E OPORTUNIDADES DE MELHORIA. RECOMENDAÇÕES</w:t>
      </w:r>
      <w:r w:rsidR="00B7195E" w:rsidRPr="008710CF">
        <w:rPr>
          <w:rFonts w:eastAsiaTheme="minorHAnsi" w:cs="Arial"/>
          <w:szCs w:val="20"/>
          <w:lang w:val="pt-BR"/>
        </w:rPr>
        <w:t>.</w:t>
      </w:r>
      <w:bookmarkEnd w:id="0"/>
    </w:p>
    <w:p w14:paraId="08C7BD23" w14:textId="77777777" w:rsidR="0080472D" w:rsidRDefault="0080472D" w:rsidP="0080472D">
      <w:pPr>
        <w:pStyle w:val="Default"/>
        <w:numPr>
          <w:ilvl w:val="1"/>
          <w:numId w:val="1"/>
        </w:numPr>
        <w:spacing w:after="120"/>
        <w:jc w:val="both"/>
        <w:rPr>
          <w:sz w:val="20"/>
          <w:szCs w:val="20"/>
        </w:rPr>
      </w:pPr>
      <w:r>
        <w:rPr>
          <w:sz w:val="20"/>
          <w:szCs w:val="20"/>
        </w:rPr>
        <w:t>(...)</w:t>
      </w:r>
    </w:p>
    <w:p w14:paraId="4E0EE73C" w14:textId="77777777" w:rsidR="0058637E" w:rsidRPr="0058637E" w:rsidRDefault="0058637E" w:rsidP="0058637E">
      <w:pPr>
        <w:pStyle w:val="Default"/>
        <w:jc w:val="both"/>
        <w:rPr>
          <w:sz w:val="20"/>
          <w:szCs w:val="20"/>
        </w:rPr>
      </w:pPr>
      <w:r w:rsidRPr="0058637E">
        <w:rPr>
          <w:sz w:val="20"/>
          <w:szCs w:val="20"/>
        </w:rPr>
        <w:t>A presente auditoria operacional, realizada no Banco do Nordeste do Brasil S.A. (BNB), teve como foco avaliar a repercussão social das operações de crédito e financiamento, em especial, as vinculadas ao Fundo Constitucional de Financiamento do Nordeste (FNE). O objetivo principal foi verificar como essas operações contribuem para o desenvolvimento socioeconômico da região Nordeste, além de partes do norte de Minas Gerais e Espírito Santo, área de atuação da Superintendência do Desenvolvimento do Nordeste - Sudene.</w:t>
      </w:r>
    </w:p>
    <w:p w14:paraId="2CC9D31F" w14:textId="77777777" w:rsidR="0058637E" w:rsidRPr="0058637E" w:rsidRDefault="0058637E" w:rsidP="0058637E">
      <w:pPr>
        <w:pStyle w:val="Default"/>
        <w:jc w:val="both"/>
        <w:rPr>
          <w:sz w:val="20"/>
          <w:szCs w:val="20"/>
        </w:rPr>
      </w:pPr>
      <w:r w:rsidRPr="0058637E">
        <w:rPr>
          <w:sz w:val="20"/>
          <w:szCs w:val="20"/>
        </w:rPr>
        <w:t>2.</w:t>
      </w:r>
      <w:r w:rsidRPr="0058637E">
        <w:rPr>
          <w:sz w:val="20"/>
          <w:szCs w:val="20"/>
        </w:rPr>
        <w:tab/>
        <w:t>Os trabalhos abrangeram a investigação dos sistemas de planejamento, de análise e aprovação de operações e das atividades desenvolvidas pelo Banco para avaliar a efetividade da aplicação dos recursos públicos e da divulgação das operações e dos seus resultados.</w:t>
      </w:r>
    </w:p>
    <w:p w14:paraId="55B51C6F" w14:textId="77777777" w:rsidR="0058637E" w:rsidRPr="0058637E" w:rsidRDefault="0058637E" w:rsidP="0058637E">
      <w:pPr>
        <w:pStyle w:val="Default"/>
        <w:jc w:val="both"/>
        <w:rPr>
          <w:sz w:val="20"/>
          <w:szCs w:val="20"/>
        </w:rPr>
      </w:pPr>
      <w:r w:rsidRPr="0058637E">
        <w:rPr>
          <w:sz w:val="20"/>
          <w:szCs w:val="20"/>
        </w:rPr>
        <w:t>3.</w:t>
      </w:r>
      <w:r w:rsidRPr="0058637E">
        <w:rPr>
          <w:sz w:val="20"/>
          <w:szCs w:val="20"/>
        </w:rPr>
        <w:tab/>
        <w:t>A importância do presente trabalho se revela na medida em que, anualmente, bilhões de reais são transferidos para o FNE com o objetivo de reduzir as desigualdades sociais e regionais, servindo de instrumento de política de fomento para o desenvolvimento e atuando como um dos pilares do Plano Regional de Desenvolvimento do Nordeste (PRDNE).</w:t>
      </w:r>
    </w:p>
    <w:p w14:paraId="2010B5CD" w14:textId="77777777" w:rsidR="0058637E" w:rsidRPr="0058637E" w:rsidRDefault="0058637E" w:rsidP="0058637E">
      <w:pPr>
        <w:pStyle w:val="Default"/>
        <w:jc w:val="both"/>
        <w:rPr>
          <w:sz w:val="20"/>
          <w:szCs w:val="20"/>
        </w:rPr>
      </w:pPr>
      <w:r w:rsidRPr="0058637E">
        <w:rPr>
          <w:sz w:val="20"/>
          <w:szCs w:val="20"/>
        </w:rPr>
        <w:t>4.</w:t>
      </w:r>
      <w:r w:rsidRPr="0058637E">
        <w:rPr>
          <w:sz w:val="20"/>
          <w:szCs w:val="20"/>
        </w:rPr>
        <w:tab/>
        <w:t>Não é a primeira vez que o assunto é objeto de interesse do Tribunal. Uma outra auditoria de escopo similar foi realizada em 2018, resultando na expedição do Acórdão 1.271/2018 – Plenário (TC 021.629/2017-0).</w:t>
      </w:r>
    </w:p>
    <w:p w14:paraId="7E74DFF3" w14:textId="4CB78BFC" w:rsidR="0058637E" w:rsidRPr="0058637E" w:rsidRDefault="0058637E" w:rsidP="0058637E">
      <w:pPr>
        <w:pStyle w:val="Default"/>
        <w:spacing w:after="120"/>
        <w:jc w:val="both"/>
        <w:rPr>
          <w:sz w:val="20"/>
          <w:szCs w:val="20"/>
        </w:rPr>
      </w:pPr>
      <w:r w:rsidRPr="0058637E">
        <w:rPr>
          <w:sz w:val="20"/>
          <w:szCs w:val="20"/>
        </w:rPr>
        <w:t>5.</w:t>
      </w:r>
      <w:r w:rsidRPr="0058637E">
        <w:rPr>
          <w:sz w:val="20"/>
          <w:szCs w:val="20"/>
        </w:rPr>
        <w:tab/>
        <w:t>Não obstante os progressos relatados pela Unidade de Auditoria Especializada em Bancos Públicos e Reguladores Financeiros (</w:t>
      </w:r>
      <w:proofErr w:type="spellStart"/>
      <w:r w:rsidRPr="0058637E">
        <w:rPr>
          <w:sz w:val="20"/>
          <w:szCs w:val="20"/>
        </w:rPr>
        <w:t>AudBancos</w:t>
      </w:r>
      <w:proofErr w:type="spellEnd"/>
      <w:r w:rsidRPr="0058637E">
        <w:rPr>
          <w:sz w:val="20"/>
          <w:szCs w:val="20"/>
        </w:rPr>
        <w:t>), como resultado das intervenções passadas desta Corte de Contas, é curioso notar que muitas das observações anteriormente feitas ainda se verificam em alguma medida até hoje. Nesse sentido, destaco o seguinte trecho do voto que fundamentou o Acórdão 1.271/2018 – Plenário:</w:t>
      </w:r>
    </w:p>
    <w:p w14:paraId="64C05952" w14:textId="77777777" w:rsidR="0058637E" w:rsidRPr="0058637E" w:rsidRDefault="0058637E" w:rsidP="0058637E">
      <w:pPr>
        <w:pStyle w:val="Default"/>
        <w:spacing w:after="120"/>
        <w:ind w:left="2268"/>
        <w:jc w:val="both"/>
        <w:rPr>
          <w:i/>
          <w:iCs/>
          <w:sz w:val="20"/>
          <w:szCs w:val="20"/>
        </w:rPr>
      </w:pPr>
      <w:r w:rsidRPr="0058637E">
        <w:rPr>
          <w:i/>
          <w:iCs/>
          <w:sz w:val="20"/>
          <w:szCs w:val="20"/>
        </w:rPr>
        <w:t>“(...) vê-se que o processo de aplicação dos recursos do FNE é pouco sinérgico desde seu nascedouro, uma vez que a destinação das verbas não se ancora em um planejamento integrado e detalhado, com o estabelecimento de metas, objetivos e indicadores estratégicos para a Região Nordeste. Nesse sentido, ressente-se a ausência de maior legitimidade do Plano Regional de Desenvolvimento do Nordeste (PRDNE), que, nos termos da Lei Complementar 125/2007, deveria ser aprovado pelo Congresso Nacional, a partir de tramitação conjunta com o Plano Plurianual, de forma a assegurar o alinhamento das diretrizes, objetivos e metas a serem alcançados. (...)</w:t>
      </w:r>
    </w:p>
    <w:p w14:paraId="422F9C4B" w14:textId="77777777" w:rsidR="0058637E" w:rsidRPr="0058637E" w:rsidRDefault="0058637E" w:rsidP="0058637E">
      <w:pPr>
        <w:pStyle w:val="Default"/>
        <w:spacing w:after="120"/>
        <w:ind w:left="2268"/>
        <w:jc w:val="both"/>
        <w:rPr>
          <w:i/>
          <w:iCs/>
          <w:sz w:val="20"/>
          <w:szCs w:val="20"/>
        </w:rPr>
      </w:pPr>
      <w:r w:rsidRPr="0058637E">
        <w:rPr>
          <w:i/>
          <w:iCs/>
          <w:sz w:val="20"/>
          <w:szCs w:val="20"/>
        </w:rPr>
        <w:tab/>
        <w:t>Como agravante, desponta a baixa atuação do Conselho Deliberativo da Sudene (</w:t>
      </w:r>
      <w:proofErr w:type="spellStart"/>
      <w:r w:rsidRPr="0058637E">
        <w:rPr>
          <w:i/>
          <w:iCs/>
          <w:sz w:val="20"/>
          <w:szCs w:val="20"/>
        </w:rPr>
        <w:t>Condel</w:t>
      </w:r>
      <w:proofErr w:type="spellEnd"/>
      <w:r w:rsidRPr="0058637E">
        <w:rPr>
          <w:i/>
          <w:iCs/>
          <w:sz w:val="20"/>
          <w:szCs w:val="20"/>
        </w:rPr>
        <w:t>), o qual, nos termos da Lei 7.827/1989, que instituiu o Fundo Constitucional de Financiamento do Nordeste, seria o responsável pelo estabelecimento de diretrizes, prioridades e programas de financiamento, pela avaliação dos resultados obtidos e pela determinação de medidas de ajustes necessárias ao cumprimento das diretrizes estabelecidas e à adequação das atividades de financiamento às prioridades regionais. (...)</w:t>
      </w:r>
    </w:p>
    <w:p w14:paraId="378BCC9A" w14:textId="77777777" w:rsidR="0058637E" w:rsidRPr="0058637E" w:rsidRDefault="0058637E" w:rsidP="0058637E">
      <w:pPr>
        <w:pStyle w:val="Default"/>
        <w:spacing w:after="120"/>
        <w:ind w:left="2268"/>
        <w:jc w:val="both"/>
        <w:rPr>
          <w:sz w:val="20"/>
          <w:szCs w:val="20"/>
        </w:rPr>
      </w:pPr>
      <w:r w:rsidRPr="0058637E">
        <w:rPr>
          <w:i/>
          <w:iCs/>
          <w:sz w:val="20"/>
          <w:szCs w:val="20"/>
        </w:rPr>
        <w:tab/>
        <w:t xml:space="preserve">Desse déficit na formulação de diretrizes, resulta o que a literatura costuma denominar de ‘insulamento’, em que o BNB ultrapassa a condição de agente executor e assume o protagonismo </w:t>
      </w:r>
      <w:r w:rsidRPr="0058637E">
        <w:rPr>
          <w:i/>
          <w:iCs/>
          <w:sz w:val="20"/>
          <w:szCs w:val="20"/>
        </w:rPr>
        <w:lastRenderedPageBreak/>
        <w:t>na definição da agenda da formulação das políticas públicas no que se refere à alocação dos recursos do Fundo. Ocorre que, ao agir dessa forma, cria uma distorção, uma vez que atua sob a ótica bancária que lhe é inerente, privilegiando a execução de operações com o melhor retorno financeiro possível. Todavia, a lógica bancária não se compatibiliza, no mais das vezes, com a maximização do desenvolvimento, fim maior do FNE. (...)”</w:t>
      </w:r>
    </w:p>
    <w:p w14:paraId="0935043E" w14:textId="77777777" w:rsidR="0058637E" w:rsidRPr="0058637E" w:rsidRDefault="0058637E" w:rsidP="0058637E">
      <w:pPr>
        <w:pStyle w:val="Default"/>
        <w:jc w:val="both"/>
        <w:rPr>
          <w:sz w:val="20"/>
          <w:szCs w:val="20"/>
        </w:rPr>
      </w:pPr>
      <w:r w:rsidRPr="0058637E">
        <w:rPr>
          <w:sz w:val="20"/>
          <w:szCs w:val="20"/>
        </w:rPr>
        <w:t>6.</w:t>
      </w:r>
      <w:r w:rsidRPr="0058637E">
        <w:rPr>
          <w:sz w:val="20"/>
          <w:szCs w:val="20"/>
        </w:rPr>
        <w:tab/>
        <w:t>Em uma perspectiva mais ampla, a presente auditoria revelou que o BNB conta com um sofisticado sistema de planejamento, avaliação e monitoramento de sua atuação, mas também apontou uma série de fragilidades e oportunidades de melhoria.</w:t>
      </w:r>
    </w:p>
    <w:p w14:paraId="51F07F43" w14:textId="77777777" w:rsidR="0058637E" w:rsidRPr="0058637E" w:rsidRDefault="0058637E" w:rsidP="0058637E">
      <w:pPr>
        <w:pStyle w:val="Default"/>
        <w:jc w:val="both"/>
        <w:rPr>
          <w:sz w:val="20"/>
          <w:szCs w:val="20"/>
        </w:rPr>
      </w:pPr>
      <w:r w:rsidRPr="0058637E">
        <w:rPr>
          <w:sz w:val="20"/>
          <w:szCs w:val="20"/>
        </w:rPr>
        <w:t>7.</w:t>
      </w:r>
      <w:r w:rsidRPr="0058637E">
        <w:rPr>
          <w:sz w:val="20"/>
          <w:szCs w:val="20"/>
        </w:rPr>
        <w:tab/>
        <w:t>Passo a comentar brevemente os achados da equipe de auditoria.</w:t>
      </w:r>
    </w:p>
    <w:p w14:paraId="124F04C9" w14:textId="77777777" w:rsidR="0058637E" w:rsidRPr="0058637E" w:rsidRDefault="0058637E" w:rsidP="0058637E">
      <w:pPr>
        <w:pStyle w:val="Default"/>
        <w:jc w:val="both"/>
        <w:rPr>
          <w:sz w:val="20"/>
          <w:szCs w:val="20"/>
        </w:rPr>
      </w:pPr>
      <w:r w:rsidRPr="0058637E">
        <w:rPr>
          <w:sz w:val="20"/>
          <w:szCs w:val="20"/>
        </w:rPr>
        <w:t>Achado 1: Fragilidades nos Indicadores Estratégicos</w:t>
      </w:r>
    </w:p>
    <w:p w14:paraId="7C774585" w14:textId="77777777" w:rsidR="0058637E" w:rsidRPr="0058637E" w:rsidRDefault="0058637E" w:rsidP="0058637E">
      <w:pPr>
        <w:pStyle w:val="Default"/>
        <w:jc w:val="both"/>
        <w:rPr>
          <w:sz w:val="20"/>
          <w:szCs w:val="20"/>
        </w:rPr>
      </w:pPr>
      <w:r w:rsidRPr="0058637E">
        <w:rPr>
          <w:sz w:val="20"/>
          <w:szCs w:val="20"/>
        </w:rPr>
        <w:t>8.</w:t>
      </w:r>
      <w:r w:rsidRPr="0058637E">
        <w:rPr>
          <w:sz w:val="20"/>
          <w:szCs w:val="20"/>
        </w:rPr>
        <w:tab/>
        <w:t>Foi identificado que os indicadores estratégicos utilizados pelo BNB não demonstram claramente a relação de causalidade entre a atuação do banco e os resultados socioeconômicos observados. Isso dificulta a mensuração precisa dos impactos das ações do banco. Propôs-se recomendação para que o BNB adeque seus indicadores para que sejam válidos, comparáveis, estáveis e independentes, permitindo uma avaliação mais precisa dos resultados.</w:t>
      </w:r>
    </w:p>
    <w:p w14:paraId="06B2E97E" w14:textId="77777777" w:rsidR="0058637E" w:rsidRPr="0058637E" w:rsidRDefault="0058637E" w:rsidP="0058637E">
      <w:pPr>
        <w:pStyle w:val="Default"/>
        <w:jc w:val="both"/>
        <w:rPr>
          <w:sz w:val="20"/>
          <w:szCs w:val="20"/>
        </w:rPr>
      </w:pPr>
      <w:r w:rsidRPr="0058637E">
        <w:rPr>
          <w:sz w:val="20"/>
          <w:szCs w:val="20"/>
        </w:rPr>
        <w:t xml:space="preserve">Achado 2: Priorizações das Resoluções </w:t>
      </w:r>
      <w:proofErr w:type="spellStart"/>
      <w:r w:rsidRPr="0058637E">
        <w:rPr>
          <w:sz w:val="20"/>
          <w:szCs w:val="20"/>
        </w:rPr>
        <w:t>Condel</w:t>
      </w:r>
      <w:proofErr w:type="spellEnd"/>
      <w:r w:rsidRPr="0058637E">
        <w:rPr>
          <w:sz w:val="20"/>
          <w:szCs w:val="20"/>
        </w:rPr>
        <w:t>/Sudene</w:t>
      </w:r>
    </w:p>
    <w:p w14:paraId="18B44916" w14:textId="77777777" w:rsidR="0058637E" w:rsidRPr="0058637E" w:rsidRDefault="0058637E" w:rsidP="0058637E">
      <w:pPr>
        <w:pStyle w:val="Default"/>
        <w:jc w:val="both"/>
        <w:rPr>
          <w:sz w:val="20"/>
          <w:szCs w:val="20"/>
        </w:rPr>
      </w:pPr>
      <w:r w:rsidRPr="0058637E">
        <w:rPr>
          <w:sz w:val="20"/>
          <w:szCs w:val="20"/>
        </w:rPr>
        <w:t>9.</w:t>
      </w:r>
      <w:r w:rsidRPr="0058637E">
        <w:rPr>
          <w:sz w:val="20"/>
          <w:szCs w:val="20"/>
        </w:rPr>
        <w:tab/>
        <w:t>As Resoluções do Conselho Deliberativo da Sudene (</w:t>
      </w:r>
      <w:proofErr w:type="spellStart"/>
      <w:r w:rsidRPr="0058637E">
        <w:rPr>
          <w:sz w:val="20"/>
          <w:szCs w:val="20"/>
        </w:rPr>
        <w:t>Condel</w:t>
      </w:r>
      <w:proofErr w:type="spellEnd"/>
      <w:r w:rsidRPr="0058637E">
        <w:rPr>
          <w:sz w:val="20"/>
          <w:szCs w:val="20"/>
        </w:rPr>
        <w:t>/Sudene) priorizam, ao mesmo tempo, centenas de atividades sem uma análise clara de quais seriam os mais relevantes em termos de impactos socioeconômicos. A ausência de uma métrica de impacto pode resultar em uma distribuição ineficiente dos recursos. Recomendou-se que a Sudene implemente procedimentos que considerem os resultados das avaliações de impacto na definição das prioridades de alocação dos recursos do FNE, garantindo uma alocação mais eficaz dos fundos.</w:t>
      </w:r>
    </w:p>
    <w:p w14:paraId="5764A150" w14:textId="77777777" w:rsidR="0058637E" w:rsidRPr="0058637E" w:rsidRDefault="0058637E" w:rsidP="0058637E">
      <w:pPr>
        <w:pStyle w:val="Default"/>
        <w:jc w:val="both"/>
        <w:rPr>
          <w:sz w:val="20"/>
          <w:szCs w:val="20"/>
        </w:rPr>
      </w:pPr>
      <w:r w:rsidRPr="0058637E">
        <w:rPr>
          <w:sz w:val="20"/>
          <w:szCs w:val="20"/>
        </w:rPr>
        <w:t>Achado 3: Ausência de Mecanismos de Alinhamento</w:t>
      </w:r>
    </w:p>
    <w:p w14:paraId="4A8D6F7A" w14:textId="77777777" w:rsidR="0058637E" w:rsidRPr="0058637E" w:rsidRDefault="0058637E" w:rsidP="0058637E">
      <w:pPr>
        <w:pStyle w:val="Default"/>
        <w:jc w:val="both"/>
        <w:rPr>
          <w:sz w:val="20"/>
          <w:szCs w:val="20"/>
        </w:rPr>
      </w:pPr>
      <w:r w:rsidRPr="0058637E">
        <w:rPr>
          <w:sz w:val="20"/>
          <w:szCs w:val="20"/>
        </w:rPr>
        <w:t>10.</w:t>
      </w:r>
      <w:r w:rsidRPr="0058637E">
        <w:rPr>
          <w:sz w:val="20"/>
          <w:szCs w:val="20"/>
        </w:rPr>
        <w:tab/>
        <w:t xml:space="preserve">Foi constatada a ausência de mecanismos que garantam o alinhamento entre os objetivos de cada operação de crédito e as finalidades estratégicas do BNB. Propostas de grandes valores são frequentemente aprovadas sem uma avaliação detalhada dos potenciais impactos socioeconômicos. Recomendou-se que o BNB inclua, em seus normativos, procedimentos para a realização de avaliações </w:t>
      </w:r>
      <w:proofErr w:type="spellStart"/>
      <w:r w:rsidRPr="0058637E">
        <w:rPr>
          <w:i/>
          <w:iCs/>
          <w:sz w:val="20"/>
          <w:szCs w:val="20"/>
        </w:rPr>
        <w:t>ex</w:t>
      </w:r>
      <w:proofErr w:type="spellEnd"/>
      <w:r w:rsidRPr="0058637E">
        <w:rPr>
          <w:i/>
          <w:iCs/>
          <w:sz w:val="20"/>
          <w:szCs w:val="20"/>
        </w:rPr>
        <w:t xml:space="preserve"> ante</w:t>
      </w:r>
      <w:r w:rsidRPr="0058637E">
        <w:rPr>
          <w:sz w:val="20"/>
          <w:szCs w:val="20"/>
        </w:rPr>
        <w:t xml:space="preserve"> e </w:t>
      </w:r>
      <w:proofErr w:type="spellStart"/>
      <w:r w:rsidRPr="0058637E">
        <w:rPr>
          <w:i/>
          <w:iCs/>
          <w:sz w:val="20"/>
          <w:szCs w:val="20"/>
        </w:rPr>
        <w:t>ex</w:t>
      </w:r>
      <w:proofErr w:type="spellEnd"/>
      <w:r w:rsidRPr="0058637E">
        <w:rPr>
          <w:i/>
          <w:iCs/>
          <w:sz w:val="20"/>
          <w:szCs w:val="20"/>
        </w:rPr>
        <w:t xml:space="preserve"> post</w:t>
      </w:r>
      <w:r w:rsidRPr="0058637E">
        <w:rPr>
          <w:sz w:val="20"/>
          <w:szCs w:val="20"/>
        </w:rPr>
        <w:t>, estabelecendo objetivos e indicadores de eficácia e efetividade para cada operação, assegurando que as operações estejam alinhadas com os objetivos estratégicos do banco.</w:t>
      </w:r>
    </w:p>
    <w:p w14:paraId="2EFA6700" w14:textId="77777777" w:rsidR="0058637E" w:rsidRPr="0058637E" w:rsidRDefault="0058637E" w:rsidP="0058637E">
      <w:pPr>
        <w:pStyle w:val="Default"/>
        <w:jc w:val="both"/>
        <w:rPr>
          <w:sz w:val="20"/>
          <w:szCs w:val="20"/>
        </w:rPr>
      </w:pPr>
      <w:r w:rsidRPr="0058637E">
        <w:rPr>
          <w:sz w:val="20"/>
          <w:szCs w:val="20"/>
        </w:rPr>
        <w:t>Achado 4: Monitoramento e Avaliação Não Sistemáticos</w:t>
      </w:r>
    </w:p>
    <w:p w14:paraId="574E3002" w14:textId="77777777" w:rsidR="0058637E" w:rsidRPr="0058637E" w:rsidRDefault="0058637E" w:rsidP="0058637E">
      <w:pPr>
        <w:pStyle w:val="Default"/>
        <w:jc w:val="both"/>
        <w:rPr>
          <w:sz w:val="20"/>
          <w:szCs w:val="20"/>
        </w:rPr>
      </w:pPr>
      <w:r w:rsidRPr="0058637E">
        <w:rPr>
          <w:sz w:val="20"/>
          <w:szCs w:val="20"/>
        </w:rPr>
        <w:t>11.</w:t>
      </w:r>
      <w:r w:rsidRPr="0058637E">
        <w:rPr>
          <w:sz w:val="20"/>
          <w:szCs w:val="20"/>
        </w:rPr>
        <w:tab/>
        <w:t>O BNB não possui um processo sistemático de monitoramento e avaliação de suas operações de crédito. A ausência de uma política institucional e de um macroprocesso estabelecido para essas atividades resulta em um conhecimento inadequado dos objetivos e resultados das ações do banco. Recomendou-se que o BNB estabeleça uma política institucional para a implementação de um processo de monitoramento e avaliação, com diretrizes claras e rotinas operacionais definidas, permitindo uma avaliação contínua e sistemática das operações.</w:t>
      </w:r>
    </w:p>
    <w:p w14:paraId="6D94A1BA" w14:textId="77777777" w:rsidR="0058637E" w:rsidRPr="0058637E" w:rsidRDefault="0058637E" w:rsidP="0058637E">
      <w:pPr>
        <w:pStyle w:val="Default"/>
        <w:jc w:val="both"/>
        <w:rPr>
          <w:sz w:val="20"/>
          <w:szCs w:val="20"/>
        </w:rPr>
      </w:pPr>
      <w:r w:rsidRPr="0058637E">
        <w:rPr>
          <w:sz w:val="20"/>
          <w:szCs w:val="20"/>
        </w:rPr>
        <w:t>Achado 5: Publicidade das Operações</w:t>
      </w:r>
    </w:p>
    <w:p w14:paraId="6CD27381" w14:textId="3822C9A1" w:rsidR="0058637E" w:rsidRPr="0058637E" w:rsidRDefault="0058637E" w:rsidP="0058637E">
      <w:pPr>
        <w:pStyle w:val="Default"/>
        <w:jc w:val="both"/>
        <w:rPr>
          <w:sz w:val="20"/>
          <w:szCs w:val="20"/>
        </w:rPr>
      </w:pPr>
      <w:r w:rsidRPr="0058637E">
        <w:rPr>
          <w:sz w:val="20"/>
          <w:szCs w:val="20"/>
        </w:rPr>
        <w:t>12.</w:t>
      </w:r>
      <w:r w:rsidRPr="0058637E">
        <w:rPr>
          <w:sz w:val="20"/>
          <w:szCs w:val="20"/>
        </w:rPr>
        <w:tab/>
        <w:t>A forma como o BNB divulga suas operações dificulta o controle social. As informações sobre as operações de crédito não são facilmente acessíveis, e a identificação dos tomadores de recursos não é divulgada. Recomendou-se que o BNB aperfeiçoe seus mecanismos de publicização, disponibilizando informações completas sobre as operações de crédito, incluindo o nome e CNPJ/CPF dos tomadores, respeitando o sigilo estritamente necessário. Isso aumentaria a transparência e permitiria um controle social mais efetivo.</w:t>
      </w:r>
    </w:p>
    <w:p w14:paraId="60A60297" w14:textId="77777777" w:rsidR="0058637E" w:rsidRPr="0058637E" w:rsidRDefault="0058637E" w:rsidP="0058637E">
      <w:pPr>
        <w:pStyle w:val="Default"/>
        <w:jc w:val="both"/>
        <w:rPr>
          <w:sz w:val="20"/>
          <w:szCs w:val="20"/>
        </w:rPr>
      </w:pPr>
      <w:r w:rsidRPr="0058637E">
        <w:rPr>
          <w:sz w:val="20"/>
          <w:szCs w:val="20"/>
        </w:rPr>
        <w:t>13.</w:t>
      </w:r>
      <w:r w:rsidRPr="0058637E">
        <w:rPr>
          <w:sz w:val="20"/>
          <w:szCs w:val="20"/>
        </w:rPr>
        <w:tab/>
        <w:t>Em síntese, a auditoria concluiu que há um espaço significativo para melhorias nos processos de trabalho do BNB e da Sudene, com o objetivo de maximizar a efetividade de suas ações. Nesse sentido, as recomendações propostas pela equipe visam aprimorar a mensuração dos impactos das operações do BNB, garantir o alinhamento das operações com os objetivos estratégicos do banco, e melhorar a transparência e o controle social sobre as atividades do BNB.</w:t>
      </w:r>
    </w:p>
    <w:p w14:paraId="5BBE35E4" w14:textId="77777777" w:rsidR="0058637E" w:rsidRPr="0058637E" w:rsidRDefault="0058637E" w:rsidP="0058637E">
      <w:pPr>
        <w:pStyle w:val="Default"/>
        <w:jc w:val="both"/>
        <w:rPr>
          <w:sz w:val="20"/>
          <w:szCs w:val="20"/>
        </w:rPr>
      </w:pPr>
      <w:r w:rsidRPr="0058637E">
        <w:rPr>
          <w:sz w:val="20"/>
          <w:szCs w:val="20"/>
        </w:rPr>
        <w:t>14.</w:t>
      </w:r>
      <w:r w:rsidRPr="0058637E">
        <w:rPr>
          <w:sz w:val="20"/>
          <w:szCs w:val="20"/>
        </w:rPr>
        <w:tab/>
        <w:t>A efetiva implementação dessas medidas pode resultar em uma gestão mais eficaz dos recursos e em um impacto socioeconômico mais positivo na região atendida. Contudo, faço ressalvas apenas quanto a um aspecto pontual da recomendação relacionada ao quinto achado de auditoria.</w:t>
      </w:r>
    </w:p>
    <w:p w14:paraId="3F983102" w14:textId="2B266045" w:rsidR="002037CC" w:rsidRPr="0080472D" w:rsidRDefault="0058637E" w:rsidP="0058637E">
      <w:pPr>
        <w:pStyle w:val="Default"/>
        <w:spacing w:after="120"/>
        <w:jc w:val="both"/>
        <w:rPr>
          <w:sz w:val="20"/>
          <w:szCs w:val="20"/>
        </w:rPr>
      </w:pPr>
      <w:r w:rsidRPr="0058637E">
        <w:rPr>
          <w:sz w:val="20"/>
          <w:szCs w:val="20"/>
        </w:rPr>
        <w:lastRenderedPageBreak/>
        <w:t>15.</w:t>
      </w:r>
      <w:r w:rsidRPr="0058637E">
        <w:rPr>
          <w:sz w:val="20"/>
          <w:szCs w:val="20"/>
        </w:rPr>
        <w:tab/>
        <w:t>Ao indicar as formas que possibilitam ampliar os mecanismos de publicidade do banco, a unidade técnica, fazendo um paralelo com orientações expedidas anteriormente ao Banco Nacional de Desenvolvimento Econômico e Social - BNDES, propôs que fossem disponibilizadas informações de todos os tomadores de crédito, inclusive seu nome e CNPJ/CPF. Entretando, tenho dúvidas se os critérios aplicáveis ao BNDES, cuja clientela é eminentemente constituída de pessoas jurídicas, possam ser estendidos a um banco de varejo, como o BNB. Por antever um possível conflito entre essa proposta e as regras de proteção de dados e de sigilo bancário, decidi excluir esse trecho da recomendação, sem prejuízo que o banco verifique, posteriormente, a viabilidade de sua implantação.</w:t>
      </w:r>
    </w:p>
    <w:p w14:paraId="4C9CF79C" w14:textId="52606208" w:rsidR="007A5AED" w:rsidRPr="00B146F5" w:rsidRDefault="0048296C" w:rsidP="002037CC">
      <w:pPr>
        <w:pStyle w:val="Default"/>
        <w:spacing w:after="240"/>
        <w:jc w:val="both"/>
        <w:rPr>
          <w:rFonts w:eastAsia="Arial"/>
          <w:sz w:val="20"/>
          <w:szCs w:val="20"/>
        </w:rPr>
      </w:pPr>
      <w:r w:rsidRPr="00B146F5">
        <w:rPr>
          <w:rFonts w:eastAsia="Arial"/>
          <w:sz w:val="20"/>
          <w:szCs w:val="20"/>
        </w:rPr>
        <w:t xml:space="preserve">(TCU, </w:t>
      </w:r>
      <w:r w:rsidR="0058637E" w:rsidRPr="0058637E">
        <w:rPr>
          <w:rFonts w:eastAsia="Arial"/>
          <w:sz w:val="20"/>
          <w:szCs w:val="20"/>
        </w:rPr>
        <w:t>020.743/2023-8</w:t>
      </w:r>
      <w:r w:rsidRPr="00B146F5">
        <w:rPr>
          <w:rFonts w:eastAsia="Arial"/>
          <w:sz w:val="20"/>
          <w:szCs w:val="20"/>
        </w:rPr>
        <w:t xml:space="preserve">, </w:t>
      </w:r>
      <w:hyperlink r:id="rId13" w:anchor=":~:text=AC%C3%93RD%C3%83O%202609/2024%20%2D%20PLEN%C3%81RIO" w:history="1">
        <w:r w:rsidR="0058637E">
          <w:rPr>
            <w:rStyle w:val="Hyperlink"/>
            <w:rFonts w:eastAsia="Arial"/>
            <w:sz w:val="20"/>
            <w:szCs w:val="20"/>
          </w:rPr>
          <w:t>Acórdão n.º 2609</w:t>
        </w:r>
        <w:r w:rsidR="0058637E">
          <w:rPr>
            <w:rStyle w:val="Hyperlink"/>
            <w:rFonts w:eastAsia="Arial"/>
            <w:sz w:val="20"/>
            <w:szCs w:val="20"/>
          </w:rPr>
          <w:t>/</w:t>
        </w:r>
        <w:r w:rsidR="0058637E">
          <w:rPr>
            <w:rStyle w:val="Hyperlink"/>
            <w:rFonts w:eastAsia="Arial"/>
            <w:sz w:val="20"/>
            <w:szCs w:val="20"/>
          </w:rPr>
          <w:t>2024</w:t>
        </w:r>
      </w:hyperlink>
      <w:r w:rsidRPr="00B146F5">
        <w:rPr>
          <w:rFonts w:eastAsia="Arial"/>
          <w:sz w:val="20"/>
          <w:szCs w:val="20"/>
        </w:rPr>
        <w:t>,</w:t>
      </w:r>
      <w:r w:rsidR="00B726C4" w:rsidRPr="00B146F5">
        <w:rPr>
          <w:rFonts w:eastAsia="Arial"/>
          <w:sz w:val="20"/>
          <w:szCs w:val="20"/>
        </w:rPr>
        <w:t xml:space="preserve"> </w:t>
      </w:r>
      <w:r w:rsidR="00F97FA1" w:rsidRPr="00B146F5">
        <w:rPr>
          <w:rFonts w:eastAsia="Arial"/>
          <w:sz w:val="20"/>
          <w:szCs w:val="20"/>
        </w:rPr>
        <w:t>Plenário</w:t>
      </w:r>
      <w:r w:rsidR="00B726C4" w:rsidRPr="00B146F5">
        <w:rPr>
          <w:rFonts w:eastAsia="Arial"/>
          <w:sz w:val="20"/>
          <w:szCs w:val="20"/>
        </w:rPr>
        <w:t>,</w:t>
      </w:r>
      <w:r w:rsidRPr="00B146F5">
        <w:rPr>
          <w:rFonts w:eastAsia="Arial"/>
          <w:sz w:val="20"/>
          <w:szCs w:val="20"/>
        </w:rPr>
        <w:t xml:space="preserve"> Rel. </w:t>
      </w:r>
      <w:r w:rsidR="0080472D">
        <w:rPr>
          <w:rFonts w:eastAsia="Arial"/>
          <w:sz w:val="20"/>
          <w:szCs w:val="20"/>
        </w:rPr>
        <w:t>Jorge Oliveira</w:t>
      </w:r>
      <w:r w:rsidRPr="00B146F5">
        <w:rPr>
          <w:rFonts w:eastAsia="Arial"/>
          <w:sz w:val="20"/>
          <w:szCs w:val="20"/>
        </w:rPr>
        <w:t xml:space="preserve">, </w:t>
      </w:r>
      <w:r w:rsidR="00AE2832" w:rsidRPr="00B146F5">
        <w:rPr>
          <w:rFonts w:eastAsia="Arial"/>
          <w:sz w:val="20"/>
          <w:szCs w:val="20"/>
        </w:rPr>
        <w:t>Plenário</w:t>
      </w:r>
      <w:r w:rsidRPr="00B146F5">
        <w:rPr>
          <w:rFonts w:eastAsia="Arial"/>
          <w:sz w:val="20"/>
          <w:szCs w:val="20"/>
        </w:rPr>
        <w:t xml:space="preserve">, julgado em </w:t>
      </w:r>
      <w:r w:rsidR="003E19DD">
        <w:rPr>
          <w:rFonts w:eastAsia="Arial"/>
          <w:sz w:val="20"/>
          <w:szCs w:val="20"/>
        </w:rPr>
        <w:t>4</w:t>
      </w:r>
      <w:r w:rsidR="00AE2832" w:rsidRPr="00B146F5">
        <w:rPr>
          <w:rFonts w:eastAsia="Arial"/>
          <w:sz w:val="20"/>
          <w:szCs w:val="20"/>
        </w:rPr>
        <w:t>/</w:t>
      </w:r>
      <w:r w:rsidR="00B7195E">
        <w:rPr>
          <w:rFonts w:eastAsia="Arial"/>
          <w:sz w:val="20"/>
          <w:szCs w:val="20"/>
        </w:rPr>
        <w:t>1</w:t>
      </w:r>
      <w:r w:rsidR="003E19DD">
        <w:rPr>
          <w:rFonts w:eastAsia="Arial"/>
          <w:sz w:val="20"/>
          <w:szCs w:val="20"/>
        </w:rPr>
        <w:t>2</w:t>
      </w:r>
      <w:r w:rsidR="003F38C2" w:rsidRPr="00B146F5">
        <w:rPr>
          <w:rFonts w:eastAsia="Arial"/>
          <w:sz w:val="20"/>
          <w:szCs w:val="20"/>
        </w:rPr>
        <w:t>/</w:t>
      </w:r>
      <w:r w:rsidR="00D36E9D" w:rsidRPr="00B146F5">
        <w:rPr>
          <w:rFonts w:eastAsia="Arial"/>
          <w:sz w:val="20"/>
          <w:szCs w:val="20"/>
        </w:rPr>
        <w:t>202</w:t>
      </w:r>
      <w:r w:rsidR="002037CC">
        <w:rPr>
          <w:rFonts w:eastAsia="Arial"/>
          <w:sz w:val="20"/>
          <w:szCs w:val="20"/>
        </w:rPr>
        <w:t>4</w:t>
      </w:r>
      <w:r w:rsidRPr="00B146F5">
        <w:rPr>
          <w:rFonts w:eastAsia="Arial"/>
          <w:sz w:val="20"/>
          <w:szCs w:val="20"/>
        </w:rPr>
        <w:t>)</w:t>
      </w:r>
    </w:p>
    <w:p w14:paraId="3CD40C5D" w14:textId="77777777" w:rsidR="007A5AED" w:rsidRPr="00BB4B21" w:rsidRDefault="007A5AED" w:rsidP="00BB4B21">
      <w:pPr>
        <w:shd w:val="clear" w:color="auto" w:fill="5D9D4F"/>
        <w:spacing w:line="276" w:lineRule="auto"/>
        <w:jc w:val="center"/>
        <w:rPr>
          <w:rFonts w:ascii="Arial" w:eastAsia="Arial" w:hAnsi="Arial" w:cs="Arial"/>
          <w:b/>
          <w:color w:val="FFFFFF" w:themeColor="background1"/>
          <w:sz w:val="20"/>
          <w:szCs w:val="20"/>
        </w:rPr>
      </w:pPr>
      <w:r w:rsidRPr="00BB4B21">
        <w:rPr>
          <w:rFonts w:ascii="Arial" w:eastAsia="Arial" w:hAnsi="Arial" w:cs="Arial"/>
          <w:b/>
          <w:color w:val="FFFFFF" w:themeColor="background1"/>
          <w:sz w:val="20"/>
          <w:szCs w:val="20"/>
        </w:rPr>
        <w:t xml:space="preserve">TRIBUNAL DE CONTAS DO ESTADO DO PARANÁ </w:t>
      </w:r>
    </w:p>
    <w:p w14:paraId="18B46AC4" w14:textId="759CCBE4" w:rsidR="003B3146" w:rsidRDefault="004330D2" w:rsidP="007F6796">
      <w:pPr>
        <w:pStyle w:val="Ttulo1"/>
        <w:spacing w:before="120" w:after="120"/>
        <w:ind w:right="-1"/>
        <w:rPr>
          <w:lang w:val="pt-BR"/>
        </w:rPr>
      </w:pPr>
      <w:bookmarkStart w:id="1" w:name="_Toc188888787"/>
      <w:r w:rsidRPr="00A93B0F">
        <w:rPr>
          <w:lang w:val="pt-BR"/>
        </w:rPr>
        <w:t xml:space="preserve">2. </w:t>
      </w:r>
      <w:bookmarkStart w:id="2" w:name="_Toc156301771"/>
      <w:r w:rsidR="003B3146" w:rsidRPr="003B3146">
        <w:rPr>
          <w:lang w:val="pt-BR"/>
        </w:rPr>
        <w:t>Consulta. Questionamento sobre a contabilização de gastos realizados com publicidade institucional visando o enfrentamento de emergência sanitária (surto de dengue) em período eleitoral. Possibilidade de exclusão dos limites legais do art. 73, incisos VI e VII, da Lei nº 9.504/97, para fins de fiscalização, preservada a competência da Justiça Eleitoral.</w:t>
      </w:r>
      <w:bookmarkEnd w:id="1"/>
    </w:p>
    <w:p w14:paraId="39C229BF" w14:textId="10563027" w:rsidR="007F6796" w:rsidRPr="007F6796" w:rsidRDefault="003B3146" w:rsidP="007F6796">
      <w:pPr>
        <w:pStyle w:val="Ttulo1"/>
        <w:spacing w:before="120" w:after="120"/>
        <w:ind w:right="-1"/>
        <w:rPr>
          <w:b w:val="0"/>
          <w:bCs w:val="0"/>
          <w:lang w:val="pt-BR"/>
        </w:rPr>
      </w:pPr>
      <w:bookmarkStart w:id="3" w:name="_Toc160617708"/>
      <w:bookmarkStart w:id="4" w:name="_Toc160618865"/>
      <w:bookmarkStart w:id="5" w:name="_Toc156301775"/>
      <w:bookmarkStart w:id="6" w:name="OLE_LINK1"/>
      <w:bookmarkStart w:id="7" w:name="_Toc188888788"/>
      <w:bookmarkEnd w:id="2"/>
      <w:r w:rsidRPr="003B3146">
        <w:rPr>
          <w:b w:val="0"/>
          <w:bCs w:val="0"/>
          <w:lang w:val="pt-BR"/>
        </w:rPr>
        <w:t>Trata-se de consulta formulada pelo Prefeito do Município de Antonina, Sr. José Paulo Vieira Azim, indagando se “o montante aplicado em publicidade para o enfrentamento de surto dengue deve ser computado no limite de gastos com publicidade institucional no ano eleitoral.”</w:t>
      </w:r>
      <w:bookmarkEnd w:id="7"/>
    </w:p>
    <w:p w14:paraId="02853301" w14:textId="225018FB" w:rsidR="00BB4B21" w:rsidRPr="00BB4B21" w:rsidRDefault="003B3146" w:rsidP="00BB4B21">
      <w:pPr>
        <w:pStyle w:val="Ttulo1"/>
        <w:spacing w:before="120" w:after="120"/>
        <w:ind w:left="2268" w:right="-1"/>
        <w:rPr>
          <w:b w:val="0"/>
          <w:bCs w:val="0"/>
          <w:lang w:val="pt-BR"/>
        </w:rPr>
      </w:pPr>
      <w:bookmarkStart w:id="8" w:name="_Toc166752934"/>
      <w:bookmarkStart w:id="9" w:name="_Toc166753161"/>
      <w:bookmarkStart w:id="10" w:name="_Toc188888789"/>
      <w:r w:rsidRPr="003B3146">
        <w:rPr>
          <w:b w:val="0"/>
          <w:bCs w:val="0"/>
          <w:lang w:val="pt-BR"/>
        </w:rPr>
        <w:t>Reconhecida pela Justiça Eleitoral a situação grave e urgente de necessidade pública decorrente de emergência sanitária (como é o caso de um surto de dengue), as despesas com publicidade institucional destinadas exclusivamente à orientação da população e ao enfrentamento da emergência sanitária em questão não caracterizam gastos vedados ou acima dos limites legais do art. 73, incisos VI e VII, da Lei nº 9.504/97, para fins de fiscalização em procedimentos próprios deste Tribunal de Contas.</w:t>
      </w:r>
      <w:bookmarkEnd w:id="10"/>
      <w:r w:rsidR="00BB4B21" w:rsidRPr="00BB4B21">
        <w:rPr>
          <w:b w:val="0"/>
          <w:bCs w:val="0"/>
          <w:lang w:val="pt-BR"/>
        </w:rPr>
        <w:t xml:space="preserve"> </w:t>
      </w:r>
    </w:p>
    <w:p w14:paraId="4E229AA4" w14:textId="21014655" w:rsidR="00674104" w:rsidRPr="007614E5" w:rsidRDefault="0015344D" w:rsidP="00125D69">
      <w:pPr>
        <w:pStyle w:val="Ttulo1"/>
        <w:spacing w:before="120" w:after="240"/>
        <w:ind w:right="0"/>
        <w:rPr>
          <w:rFonts w:eastAsia="Arial" w:cs="Arial"/>
          <w:b w:val="0"/>
          <w:bCs w:val="0"/>
          <w:lang w:val="pt-BR"/>
        </w:rPr>
      </w:pPr>
      <w:bookmarkStart w:id="11" w:name="_Toc160617709"/>
      <w:bookmarkStart w:id="12" w:name="_Toc160618866"/>
      <w:bookmarkStart w:id="13" w:name="_Toc166752935"/>
      <w:bookmarkStart w:id="14" w:name="_Toc166753162"/>
      <w:bookmarkStart w:id="15" w:name="_Toc183444781"/>
      <w:bookmarkStart w:id="16" w:name="_Toc188888790"/>
      <w:bookmarkEnd w:id="3"/>
      <w:bookmarkEnd w:id="4"/>
      <w:bookmarkEnd w:id="8"/>
      <w:bookmarkEnd w:id="9"/>
      <w:r w:rsidRPr="00125D69">
        <w:rPr>
          <w:rFonts w:eastAsia="Arial" w:cs="Arial"/>
          <w:b w:val="0"/>
          <w:bCs w:val="0"/>
          <w:szCs w:val="20"/>
          <w:lang w:val="pt-BR"/>
        </w:rPr>
        <w:t>(</w:t>
      </w:r>
      <w:r w:rsidR="007614E5" w:rsidRPr="007614E5">
        <w:rPr>
          <w:rFonts w:cs="Arial"/>
          <w:b w:val="0"/>
          <w:bCs w:val="0"/>
          <w:color w:val="393939"/>
          <w:szCs w:val="20"/>
          <w:shd w:val="clear" w:color="auto" w:fill="FFFFFF"/>
          <w:lang w:val="pt-BR"/>
        </w:rPr>
        <w:t xml:space="preserve">CONSULTA n.º 204382/2024, </w:t>
      </w:r>
      <w:hyperlink r:id="rId14" w:history="1">
        <w:r w:rsidR="007614E5" w:rsidRPr="003B3146">
          <w:rPr>
            <w:rStyle w:val="Hyperlink"/>
            <w:rFonts w:cs="Arial"/>
            <w:b w:val="0"/>
            <w:bCs w:val="0"/>
            <w:szCs w:val="20"/>
            <w:shd w:val="clear" w:color="auto" w:fill="FFFFFF"/>
            <w:lang w:val="pt-BR"/>
          </w:rPr>
          <w:t>Acórdão n.º 3338/2024</w:t>
        </w:r>
      </w:hyperlink>
      <w:r w:rsidR="007614E5" w:rsidRPr="007614E5">
        <w:rPr>
          <w:rFonts w:cs="Arial"/>
          <w:b w:val="0"/>
          <w:bCs w:val="0"/>
          <w:color w:val="393939"/>
          <w:szCs w:val="20"/>
          <w:shd w:val="clear" w:color="auto" w:fill="FFFFFF"/>
          <w:lang w:val="pt-BR"/>
        </w:rPr>
        <w:t xml:space="preserve">, Tribunal Pleno, Rel. </w:t>
      </w:r>
      <w:r w:rsidR="007614E5" w:rsidRPr="003B3146">
        <w:rPr>
          <w:rFonts w:cs="Arial"/>
          <w:b w:val="0"/>
          <w:bCs w:val="0"/>
          <w:color w:val="393939"/>
          <w:szCs w:val="20"/>
          <w:shd w:val="clear" w:color="auto" w:fill="FFFFFF"/>
          <w:lang w:val="pt-BR"/>
        </w:rPr>
        <w:t>IVENS ZSCHOERPER LINHARES, julgado em 07/10/2024, veiculado em 18/10/2024 no DETC</w:t>
      </w:r>
      <w:r w:rsidRPr="007614E5">
        <w:rPr>
          <w:rFonts w:eastAsia="Arial" w:cs="Arial"/>
          <w:b w:val="0"/>
          <w:bCs w:val="0"/>
          <w:lang w:val="pt-BR"/>
        </w:rPr>
        <w:t>)</w:t>
      </w:r>
      <w:bookmarkEnd w:id="5"/>
      <w:bookmarkEnd w:id="11"/>
      <w:bookmarkEnd w:id="12"/>
      <w:bookmarkEnd w:id="13"/>
      <w:bookmarkEnd w:id="14"/>
      <w:bookmarkEnd w:id="15"/>
      <w:bookmarkEnd w:id="16"/>
    </w:p>
    <w:bookmarkEnd w:id="6"/>
    <w:p w14:paraId="20936171" w14:textId="716871E9" w:rsidR="00F332E4" w:rsidRPr="00BB4B21" w:rsidRDefault="004215CB" w:rsidP="00BB4B21">
      <w:pPr>
        <w:shd w:val="clear" w:color="auto" w:fill="5D9D4F"/>
        <w:spacing w:line="276" w:lineRule="auto"/>
        <w:jc w:val="center"/>
        <w:rPr>
          <w:rFonts w:ascii="Arial" w:eastAsia="Arial" w:hAnsi="Arial" w:cs="Arial"/>
          <w:b/>
          <w:color w:val="FFFFFF" w:themeColor="background1"/>
          <w:sz w:val="20"/>
          <w:szCs w:val="20"/>
        </w:rPr>
      </w:pPr>
      <w:r w:rsidRPr="00BB4B21">
        <w:rPr>
          <w:rFonts w:ascii="Arial" w:eastAsia="Arial" w:hAnsi="Arial" w:cs="Arial"/>
          <w:b/>
          <w:color w:val="FFFFFF" w:themeColor="background1"/>
          <w:sz w:val="20"/>
          <w:szCs w:val="20"/>
        </w:rPr>
        <w:t xml:space="preserve">TRIBUNAL DE CONTAS DO </w:t>
      </w:r>
      <w:r w:rsidR="008F4807">
        <w:rPr>
          <w:rFonts w:ascii="Arial" w:eastAsia="Arial" w:hAnsi="Arial" w:cs="Arial"/>
          <w:b/>
          <w:color w:val="FFFFFF" w:themeColor="background1"/>
          <w:sz w:val="20"/>
          <w:szCs w:val="20"/>
        </w:rPr>
        <w:t>DISTRITO FEDERAL</w:t>
      </w:r>
    </w:p>
    <w:p w14:paraId="21D1BE2E" w14:textId="77777777" w:rsidR="00701415" w:rsidRDefault="00982AB9" w:rsidP="00EC1747">
      <w:pPr>
        <w:pStyle w:val="Ttulo1"/>
        <w:spacing w:before="120"/>
        <w:ind w:right="-1"/>
        <w:rPr>
          <w:lang w:val="pt-BR"/>
        </w:rPr>
      </w:pPr>
      <w:bookmarkStart w:id="17" w:name="_Toc188888791"/>
      <w:r w:rsidRPr="00A93B0F">
        <w:rPr>
          <w:lang w:val="pt-BR"/>
        </w:rPr>
        <w:t>3.</w:t>
      </w:r>
      <w:r>
        <w:rPr>
          <w:lang w:val="pt-BR"/>
        </w:rPr>
        <w:t xml:space="preserve"> </w:t>
      </w:r>
      <w:r w:rsidR="00701415" w:rsidRPr="00701415">
        <w:rPr>
          <w:lang w:val="pt-BR"/>
        </w:rPr>
        <w:t>REPRESENTAÇÃO. INSTITUTO DO MEIO AMBIENTE E DOS RECURSOS HÍDRICOS DO DISTRITO FEDERAL. BRASÍLIA AMBIENTAL. NORMAS DE ACESSIBILIDADE. PARQUES ECOLÓGICOS. ESCLARECIMENTOS. PROCEDÊNCIA.</w:t>
      </w:r>
      <w:bookmarkEnd w:id="17"/>
    </w:p>
    <w:p w14:paraId="71824147" w14:textId="0DE6B697" w:rsidR="00701415" w:rsidRDefault="00701415" w:rsidP="00EC1747">
      <w:pPr>
        <w:pStyle w:val="Ttulo1"/>
        <w:spacing w:before="120"/>
        <w:ind w:right="-1"/>
        <w:rPr>
          <w:b w:val="0"/>
          <w:bCs w:val="0"/>
          <w:lang w:val="pt-BR"/>
        </w:rPr>
      </w:pPr>
      <w:bookmarkStart w:id="18" w:name="_Toc188888792"/>
      <w:r w:rsidRPr="00701415">
        <w:rPr>
          <w:b w:val="0"/>
          <w:bCs w:val="0"/>
          <w:lang w:val="pt-BR"/>
        </w:rPr>
        <w:t xml:space="preserve">É obrigação do Estado tomar medidas apropriadas a garantir a ampla acessibilidade </w:t>
      </w:r>
      <w:r w:rsidR="00CC45B7">
        <w:rPr>
          <w:b w:val="0"/>
          <w:bCs w:val="0"/>
          <w:lang w:val="pt-BR"/>
        </w:rPr>
        <w:t>à</w:t>
      </w:r>
      <w:r w:rsidRPr="00701415">
        <w:rPr>
          <w:b w:val="0"/>
          <w:bCs w:val="0"/>
          <w:lang w:val="pt-BR"/>
        </w:rPr>
        <w:t>s pessoas com deficiência ou com mobilidade reduzida aos parques públicos, em razão das normativas internacionais (Convenção de Nova York, internalizada pelo Decreto n.º 6.949/09) e internas aplicáveis.</w:t>
      </w:r>
      <w:bookmarkEnd w:id="18"/>
    </w:p>
    <w:p w14:paraId="03BA4800" w14:textId="77777777" w:rsidR="003E19DD" w:rsidRDefault="003E19DD" w:rsidP="003E19DD">
      <w:pPr>
        <w:pStyle w:val="Ttulo1"/>
        <w:spacing w:before="120"/>
        <w:ind w:right="-1"/>
        <w:rPr>
          <w:b w:val="0"/>
          <w:bCs w:val="0"/>
          <w:lang w:val="pt-BR"/>
        </w:rPr>
      </w:pPr>
      <w:bookmarkStart w:id="19" w:name="_Toc188888793"/>
      <w:r>
        <w:rPr>
          <w:b w:val="0"/>
          <w:bCs w:val="0"/>
          <w:lang w:val="pt-BR"/>
        </w:rPr>
        <w:t>(...)</w:t>
      </w:r>
      <w:bookmarkEnd w:id="19"/>
    </w:p>
    <w:p w14:paraId="1C68D0B0" w14:textId="77777777" w:rsidR="003E19DD" w:rsidRPr="003E19DD" w:rsidRDefault="003E19DD" w:rsidP="003E19DD">
      <w:pPr>
        <w:pStyle w:val="Ttulo1"/>
        <w:spacing w:before="120"/>
        <w:ind w:right="-1"/>
        <w:rPr>
          <w:b w:val="0"/>
          <w:bCs w:val="0"/>
          <w:lang w:val="pt-BR"/>
        </w:rPr>
      </w:pPr>
      <w:bookmarkStart w:id="20" w:name="_Toc188888794"/>
      <w:r w:rsidRPr="003E19DD">
        <w:rPr>
          <w:b w:val="0"/>
          <w:bCs w:val="0"/>
          <w:lang w:val="pt-BR"/>
        </w:rPr>
        <w:t xml:space="preserve">9. As pessoas com deficiência constituem grupo social </w:t>
      </w:r>
      <w:proofErr w:type="spellStart"/>
      <w:r w:rsidRPr="003E19DD">
        <w:rPr>
          <w:b w:val="0"/>
          <w:bCs w:val="0"/>
          <w:lang w:val="pt-BR"/>
        </w:rPr>
        <w:t>hipervulnerabilizado</w:t>
      </w:r>
      <w:proofErr w:type="spellEnd"/>
      <w:r w:rsidRPr="003E19DD">
        <w:rPr>
          <w:b w:val="0"/>
          <w:bCs w:val="0"/>
          <w:lang w:val="pt-BR"/>
        </w:rPr>
        <w:t>, objeto de proteção de diplomas internacionais e, no âmbito interno, de amplo plexo normativo constitucional, legal e infralegal.</w:t>
      </w:r>
      <w:bookmarkEnd w:id="20"/>
    </w:p>
    <w:p w14:paraId="7C1ABB9D" w14:textId="77777777" w:rsidR="003E19DD" w:rsidRPr="003E19DD" w:rsidRDefault="003E19DD" w:rsidP="003E19DD">
      <w:pPr>
        <w:pStyle w:val="Ttulo1"/>
        <w:spacing w:before="120"/>
        <w:ind w:right="-1"/>
        <w:rPr>
          <w:b w:val="0"/>
          <w:bCs w:val="0"/>
          <w:lang w:val="pt-BR"/>
        </w:rPr>
      </w:pPr>
      <w:bookmarkStart w:id="21" w:name="_Toc188888795"/>
      <w:r w:rsidRPr="003E19DD">
        <w:rPr>
          <w:b w:val="0"/>
          <w:bCs w:val="0"/>
          <w:lang w:val="pt-BR"/>
        </w:rPr>
        <w:t>10. De fato, a Convenção Internacional sobre os Direitos das Pessoas com Deficiência (Convenção de Nova York), promulgada no Brasil pelo Decreto n.º 6.949/09, com hierarquia de Emenda Constitucional, estabelece a acessibilidade como um de seus princípios gerais (Artigo 3, alínea f ) [...]</w:t>
      </w:r>
      <w:bookmarkEnd w:id="21"/>
    </w:p>
    <w:p w14:paraId="289C6169" w14:textId="77777777" w:rsidR="003E19DD" w:rsidRPr="003E19DD" w:rsidRDefault="003E19DD" w:rsidP="003E19DD">
      <w:pPr>
        <w:pStyle w:val="Ttulo1"/>
        <w:spacing w:before="120"/>
        <w:ind w:right="-1"/>
        <w:rPr>
          <w:b w:val="0"/>
          <w:bCs w:val="0"/>
          <w:lang w:val="pt-BR"/>
        </w:rPr>
      </w:pPr>
      <w:bookmarkStart w:id="22" w:name="_Toc188888796"/>
      <w:r w:rsidRPr="003E19DD">
        <w:rPr>
          <w:b w:val="0"/>
          <w:bCs w:val="0"/>
          <w:lang w:val="pt-BR"/>
        </w:rPr>
        <w:t>[...]</w:t>
      </w:r>
      <w:bookmarkEnd w:id="22"/>
    </w:p>
    <w:p w14:paraId="1251B7DD" w14:textId="77777777" w:rsidR="003E19DD" w:rsidRPr="003E19DD" w:rsidRDefault="003E19DD" w:rsidP="003E19DD">
      <w:pPr>
        <w:pStyle w:val="Ttulo1"/>
        <w:spacing w:before="120"/>
        <w:ind w:right="-1"/>
        <w:rPr>
          <w:b w:val="0"/>
          <w:bCs w:val="0"/>
          <w:lang w:val="pt-BR"/>
        </w:rPr>
      </w:pPr>
      <w:bookmarkStart w:id="23" w:name="_Toc188888797"/>
      <w:r w:rsidRPr="003E19DD">
        <w:rPr>
          <w:b w:val="0"/>
          <w:bCs w:val="0"/>
          <w:lang w:val="pt-BR"/>
        </w:rPr>
        <w:t xml:space="preserve">11. No âmbito interno, o Estatuto da Pessoa com Deficiência (Lei n.º 13.146/15), que incorpora </w:t>
      </w:r>
      <w:r w:rsidRPr="003E19DD">
        <w:rPr>
          <w:b w:val="0"/>
          <w:bCs w:val="0"/>
          <w:lang w:val="pt-BR"/>
        </w:rPr>
        <w:lastRenderedPageBreak/>
        <w:t>muitos dos conceitos da norma supranacional, reforça a obrigação estatal de promover a acessibilidade. A sua vez, o Estatuto Distrital da Pessoa com Deficiência (Lei n.º 6.637/201 ) também enfatiza essa obrigação, demandando ações concretas e efetivas para a adaptação dos espaços públicos (art. 107, § 1º).</w:t>
      </w:r>
      <w:bookmarkEnd w:id="23"/>
    </w:p>
    <w:p w14:paraId="64074E08" w14:textId="77777777" w:rsidR="003E19DD" w:rsidRPr="003E19DD" w:rsidRDefault="003E19DD" w:rsidP="003E19DD">
      <w:pPr>
        <w:pStyle w:val="Ttulo1"/>
        <w:spacing w:before="120"/>
        <w:ind w:right="-1"/>
        <w:rPr>
          <w:b w:val="0"/>
          <w:bCs w:val="0"/>
          <w:lang w:val="pt-BR"/>
        </w:rPr>
      </w:pPr>
      <w:bookmarkStart w:id="24" w:name="_Toc188888798"/>
      <w:r w:rsidRPr="003E19DD">
        <w:rPr>
          <w:b w:val="0"/>
          <w:bCs w:val="0"/>
          <w:lang w:val="pt-BR"/>
        </w:rPr>
        <w:t>12. Na mesma linha se orienta o art. 4º da Lei nº 10.098/01, cuja violação é noticiada nestes autos, especificamente nos parques ecológicos da Asa Sul e do Riacho Fundo. Assim dispõe o dispositivo, litteris:</w:t>
      </w:r>
      <w:bookmarkEnd w:id="24"/>
    </w:p>
    <w:p w14:paraId="07498451" w14:textId="77777777" w:rsidR="003E19DD" w:rsidRPr="003E19DD" w:rsidRDefault="003E19DD" w:rsidP="003E19DD">
      <w:pPr>
        <w:pStyle w:val="Ttulo1"/>
        <w:spacing w:before="120"/>
        <w:ind w:right="-1"/>
        <w:rPr>
          <w:b w:val="0"/>
          <w:bCs w:val="0"/>
          <w:lang w:val="pt-BR"/>
        </w:rPr>
      </w:pPr>
      <w:bookmarkStart w:id="25" w:name="_Toc188888799"/>
      <w:r w:rsidRPr="003E19DD">
        <w:rPr>
          <w:b w:val="0"/>
          <w:bCs w:val="0"/>
          <w:lang w:val="pt-BR"/>
        </w:rPr>
        <w:t>[...]</w:t>
      </w:r>
      <w:bookmarkEnd w:id="25"/>
    </w:p>
    <w:p w14:paraId="2A65D11F" w14:textId="77777777" w:rsidR="003E19DD" w:rsidRPr="003E19DD" w:rsidRDefault="003E19DD" w:rsidP="003E19DD">
      <w:pPr>
        <w:pStyle w:val="Ttulo1"/>
        <w:spacing w:before="120"/>
        <w:ind w:right="-1"/>
        <w:rPr>
          <w:b w:val="0"/>
          <w:bCs w:val="0"/>
          <w:lang w:val="pt-BR"/>
        </w:rPr>
      </w:pPr>
      <w:bookmarkStart w:id="26" w:name="_Toc188888800"/>
      <w:r w:rsidRPr="003E19DD">
        <w:rPr>
          <w:b w:val="0"/>
          <w:bCs w:val="0"/>
          <w:lang w:val="pt-BR"/>
        </w:rPr>
        <w:t>13. Logo, se conclui que o plexo normativo é amplo, percuciente e específico, e tem por base fundamental o basilar princípio-maior da dignidade da pessoa humana, tudo a impor ao Estado a obrigação de promover a acessibilidade de todos os espaços públicos.</w:t>
      </w:r>
      <w:bookmarkEnd w:id="26"/>
    </w:p>
    <w:p w14:paraId="1F1466DC" w14:textId="77777777" w:rsidR="003E19DD" w:rsidRPr="003E19DD" w:rsidRDefault="003E19DD" w:rsidP="003E19DD">
      <w:pPr>
        <w:pStyle w:val="Ttulo1"/>
        <w:spacing w:before="120"/>
        <w:ind w:right="-1"/>
        <w:rPr>
          <w:b w:val="0"/>
          <w:bCs w:val="0"/>
          <w:lang w:val="pt-BR"/>
        </w:rPr>
      </w:pPr>
      <w:bookmarkStart w:id="27" w:name="_Toc188888801"/>
      <w:r w:rsidRPr="003E19DD">
        <w:rPr>
          <w:b w:val="0"/>
          <w:bCs w:val="0"/>
          <w:lang w:val="pt-BR"/>
        </w:rPr>
        <w:t>14. Essa obrigação, agrego, claramente se estende aos parques públicos, destinados ao lazer da população, direito social previsto no art. 6º da Constituição da República, do qual não podem ser tolhidas as pessoas com deficiência.</w:t>
      </w:r>
      <w:bookmarkEnd w:id="27"/>
    </w:p>
    <w:p w14:paraId="6CBABC2B" w14:textId="77777777" w:rsidR="003E19DD" w:rsidRPr="003E19DD" w:rsidRDefault="003E19DD" w:rsidP="003E19DD">
      <w:pPr>
        <w:pStyle w:val="Ttulo1"/>
        <w:spacing w:before="120"/>
        <w:ind w:right="-1"/>
        <w:rPr>
          <w:b w:val="0"/>
          <w:bCs w:val="0"/>
          <w:lang w:val="pt-BR"/>
        </w:rPr>
      </w:pPr>
      <w:bookmarkStart w:id="28" w:name="_Toc188888802"/>
      <w:r w:rsidRPr="003E19DD">
        <w:rPr>
          <w:b w:val="0"/>
          <w:bCs w:val="0"/>
          <w:lang w:val="pt-BR"/>
        </w:rPr>
        <w:t>15. Estabelecidas essas balizas normativas, o Ibram/DF se manifestou por meio do Ofício nº 792/2024 IBRAM/PRESI (peça 11), alegando que a estrutura do Parque Ecológico do Riacho Fundo dispõe de banheiros adaptados, uma entrada principal acessível e rampas de acesso aos principais espaços físicos do Parque. Quanto ao Parque Ecológico da Asa Sul, informou que existem tratativas para a implantação de estruturas acessíveis na área próxima à sede existente.</w:t>
      </w:r>
      <w:bookmarkEnd w:id="28"/>
    </w:p>
    <w:p w14:paraId="52D1AAF1" w14:textId="77777777" w:rsidR="003E19DD" w:rsidRPr="003E19DD" w:rsidRDefault="003E19DD" w:rsidP="003E19DD">
      <w:pPr>
        <w:pStyle w:val="Ttulo1"/>
        <w:spacing w:before="120"/>
        <w:ind w:right="-1"/>
        <w:rPr>
          <w:b w:val="0"/>
          <w:bCs w:val="0"/>
          <w:lang w:val="pt-BR"/>
        </w:rPr>
      </w:pPr>
      <w:bookmarkStart w:id="29" w:name="_Toc188888803"/>
      <w:r w:rsidRPr="003E19DD">
        <w:rPr>
          <w:b w:val="0"/>
          <w:bCs w:val="0"/>
          <w:lang w:val="pt-BR"/>
        </w:rPr>
        <w:t>16. A jurisdicionada noticiou, ademais, que a questão da acessibilidade nos parques é objeto do processo SEI nº 00391- 00006983/2023-08, que está em fase de definição de unidades a serem contempladas na primeira etapa de levantamento (peça 13).</w:t>
      </w:r>
      <w:bookmarkEnd w:id="29"/>
    </w:p>
    <w:p w14:paraId="5097B9FD" w14:textId="77777777" w:rsidR="003E19DD" w:rsidRPr="003E19DD" w:rsidRDefault="003E19DD" w:rsidP="003E19DD">
      <w:pPr>
        <w:pStyle w:val="Ttulo1"/>
        <w:spacing w:before="120"/>
        <w:ind w:right="-1"/>
        <w:rPr>
          <w:b w:val="0"/>
          <w:bCs w:val="0"/>
          <w:lang w:val="pt-BR"/>
        </w:rPr>
      </w:pPr>
      <w:bookmarkStart w:id="30" w:name="_Toc188888804"/>
      <w:r w:rsidRPr="003E19DD">
        <w:rPr>
          <w:b w:val="0"/>
          <w:bCs w:val="0"/>
          <w:lang w:val="pt-BR"/>
        </w:rPr>
        <w:t>17. Sem maiores dificuldades, fica evidente a procedência da exordial, já que incontroversa a situação de ausência de acessibilidade nos parques públicos em questão e que, embora o Ibram esteja adotando medidas, elas ainda não foram concluídas.</w:t>
      </w:r>
      <w:bookmarkEnd w:id="30"/>
    </w:p>
    <w:p w14:paraId="67C701F7" w14:textId="77777777" w:rsidR="003E19DD" w:rsidRPr="003E19DD" w:rsidRDefault="003E19DD" w:rsidP="003E19DD">
      <w:pPr>
        <w:pStyle w:val="Ttulo1"/>
        <w:spacing w:before="120"/>
        <w:ind w:right="-1"/>
        <w:rPr>
          <w:b w:val="0"/>
          <w:bCs w:val="0"/>
          <w:lang w:val="pt-BR"/>
        </w:rPr>
      </w:pPr>
      <w:bookmarkStart w:id="31" w:name="_Toc188888805"/>
      <w:r w:rsidRPr="003E19DD">
        <w:rPr>
          <w:b w:val="0"/>
          <w:bCs w:val="0"/>
          <w:lang w:val="pt-BR"/>
        </w:rPr>
        <w:t>18. Como decorrência, e acolhendo a sugestão ministerial, à vista da relevância da matéria, o Ibram/DF deve envidar esforços para promover (e não apenas agilizar) a execução das obras nos parques mencionados.</w:t>
      </w:r>
      <w:bookmarkEnd w:id="31"/>
    </w:p>
    <w:p w14:paraId="58A33F83" w14:textId="77777777" w:rsidR="003E19DD" w:rsidRPr="003E19DD" w:rsidRDefault="003E19DD" w:rsidP="003E19DD">
      <w:pPr>
        <w:pStyle w:val="Ttulo1"/>
        <w:spacing w:before="120"/>
        <w:ind w:right="-1"/>
        <w:rPr>
          <w:b w:val="0"/>
          <w:bCs w:val="0"/>
          <w:lang w:val="pt-BR"/>
        </w:rPr>
      </w:pPr>
      <w:bookmarkStart w:id="32" w:name="_Toc188888806"/>
      <w:r w:rsidRPr="003E19DD">
        <w:rPr>
          <w:b w:val="0"/>
          <w:bCs w:val="0"/>
          <w:lang w:val="pt-BR"/>
        </w:rPr>
        <w:t>19. Para mais, é fato que ações voltadas ao direito de acesso das pessoas com deficiência ou com mobilidade reduzida necessitam do suporte de diversas Secretarias para serem eficazes.</w:t>
      </w:r>
      <w:bookmarkEnd w:id="32"/>
    </w:p>
    <w:p w14:paraId="09C87C2E" w14:textId="77777777" w:rsidR="003E19DD" w:rsidRPr="003E19DD" w:rsidRDefault="003E19DD" w:rsidP="003E19DD">
      <w:pPr>
        <w:pStyle w:val="Ttulo1"/>
        <w:spacing w:before="120"/>
        <w:ind w:right="-1"/>
        <w:rPr>
          <w:b w:val="0"/>
          <w:bCs w:val="0"/>
          <w:lang w:val="pt-BR"/>
        </w:rPr>
      </w:pPr>
      <w:bookmarkStart w:id="33" w:name="_Toc188888807"/>
      <w:r w:rsidRPr="003E19DD">
        <w:rPr>
          <w:b w:val="0"/>
          <w:bCs w:val="0"/>
          <w:lang w:val="pt-BR"/>
        </w:rPr>
        <w:t>20. De fato, parece-me de rigor a participação da Secretaria Extraordinária da Pessoa com Deficiência SEPD/DF, responsável que é por formular, definir e coordenar políticas e diretrizes de proteção e inclusão das pessoas com deficiência, e demais competências previstas na Lei n.º 6.372/192 .</w:t>
      </w:r>
      <w:bookmarkEnd w:id="33"/>
    </w:p>
    <w:p w14:paraId="6B50A04A" w14:textId="77777777" w:rsidR="003E19DD" w:rsidRPr="003E19DD" w:rsidRDefault="003E19DD" w:rsidP="003E19DD">
      <w:pPr>
        <w:pStyle w:val="Ttulo1"/>
        <w:spacing w:before="120"/>
        <w:ind w:right="-1"/>
        <w:rPr>
          <w:b w:val="0"/>
          <w:bCs w:val="0"/>
          <w:lang w:val="pt-BR"/>
        </w:rPr>
      </w:pPr>
      <w:bookmarkStart w:id="34" w:name="_Toc188888808"/>
      <w:r w:rsidRPr="003E19DD">
        <w:rPr>
          <w:b w:val="0"/>
          <w:bCs w:val="0"/>
          <w:lang w:val="pt-BR"/>
        </w:rPr>
        <w:t>21. Cabe à SEPD/DF, portanto, supervisionar o efetivo cumprimento da política macro de inclusão no âmbito do Distrito Federal, garantindo não apenas que as obras e adaptações em questão sejam realizadas, mas, também, sua efetividade e seu alinhamento ao estado-da-arte da mais ampla acessibilidade.</w:t>
      </w:r>
      <w:bookmarkEnd w:id="34"/>
    </w:p>
    <w:p w14:paraId="0F221DD6" w14:textId="77777777" w:rsidR="003E19DD" w:rsidRPr="003E19DD" w:rsidRDefault="003E19DD" w:rsidP="003E19DD">
      <w:pPr>
        <w:pStyle w:val="Ttulo1"/>
        <w:spacing w:before="120"/>
        <w:ind w:right="-1"/>
        <w:rPr>
          <w:b w:val="0"/>
          <w:bCs w:val="0"/>
          <w:lang w:val="pt-BR"/>
        </w:rPr>
      </w:pPr>
      <w:bookmarkStart w:id="35" w:name="_Toc188888809"/>
      <w:r w:rsidRPr="003E19DD">
        <w:rPr>
          <w:b w:val="0"/>
          <w:bCs w:val="0"/>
          <w:lang w:val="pt-BR"/>
        </w:rPr>
        <w:t>22. Também necessária a atuação da Secretaria de Estado do Meio Ambiente e Proteção Animal do Distrito Federal Sema/DF, à qual o IBRAM está subordinado (art. 1.º da Lei n.º 3.984/07), a fim de garantir a integração das obras com as políticas ambientais e disponibilizar os recursos orçamentários necessários.</w:t>
      </w:r>
      <w:bookmarkEnd w:id="35"/>
    </w:p>
    <w:p w14:paraId="2ADF6466" w14:textId="77777777" w:rsidR="003E19DD" w:rsidRPr="003E19DD" w:rsidRDefault="003E19DD" w:rsidP="003E19DD">
      <w:pPr>
        <w:pStyle w:val="Ttulo1"/>
        <w:spacing w:before="120"/>
        <w:ind w:right="-1"/>
        <w:rPr>
          <w:b w:val="0"/>
          <w:bCs w:val="0"/>
          <w:lang w:val="pt-BR"/>
        </w:rPr>
      </w:pPr>
      <w:bookmarkStart w:id="36" w:name="_Toc188888810"/>
      <w:r w:rsidRPr="003E19DD">
        <w:rPr>
          <w:b w:val="0"/>
          <w:bCs w:val="0"/>
          <w:lang w:val="pt-BR"/>
        </w:rPr>
        <w:t xml:space="preserve">23. Nessa mesma linha, à vista da necessidade de destinação de recursos orçamentários, é de rigor a participação da Secretaria de Estado de Economia do DF </w:t>
      </w:r>
      <w:proofErr w:type="spellStart"/>
      <w:r w:rsidRPr="003E19DD">
        <w:rPr>
          <w:b w:val="0"/>
          <w:bCs w:val="0"/>
          <w:lang w:val="pt-BR"/>
        </w:rPr>
        <w:t>Seec</w:t>
      </w:r>
      <w:proofErr w:type="spellEnd"/>
      <w:r w:rsidRPr="003E19DD">
        <w:rPr>
          <w:b w:val="0"/>
          <w:bCs w:val="0"/>
          <w:lang w:val="pt-BR"/>
        </w:rPr>
        <w:t>/DF, responsável pela gestão do orçamento e das finanças, a fim de garantir a alocação adequada de recursos.</w:t>
      </w:r>
      <w:bookmarkEnd w:id="36"/>
    </w:p>
    <w:p w14:paraId="607F039B" w14:textId="77777777" w:rsidR="003E19DD" w:rsidRPr="00701415" w:rsidRDefault="003E19DD" w:rsidP="00EC1747">
      <w:pPr>
        <w:pStyle w:val="Ttulo1"/>
        <w:spacing w:before="120"/>
        <w:ind w:right="-1"/>
        <w:rPr>
          <w:b w:val="0"/>
          <w:bCs w:val="0"/>
          <w:lang w:val="pt-BR"/>
        </w:rPr>
      </w:pPr>
    </w:p>
    <w:p w14:paraId="6860ED89" w14:textId="7E03C698" w:rsidR="00674104" w:rsidRPr="0047425F" w:rsidRDefault="00701415" w:rsidP="0047425F">
      <w:pPr>
        <w:spacing w:before="120" w:after="240"/>
        <w:jc w:val="both"/>
        <w:rPr>
          <w:rFonts w:ascii="Arial" w:eastAsia="Arial" w:hAnsi="Arial" w:cs="Arial"/>
          <w:sz w:val="20"/>
        </w:rPr>
      </w:pPr>
      <w:r>
        <w:rPr>
          <w:rFonts w:ascii="Arial" w:eastAsia="Arial" w:hAnsi="Arial" w:cs="Arial"/>
          <w:sz w:val="20"/>
          <w:szCs w:val="20"/>
        </w:rPr>
        <w:t>(</w:t>
      </w:r>
      <w:r w:rsidR="001D4B88">
        <w:rPr>
          <w:rFonts w:ascii="Arial" w:eastAsia="Arial" w:hAnsi="Arial" w:cs="Arial"/>
          <w:sz w:val="20"/>
          <w:szCs w:val="20"/>
        </w:rPr>
        <w:t>TC-</w:t>
      </w:r>
      <w:r>
        <w:rPr>
          <w:rFonts w:ascii="Arial" w:eastAsia="Arial" w:hAnsi="Arial" w:cs="Arial"/>
          <w:sz w:val="20"/>
          <w:szCs w:val="20"/>
        </w:rPr>
        <w:t>DF</w:t>
      </w:r>
      <w:r w:rsidR="001D4B88" w:rsidRPr="008B09E9">
        <w:rPr>
          <w:rFonts w:ascii="Arial" w:eastAsia="Arial" w:hAnsi="Arial" w:cs="Arial"/>
          <w:sz w:val="20"/>
          <w:szCs w:val="20"/>
        </w:rPr>
        <w:t xml:space="preserve">, </w:t>
      </w:r>
      <w:r>
        <w:rPr>
          <w:rFonts w:ascii="Arial" w:hAnsi="Arial" w:cs="Arial"/>
          <w:sz w:val="20"/>
          <w:szCs w:val="20"/>
        </w:rPr>
        <w:t>Representação n.º 10109/2023</w:t>
      </w:r>
      <w:r w:rsidR="008B09E9" w:rsidRPr="008B09E9">
        <w:rPr>
          <w:rFonts w:ascii="Arial" w:hAnsi="Arial" w:cs="Arial"/>
          <w:sz w:val="20"/>
          <w:szCs w:val="20"/>
        </w:rPr>
        <w:t xml:space="preserve">. Relator: </w:t>
      </w:r>
      <w:r>
        <w:rPr>
          <w:rFonts w:ascii="Arial" w:hAnsi="Arial" w:cs="Arial"/>
          <w:sz w:val="20"/>
          <w:szCs w:val="20"/>
        </w:rPr>
        <w:t>André Clemente</w:t>
      </w:r>
      <w:r w:rsidR="008B09E9" w:rsidRPr="008B09E9">
        <w:rPr>
          <w:rFonts w:ascii="Arial" w:hAnsi="Arial" w:cs="Arial"/>
          <w:sz w:val="20"/>
          <w:szCs w:val="20"/>
        </w:rPr>
        <w:t xml:space="preserve">. </w:t>
      </w:r>
      <w:hyperlink r:id="rId15" w:anchor="/jurisprudencia/inteiro-teor?q=DA4EFDD4&amp;filter[hash]=0xb9b16f275af69aa85150fa4e5b4950ee9a14d56b" w:history="1">
        <w:r w:rsidRPr="00701415">
          <w:rPr>
            <w:rStyle w:val="Hyperlink"/>
            <w:rFonts w:ascii="Arial" w:hAnsi="Arial" w:cs="Arial"/>
            <w:sz w:val="20"/>
            <w:szCs w:val="20"/>
          </w:rPr>
          <w:t>Decisã</w:t>
        </w:r>
        <w:r w:rsidRPr="00701415">
          <w:rPr>
            <w:rStyle w:val="Hyperlink"/>
            <w:rFonts w:ascii="Arial" w:hAnsi="Arial" w:cs="Arial"/>
            <w:sz w:val="20"/>
            <w:szCs w:val="20"/>
          </w:rPr>
          <w:t>o</w:t>
        </w:r>
        <w:r w:rsidRPr="00701415">
          <w:rPr>
            <w:rStyle w:val="Hyperlink"/>
            <w:rFonts w:ascii="Arial" w:hAnsi="Arial" w:cs="Arial"/>
            <w:sz w:val="20"/>
            <w:szCs w:val="20"/>
          </w:rPr>
          <w:t xml:space="preserve"> n</w:t>
        </w:r>
        <w:r w:rsidRPr="00701415">
          <w:rPr>
            <w:rStyle w:val="Hyperlink"/>
            <w:rFonts w:ascii="Arial" w:hAnsi="Arial" w:cs="Arial"/>
            <w:sz w:val="20"/>
            <w:szCs w:val="20"/>
          </w:rPr>
          <w:t>.</w:t>
        </w:r>
        <w:r w:rsidRPr="00701415">
          <w:rPr>
            <w:rStyle w:val="Hyperlink"/>
            <w:rFonts w:ascii="Arial" w:hAnsi="Arial" w:cs="Arial"/>
            <w:sz w:val="20"/>
            <w:szCs w:val="20"/>
          </w:rPr>
          <w:t>º 2958/2024</w:t>
        </w:r>
      </w:hyperlink>
      <w:r w:rsidR="008B09E9" w:rsidRPr="008B09E9">
        <w:rPr>
          <w:rFonts w:ascii="Arial" w:hAnsi="Arial" w:cs="Arial"/>
          <w:sz w:val="20"/>
          <w:szCs w:val="20"/>
        </w:rPr>
        <w:t xml:space="preserve">. Julgado em </w:t>
      </w:r>
      <w:r>
        <w:rPr>
          <w:rFonts w:ascii="Arial" w:hAnsi="Arial" w:cs="Arial"/>
          <w:sz w:val="20"/>
          <w:szCs w:val="20"/>
        </w:rPr>
        <w:t>7</w:t>
      </w:r>
      <w:r w:rsidR="008B09E9" w:rsidRPr="008B09E9">
        <w:rPr>
          <w:rFonts w:ascii="Arial" w:hAnsi="Arial" w:cs="Arial"/>
          <w:sz w:val="20"/>
          <w:szCs w:val="20"/>
        </w:rPr>
        <w:t>/8/2024</w:t>
      </w:r>
      <w:r>
        <w:rPr>
          <w:rFonts w:ascii="Arial" w:hAnsi="Arial" w:cs="Arial"/>
          <w:sz w:val="20"/>
          <w:szCs w:val="20"/>
        </w:rPr>
        <w:t>)</w:t>
      </w:r>
    </w:p>
    <w:p w14:paraId="69858DDD" w14:textId="77777777" w:rsidR="00265060" w:rsidRPr="00BB4B21" w:rsidRDefault="00265060" w:rsidP="00BB4B21">
      <w:pPr>
        <w:shd w:val="clear" w:color="auto" w:fill="5D9D4F"/>
        <w:spacing w:line="276" w:lineRule="auto"/>
        <w:jc w:val="center"/>
        <w:rPr>
          <w:rFonts w:ascii="Arial" w:eastAsia="Arial" w:hAnsi="Arial" w:cs="Arial"/>
          <w:b/>
          <w:color w:val="FFFFFF" w:themeColor="background1"/>
          <w:sz w:val="20"/>
          <w:szCs w:val="20"/>
        </w:rPr>
      </w:pPr>
      <w:r w:rsidRPr="00BB4B21">
        <w:rPr>
          <w:rFonts w:ascii="Arial" w:eastAsia="Arial" w:hAnsi="Arial" w:cs="Arial"/>
          <w:b/>
          <w:color w:val="FFFFFF" w:themeColor="background1"/>
          <w:sz w:val="20"/>
          <w:szCs w:val="20"/>
        </w:rPr>
        <w:lastRenderedPageBreak/>
        <w:t>SUPREMO TRIBUNAL FEDERAL</w:t>
      </w:r>
    </w:p>
    <w:p w14:paraId="6F72DC38" w14:textId="0E4492E4" w:rsidR="008710CF" w:rsidRPr="008710CF" w:rsidRDefault="00755B00" w:rsidP="008710CF">
      <w:pPr>
        <w:pStyle w:val="Ttulo1"/>
        <w:spacing w:before="120" w:after="120"/>
        <w:ind w:right="-1"/>
        <w:rPr>
          <w:lang w:val="pt-BR"/>
        </w:rPr>
      </w:pPr>
      <w:bookmarkStart w:id="37" w:name="_Toc188888811"/>
      <w:r w:rsidRPr="00003BD8">
        <w:rPr>
          <w:rStyle w:val="Ttulo1Char"/>
          <w:b/>
          <w:bCs/>
          <w:lang w:val="pt-BR"/>
        </w:rPr>
        <w:t>4.</w:t>
      </w:r>
      <w:r w:rsidR="00D04667">
        <w:rPr>
          <w:rStyle w:val="Ttulo1Char"/>
          <w:lang w:val="pt-BR"/>
        </w:rPr>
        <w:t xml:space="preserve"> </w:t>
      </w:r>
      <w:bookmarkStart w:id="38" w:name="_Toc156301778"/>
      <w:r w:rsidR="008710CF" w:rsidRPr="008710CF">
        <w:rPr>
          <w:lang w:val="pt-BR"/>
        </w:rPr>
        <w:t xml:space="preserve">DIREITO ADMINISTRATIVO E OUTRAS MATÉRIAS DE DIREITO PÚBLICO. AGRAVO REGIMENTAL NO RECURSO EXTRAORDINÁRIO COM AGRAVO. MEIO AMBIENTE. ÁREA DE PRESERVAÇÃO PERMANENTE. AGRAVO REGIMENTAL DESPROVIDO. </w:t>
      </w:r>
      <w:r w:rsidR="008710CF" w:rsidRPr="008710CF">
        <w:rPr>
          <w:b w:val="0"/>
          <w:bCs w:val="0"/>
          <w:lang w:val="pt-BR"/>
        </w:rPr>
        <w:t xml:space="preserve">I. Caso em exame 1. Trata-se de agravo regimental interposto contra decisão que negou seguimento ao recurso extraordinário, fundamentada na natureza infraconstitucional da questão e na necessidade de reexame de provas, vedado pelo STF. II. Questão em discussão 2. A questão em discussão consiste em saber se o direito à moradia do agravante prevalece sobre a proteção ambiental da área onde se encontra o imóvel. III. Razões de decidir 3. O direito à moradia e a proteção ambiental foram ponderados conforme a legislação, que já definia a área como de preservação antes da construção, afastando aplicação retroativa da lei. IV. Dispositivo e tese 5. Agravo regimental desprovido. _________ Jurisprudência relevante citada: ARE 1.460.442 </w:t>
      </w:r>
      <w:proofErr w:type="spellStart"/>
      <w:r w:rsidR="008710CF" w:rsidRPr="008710CF">
        <w:rPr>
          <w:b w:val="0"/>
          <w:bCs w:val="0"/>
          <w:lang w:val="pt-BR"/>
        </w:rPr>
        <w:t>AgR</w:t>
      </w:r>
      <w:proofErr w:type="spellEnd"/>
      <w:r w:rsidR="008710CF" w:rsidRPr="008710CF">
        <w:rPr>
          <w:b w:val="0"/>
          <w:bCs w:val="0"/>
          <w:lang w:val="pt-BR"/>
        </w:rPr>
        <w:t xml:space="preserve">, ARE 1.139.337 </w:t>
      </w:r>
      <w:proofErr w:type="spellStart"/>
      <w:r w:rsidR="008710CF" w:rsidRPr="008710CF">
        <w:rPr>
          <w:b w:val="0"/>
          <w:bCs w:val="0"/>
          <w:lang w:val="pt-BR"/>
        </w:rPr>
        <w:t>AgR</w:t>
      </w:r>
      <w:proofErr w:type="spellEnd"/>
      <w:r w:rsidR="008710CF" w:rsidRPr="008710CF">
        <w:rPr>
          <w:b w:val="0"/>
          <w:bCs w:val="0"/>
          <w:lang w:val="pt-BR"/>
        </w:rPr>
        <w:t>, Súmula 279 STF.</w:t>
      </w:r>
      <w:bookmarkEnd w:id="37"/>
    </w:p>
    <w:p w14:paraId="69427359" w14:textId="2D887E71" w:rsidR="00207F2A" w:rsidRPr="008B09E9" w:rsidRDefault="008710CF" w:rsidP="008B09E9">
      <w:pPr>
        <w:pStyle w:val="Ttulo1"/>
        <w:spacing w:before="120" w:after="240"/>
        <w:ind w:right="0"/>
        <w:rPr>
          <w:rStyle w:val="Ttulo1Char"/>
          <w:lang w:val="pt-BR"/>
        </w:rPr>
      </w:pPr>
      <w:bookmarkStart w:id="39" w:name="_Toc183444785"/>
      <w:bookmarkStart w:id="40" w:name="_Toc188888812"/>
      <w:r>
        <w:rPr>
          <w:rStyle w:val="Ttulo1Char"/>
          <w:lang w:val="pt-BR"/>
        </w:rPr>
        <w:t>(</w:t>
      </w:r>
      <w:r w:rsidR="008B09E9" w:rsidRPr="008B09E9">
        <w:rPr>
          <w:rStyle w:val="Ttulo1Char"/>
          <w:lang w:val="pt-BR"/>
        </w:rPr>
        <w:t xml:space="preserve">STF, </w:t>
      </w:r>
      <w:hyperlink r:id="rId16" w:history="1">
        <w:r w:rsidR="00207F2A">
          <w:rPr>
            <w:rStyle w:val="Hyperlink"/>
            <w:b w:val="0"/>
            <w:bCs w:val="0"/>
            <w:lang w:val="pt-BR"/>
          </w:rPr>
          <w:t xml:space="preserve">ARE 1513316 </w:t>
        </w:r>
        <w:proofErr w:type="spellStart"/>
        <w:r w:rsidR="00207F2A">
          <w:rPr>
            <w:rStyle w:val="Hyperlink"/>
            <w:b w:val="0"/>
            <w:bCs w:val="0"/>
            <w:lang w:val="pt-BR"/>
          </w:rPr>
          <w:t>AgR</w:t>
        </w:r>
        <w:proofErr w:type="spellEnd"/>
      </w:hyperlink>
      <w:r w:rsidR="008B09E9" w:rsidRPr="008B09E9">
        <w:rPr>
          <w:rStyle w:val="Ttulo1Char"/>
          <w:lang w:val="pt-BR"/>
        </w:rPr>
        <w:t xml:space="preserve">, Relator: </w:t>
      </w:r>
      <w:r w:rsidR="00207F2A">
        <w:rPr>
          <w:rStyle w:val="Ttulo1Char"/>
          <w:lang w:val="pt-BR"/>
        </w:rPr>
        <w:t>GILMAR MENDES</w:t>
      </w:r>
      <w:r w:rsidR="008B09E9" w:rsidRPr="008B09E9">
        <w:rPr>
          <w:rStyle w:val="Ttulo1Char"/>
          <w:lang w:val="pt-BR"/>
        </w:rPr>
        <w:t xml:space="preserve">, </w:t>
      </w:r>
      <w:r w:rsidR="00207F2A">
        <w:rPr>
          <w:rStyle w:val="Ttulo1Char"/>
          <w:lang w:val="pt-BR"/>
        </w:rPr>
        <w:t>Segunda turma</w:t>
      </w:r>
      <w:r w:rsidR="008B09E9" w:rsidRPr="008B09E9">
        <w:rPr>
          <w:rStyle w:val="Ttulo1Char"/>
          <w:lang w:val="pt-BR"/>
        </w:rPr>
        <w:t xml:space="preserve">, julgado em </w:t>
      </w:r>
      <w:r w:rsidR="00207F2A">
        <w:rPr>
          <w:rStyle w:val="Ttulo1Char"/>
          <w:lang w:val="pt-BR"/>
        </w:rPr>
        <w:t>16</w:t>
      </w:r>
      <w:r w:rsidR="008B09E9">
        <w:rPr>
          <w:rStyle w:val="Ttulo1Char"/>
          <w:lang w:val="pt-BR"/>
        </w:rPr>
        <w:t>/1</w:t>
      </w:r>
      <w:r w:rsidR="00207F2A">
        <w:rPr>
          <w:rStyle w:val="Ttulo1Char"/>
          <w:lang w:val="pt-BR"/>
        </w:rPr>
        <w:t>2</w:t>
      </w:r>
      <w:r w:rsidR="008B09E9">
        <w:rPr>
          <w:rStyle w:val="Ttulo1Char"/>
          <w:lang w:val="pt-BR"/>
        </w:rPr>
        <w:t>/</w:t>
      </w:r>
      <w:r w:rsidR="008B09E9" w:rsidRPr="008B09E9">
        <w:rPr>
          <w:rStyle w:val="Ttulo1Char"/>
          <w:lang w:val="pt-BR"/>
        </w:rPr>
        <w:t xml:space="preserve">2024, </w:t>
      </w:r>
      <w:r w:rsidR="008B09E9">
        <w:rPr>
          <w:rStyle w:val="Ttulo1Char"/>
          <w:lang w:val="pt-BR"/>
        </w:rPr>
        <w:t>veiculado em 1</w:t>
      </w:r>
      <w:r w:rsidR="00207F2A">
        <w:rPr>
          <w:rStyle w:val="Ttulo1Char"/>
          <w:lang w:val="pt-BR"/>
        </w:rPr>
        <w:t>8</w:t>
      </w:r>
      <w:r w:rsidR="008B09E9">
        <w:rPr>
          <w:rStyle w:val="Ttulo1Char"/>
          <w:lang w:val="pt-BR"/>
        </w:rPr>
        <w:t>/1</w:t>
      </w:r>
      <w:r w:rsidR="00207F2A">
        <w:rPr>
          <w:rStyle w:val="Ttulo1Char"/>
          <w:lang w:val="pt-BR"/>
        </w:rPr>
        <w:t>2</w:t>
      </w:r>
      <w:r w:rsidR="008B09E9">
        <w:rPr>
          <w:rStyle w:val="Ttulo1Char"/>
          <w:lang w:val="pt-BR"/>
        </w:rPr>
        <w:t>/2024, publicado em 1</w:t>
      </w:r>
      <w:r w:rsidR="00207F2A">
        <w:rPr>
          <w:rStyle w:val="Ttulo1Char"/>
          <w:lang w:val="pt-BR"/>
        </w:rPr>
        <w:t>9</w:t>
      </w:r>
      <w:r w:rsidR="008B09E9">
        <w:rPr>
          <w:rStyle w:val="Ttulo1Char"/>
          <w:lang w:val="pt-BR"/>
        </w:rPr>
        <w:t>/1</w:t>
      </w:r>
      <w:r w:rsidR="00207F2A">
        <w:rPr>
          <w:rStyle w:val="Ttulo1Char"/>
          <w:lang w:val="pt-BR"/>
        </w:rPr>
        <w:t>2</w:t>
      </w:r>
      <w:r w:rsidR="008B09E9">
        <w:rPr>
          <w:rStyle w:val="Ttulo1Char"/>
          <w:lang w:val="pt-BR"/>
        </w:rPr>
        <w:t>/2024</w:t>
      </w:r>
      <w:bookmarkEnd w:id="39"/>
      <w:r w:rsidR="007614E5">
        <w:rPr>
          <w:rStyle w:val="Ttulo1Char"/>
          <w:lang w:val="pt-BR"/>
        </w:rPr>
        <w:t>)</w:t>
      </w:r>
      <w:bookmarkEnd w:id="40"/>
    </w:p>
    <w:bookmarkEnd w:id="38"/>
    <w:p w14:paraId="5BC304C2" w14:textId="77777777" w:rsidR="00674104" w:rsidRPr="00BB4B21" w:rsidRDefault="004215CB" w:rsidP="00BB4B21">
      <w:pPr>
        <w:shd w:val="clear" w:color="auto" w:fill="5D9D4F"/>
        <w:spacing w:line="276" w:lineRule="auto"/>
        <w:jc w:val="center"/>
        <w:rPr>
          <w:rFonts w:ascii="Arial" w:eastAsia="Arial" w:hAnsi="Arial" w:cs="Arial"/>
          <w:b/>
          <w:color w:val="FFFFFF" w:themeColor="background1"/>
          <w:sz w:val="20"/>
        </w:rPr>
      </w:pPr>
      <w:r w:rsidRPr="00BB4B21">
        <w:rPr>
          <w:rFonts w:ascii="Arial" w:eastAsia="Arial" w:hAnsi="Arial" w:cs="Arial"/>
          <w:b/>
          <w:color w:val="FFFFFF" w:themeColor="background1"/>
          <w:sz w:val="20"/>
          <w:szCs w:val="20"/>
        </w:rPr>
        <w:t>SUPERIOR TRIBUNAL DE JUSTIÇA</w:t>
      </w:r>
    </w:p>
    <w:p w14:paraId="1CD646A7" w14:textId="73FC29ED" w:rsidR="003B3146" w:rsidRPr="003B3146" w:rsidRDefault="000C7B30" w:rsidP="003B3146">
      <w:pPr>
        <w:pStyle w:val="Ttulo1"/>
        <w:spacing w:before="120" w:after="120"/>
        <w:ind w:right="-1"/>
        <w:rPr>
          <w:lang w:val="pt-BR"/>
        </w:rPr>
      </w:pPr>
      <w:bookmarkStart w:id="41" w:name="_Toc156301779"/>
      <w:bookmarkStart w:id="42" w:name="_Toc188888813"/>
      <w:r w:rsidRPr="00A93B0F">
        <w:rPr>
          <w:lang w:val="pt-BR"/>
        </w:rPr>
        <w:t xml:space="preserve">5. </w:t>
      </w:r>
      <w:bookmarkStart w:id="43" w:name="_Toc156301780"/>
      <w:bookmarkEnd w:id="41"/>
      <w:r w:rsidR="003B3146" w:rsidRPr="003B3146">
        <w:rPr>
          <w:lang w:val="pt-BR"/>
        </w:rPr>
        <w:t>ADMINISTRATIVO. RECURSO ESPECIAL REPRESENTATIVO DE CONTROVÉRSIA. AÇÃO CIVIL PÚBLICA. TRANSPORTE DE CARGA COM EXCESSO DE PESO EM RODOVIA. REITERAÇÃO DA CONDUTA. RECONHECIMENTO DA RESPONSABILIDADE CIVIL. DIREITO AO TRÂNSITO SEGURO. DANOS MATERIAIS. FATO NOTÓRIO. DANOS MORAIS COLETIVOS. DANO IN RE IPSA. IMPOSIÇÃO DE TUTELA INIBITÓRIA. POSSIBILIDADE. AUSÊNCIA DE BIS IN IDEM. JURISPRUDÊNCIA PACÍFICA DO STJ. TESE FIRMADA SOB O RITO DOS RECURSOS ESPECIAIS REPETITIVOS. RECURSOS ESPECIAIS CONHECIDOS E DESPROVIDOS.</w:t>
      </w:r>
      <w:bookmarkEnd w:id="42"/>
    </w:p>
    <w:p w14:paraId="636126F1" w14:textId="77777777" w:rsidR="003B3146" w:rsidRPr="003B3146" w:rsidRDefault="003B3146" w:rsidP="003B3146">
      <w:pPr>
        <w:pStyle w:val="Ttulo1"/>
        <w:spacing w:before="120" w:after="120"/>
        <w:ind w:right="-1"/>
        <w:rPr>
          <w:b w:val="0"/>
          <w:bCs w:val="0"/>
          <w:lang w:val="pt-BR"/>
        </w:rPr>
      </w:pPr>
      <w:bookmarkStart w:id="44" w:name="_Toc188888814"/>
      <w:r w:rsidRPr="003B3146">
        <w:rPr>
          <w:b w:val="0"/>
          <w:bCs w:val="0"/>
          <w:lang w:val="pt-BR"/>
        </w:rPr>
        <w:t>I. Cuida-se, na origem, de Ação Civil Pública ajuizada pelo Ministério Público Federal, objetivando a condenação de empresa ao pagamento de danos materiais e morais coletivos em razão do tráfego de veículos de carga com excesso de peso nas rodovias. A sentença julgou o pedido improcedente, sob o fundamento de que a conduta é sancionada pelo Código de Trânsito Nacional, não cabendo ao Poder Judiciário substituir-se ao legislador para aumentar a sanção cominada, ou fixar nova penalidade. O julgado foi mantido pelo Tribunal de origem.</w:t>
      </w:r>
      <w:bookmarkEnd w:id="44"/>
    </w:p>
    <w:p w14:paraId="211FE72F" w14:textId="77777777" w:rsidR="003B3146" w:rsidRPr="003B3146" w:rsidRDefault="003B3146" w:rsidP="003B3146">
      <w:pPr>
        <w:pStyle w:val="Ttulo1"/>
        <w:spacing w:before="120" w:after="120"/>
        <w:ind w:right="-1"/>
        <w:rPr>
          <w:b w:val="0"/>
          <w:bCs w:val="0"/>
          <w:lang w:val="pt-BR"/>
        </w:rPr>
      </w:pPr>
      <w:bookmarkStart w:id="45" w:name="_Toc188888815"/>
      <w:r w:rsidRPr="003B3146">
        <w:rPr>
          <w:b w:val="0"/>
          <w:bCs w:val="0"/>
          <w:lang w:val="pt-BR"/>
        </w:rPr>
        <w:t>II. O tema em apreciação foi submetido ao rito dos recursos especiais repetitivos e assim delimitado: "definir a possibilidade de imposição de tutela inibitória, bem como de responsabilização civil por danos materiais e morais coletivos causados pelo tráfego com excesso de peso em rodovias (Tema 1.104)".</w:t>
      </w:r>
      <w:bookmarkEnd w:id="45"/>
    </w:p>
    <w:p w14:paraId="5FF4C4AC" w14:textId="77777777" w:rsidR="003B3146" w:rsidRPr="003B3146" w:rsidRDefault="003B3146" w:rsidP="003B3146">
      <w:pPr>
        <w:pStyle w:val="Ttulo1"/>
        <w:spacing w:before="120" w:after="120"/>
        <w:ind w:right="-1"/>
        <w:rPr>
          <w:b w:val="0"/>
          <w:bCs w:val="0"/>
          <w:lang w:val="pt-BR"/>
        </w:rPr>
      </w:pPr>
      <w:bookmarkStart w:id="46" w:name="_Toc188888816"/>
      <w:r w:rsidRPr="003B3146">
        <w:rPr>
          <w:b w:val="0"/>
          <w:bCs w:val="0"/>
          <w:lang w:val="pt-BR"/>
        </w:rPr>
        <w:t>III. A segurança viária é tema atual na agenda dos Estados Soberanos e vem sendo tratada como questão de saúde pública. Desde o ano de 2004, a Organização Mundial de Saúde alerta para o crescente número de acidentes com vítimas fatais no trânsito, uma das principais causas de óbito em todo o mundo. A Assembleia Geral da ONU incluiu, entre os seus Objetivos de Desenvolvimento Sustentável, a redução, pela metade, das mortes e dos ferimentos globais por acidentes em estrada (ODS 3.6).</w:t>
      </w:r>
      <w:bookmarkEnd w:id="46"/>
    </w:p>
    <w:p w14:paraId="4C29E914" w14:textId="77777777" w:rsidR="003B3146" w:rsidRPr="003B3146" w:rsidRDefault="003B3146" w:rsidP="003B3146">
      <w:pPr>
        <w:pStyle w:val="Ttulo1"/>
        <w:spacing w:before="120" w:after="120"/>
        <w:ind w:right="-1"/>
        <w:rPr>
          <w:b w:val="0"/>
          <w:bCs w:val="0"/>
          <w:lang w:val="pt-BR"/>
        </w:rPr>
      </w:pPr>
      <w:bookmarkStart w:id="47" w:name="_Toc188888817"/>
      <w:r w:rsidRPr="003B3146">
        <w:rPr>
          <w:b w:val="0"/>
          <w:bCs w:val="0"/>
          <w:lang w:val="pt-BR"/>
        </w:rPr>
        <w:t>IV. No plano interno, o Código de Trânsito Brasileiro previu, de forma inédita, que o trânsito em condições seguras é um direito de todos e dever dos órgãos e das entidades componentes do Sistema Nacional de Trânsito (art. 1º, § 2º, da Lei nº 9.503/1997). Com a promulgação da EC nº 82/2014, a segurança viária alcançou status constitucional, devendo ser exercida para a preservação da ordem pública e da incolumidade das pessoas e do seu patrimônio (art. 144, § 10º, da CF/88).</w:t>
      </w:r>
      <w:bookmarkEnd w:id="47"/>
    </w:p>
    <w:p w14:paraId="7EDF81FF" w14:textId="77777777" w:rsidR="003B3146" w:rsidRPr="003B3146" w:rsidRDefault="003B3146" w:rsidP="003B3146">
      <w:pPr>
        <w:pStyle w:val="Ttulo1"/>
        <w:spacing w:before="120" w:after="120"/>
        <w:ind w:right="-1"/>
        <w:rPr>
          <w:b w:val="0"/>
          <w:bCs w:val="0"/>
          <w:lang w:val="pt-BR"/>
        </w:rPr>
      </w:pPr>
      <w:bookmarkStart w:id="48" w:name="_Toc188888818"/>
      <w:r w:rsidRPr="003B3146">
        <w:rPr>
          <w:b w:val="0"/>
          <w:bCs w:val="0"/>
          <w:lang w:val="pt-BR"/>
        </w:rPr>
        <w:t xml:space="preserve">V. A fim de preservar a integridade das vias terrestres, bens públicos de uso comum do povo, assim como a segurança no trânsito, dispõe o art. 231, V, do CTB que o tráfego de veículo com excesso de peso constitui infração administrativa de natureza média, sujeita à aplicação de multa. A punição da conduta na esfera administrativa não esgota, necessariamente, a resposta punitiva estatal frente ao ilícito, notadamente quando há desproporcionalidade entre a penalidade </w:t>
      </w:r>
      <w:r w:rsidRPr="003B3146">
        <w:rPr>
          <w:b w:val="0"/>
          <w:bCs w:val="0"/>
          <w:lang w:val="pt-BR"/>
        </w:rPr>
        <w:lastRenderedPageBreak/>
        <w:t>administrativa aplicada e o benefício usufruído pelo infrator com a reiteração do comportamento proibido. Portanto, à luz dos princípios da inafastabilidade da jurisdição e da independência das instâncias punitivas, não se exclui da apreciação do Poder Judiciário a postura recalcitrante à legislação de trânsito.</w:t>
      </w:r>
      <w:bookmarkEnd w:id="48"/>
    </w:p>
    <w:p w14:paraId="5F8B1CC1" w14:textId="77777777" w:rsidR="003B3146" w:rsidRPr="003B3146" w:rsidRDefault="003B3146" w:rsidP="003B3146">
      <w:pPr>
        <w:pStyle w:val="Ttulo1"/>
        <w:spacing w:before="120" w:after="120"/>
        <w:ind w:right="-1"/>
        <w:rPr>
          <w:b w:val="0"/>
          <w:bCs w:val="0"/>
          <w:lang w:val="pt-BR"/>
        </w:rPr>
      </w:pPr>
      <w:bookmarkStart w:id="49" w:name="_Toc188888819"/>
      <w:r w:rsidRPr="003B3146">
        <w:rPr>
          <w:b w:val="0"/>
          <w:bCs w:val="0"/>
          <w:lang w:val="pt-BR"/>
        </w:rPr>
        <w:t xml:space="preserve">VI. É fato notório o nexo causal existente entre o transporte com excesso de peso e a deterioração da via pública decorrente de tal prática. A circulação de veículos com sobrepeso danifica a estrutura da malha viária, abreviando o seu tempo de vida útil e ocasionando o dispêndio de recursos públicos. Além dos graves danos materiais gerados ao patrimônio público, há ofensa in </w:t>
      </w:r>
      <w:proofErr w:type="spellStart"/>
      <w:r w:rsidRPr="003B3146">
        <w:rPr>
          <w:b w:val="0"/>
          <w:bCs w:val="0"/>
          <w:lang w:val="pt-BR"/>
        </w:rPr>
        <w:t>re</w:t>
      </w:r>
      <w:proofErr w:type="spellEnd"/>
      <w:r w:rsidRPr="003B3146">
        <w:rPr>
          <w:b w:val="0"/>
          <w:bCs w:val="0"/>
          <w:lang w:val="pt-BR"/>
        </w:rPr>
        <w:t xml:space="preserve"> </w:t>
      </w:r>
      <w:proofErr w:type="spellStart"/>
      <w:r w:rsidRPr="003B3146">
        <w:rPr>
          <w:b w:val="0"/>
          <w:bCs w:val="0"/>
          <w:lang w:val="pt-BR"/>
        </w:rPr>
        <w:t>ipsa</w:t>
      </w:r>
      <w:proofErr w:type="spellEnd"/>
      <w:r w:rsidRPr="003B3146">
        <w:rPr>
          <w:b w:val="0"/>
          <w:bCs w:val="0"/>
          <w:lang w:val="pt-BR"/>
        </w:rPr>
        <w:t xml:space="preserve"> a direitos coletivos e difusos, de caráter extrapatrimonial, como a ordem econômica, o meio ambiente equilibrado e a segurança dos usuários das rodovias.</w:t>
      </w:r>
      <w:bookmarkEnd w:id="49"/>
    </w:p>
    <w:p w14:paraId="76DB0189" w14:textId="77777777" w:rsidR="003B3146" w:rsidRPr="003B3146" w:rsidRDefault="003B3146" w:rsidP="003B3146">
      <w:pPr>
        <w:pStyle w:val="Ttulo1"/>
        <w:spacing w:before="120" w:after="120"/>
        <w:ind w:right="-1"/>
        <w:rPr>
          <w:b w:val="0"/>
          <w:bCs w:val="0"/>
          <w:lang w:val="pt-BR"/>
        </w:rPr>
      </w:pPr>
      <w:bookmarkStart w:id="50" w:name="_Toc188888820"/>
      <w:r w:rsidRPr="003B3146">
        <w:rPr>
          <w:b w:val="0"/>
          <w:bCs w:val="0"/>
          <w:lang w:val="pt-BR"/>
        </w:rPr>
        <w:t xml:space="preserve">VII. Assim como a previsão de infração administrativa não afasta o reconhecimento da responsabilidade civil do agente reincidente no transporte com excesso de peso, a aplicação da multa administrativa não exclui a imposição da tutela inibitória prevista pela Lei da Ação Civil Pública (art. 11, da Lei 7.347/85). Tem-se em vista que a multa administrativa, de caráter abstrato e sancionadora de ilícitos pretéritos, em nada se confunde com a multa civil (astreintes), fixada para dissuadir a conduta contumaz do infrator recalcitrante, bem como assegurar o cumprimento das obrigações judicialmente estabelecidas. Inexiste, portanto, indevido bis in idem nas múltiplas respostas estatais dirigidas a uma mesma conduta contrária ao Ordenamento. Nesse sentido: STJ, REsp 1.574.350/SC, Rel. Ministro HERMAN BENJAMIN, SEGUNDA TURMA, </w:t>
      </w:r>
      <w:proofErr w:type="spellStart"/>
      <w:r w:rsidRPr="003B3146">
        <w:rPr>
          <w:b w:val="0"/>
          <w:bCs w:val="0"/>
          <w:lang w:val="pt-BR"/>
        </w:rPr>
        <w:t>DJe</w:t>
      </w:r>
      <w:proofErr w:type="spellEnd"/>
      <w:r w:rsidRPr="003B3146">
        <w:rPr>
          <w:b w:val="0"/>
          <w:bCs w:val="0"/>
          <w:lang w:val="pt-BR"/>
        </w:rPr>
        <w:t xml:space="preserve"> de 06/03/2019 e STJ, </w:t>
      </w:r>
      <w:proofErr w:type="spellStart"/>
      <w:r w:rsidRPr="003B3146">
        <w:rPr>
          <w:b w:val="0"/>
          <w:bCs w:val="0"/>
          <w:lang w:val="pt-BR"/>
        </w:rPr>
        <w:t>AgInt</w:t>
      </w:r>
      <w:proofErr w:type="spellEnd"/>
      <w:r w:rsidRPr="003B3146">
        <w:rPr>
          <w:b w:val="0"/>
          <w:bCs w:val="0"/>
          <w:lang w:val="pt-BR"/>
        </w:rPr>
        <w:t xml:space="preserve"> no </w:t>
      </w:r>
      <w:proofErr w:type="spellStart"/>
      <w:r w:rsidRPr="003B3146">
        <w:rPr>
          <w:b w:val="0"/>
          <w:bCs w:val="0"/>
          <w:lang w:val="pt-BR"/>
        </w:rPr>
        <w:t>AREsp</w:t>
      </w:r>
      <w:proofErr w:type="spellEnd"/>
      <w:r w:rsidRPr="003B3146">
        <w:rPr>
          <w:b w:val="0"/>
          <w:bCs w:val="0"/>
          <w:lang w:val="pt-BR"/>
        </w:rPr>
        <w:t xml:space="preserve"> 1.137.714/MG, Rel. Ministro FRANCISCO FALCÃO, SEGUNDA TURMA, </w:t>
      </w:r>
      <w:proofErr w:type="spellStart"/>
      <w:r w:rsidRPr="003B3146">
        <w:rPr>
          <w:b w:val="0"/>
          <w:bCs w:val="0"/>
          <w:lang w:val="pt-BR"/>
        </w:rPr>
        <w:t>DJe</w:t>
      </w:r>
      <w:proofErr w:type="spellEnd"/>
      <w:r w:rsidRPr="003B3146">
        <w:rPr>
          <w:b w:val="0"/>
          <w:bCs w:val="0"/>
          <w:lang w:val="pt-BR"/>
        </w:rPr>
        <w:t xml:space="preserve"> de 14/06/2019.</w:t>
      </w:r>
      <w:bookmarkEnd w:id="50"/>
    </w:p>
    <w:p w14:paraId="4AD6D46A" w14:textId="77777777" w:rsidR="003B3146" w:rsidRPr="003B3146" w:rsidRDefault="003B3146" w:rsidP="003B3146">
      <w:pPr>
        <w:pStyle w:val="Ttulo1"/>
        <w:spacing w:before="120" w:after="120"/>
        <w:ind w:right="-1"/>
        <w:rPr>
          <w:b w:val="0"/>
          <w:bCs w:val="0"/>
          <w:lang w:val="pt-BR"/>
        </w:rPr>
      </w:pPr>
      <w:bookmarkStart w:id="51" w:name="_Toc188888821"/>
      <w:r w:rsidRPr="003B3146">
        <w:rPr>
          <w:b w:val="0"/>
          <w:bCs w:val="0"/>
          <w:lang w:val="pt-BR"/>
        </w:rPr>
        <w:t xml:space="preserve">VIII. O entendimento consolidado deste Tribunal da Cidadania é no sentido de que a sanção administrativa prevista pelo Código de Trânsito Brasileiro não afasta as demais formas de resposta estatal previstas pelo Ordenamento para prevenir, reparar e reprimir o tráfego de veículo de carga com excesso de peso nas rodovias. As principais premissas que embasaram tais precedentes foram didaticamente sintetizadas nos seguintes termos: i) há um direito coletivo ao trânsito seguro; </w:t>
      </w:r>
      <w:proofErr w:type="spellStart"/>
      <w:r w:rsidRPr="003B3146">
        <w:rPr>
          <w:b w:val="0"/>
          <w:bCs w:val="0"/>
          <w:lang w:val="pt-BR"/>
        </w:rPr>
        <w:t>ii</w:t>
      </w:r>
      <w:proofErr w:type="spellEnd"/>
      <w:r w:rsidRPr="003B3146">
        <w:rPr>
          <w:b w:val="0"/>
          <w:bCs w:val="0"/>
          <w:lang w:val="pt-BR"/>
        </w:rPr>
        <w:t xml:space="preserve">) não há direito ao livre trânsito com excesso de carga, ainda que mediante pagamento de pedágio; </w:t>
      </w:r>
      <w:proofErr w:type="spellStart"/>
      <w:r w:rsidRPr="003B3146">
        <w:rPr>
          <w:b w:val="0"/>
          <w:bCs w:val="0"/>
          <w:lang w:val="pt-BR"/>
        </w:rPr>
        <w:t>iii</w:t>
      </w:r>
      <w:proofErr w:type="spellEnd"/>
      <w:r w:rsidRPr="003B3146">
        <w:rPr>
          <w:b w:val="0"/>
          <w:bCs w:val="0"/>
          <w:lang w:val="pt-BR"/>
        </w:rPr>
        <w:t xml:space="preserve">) a previsão administrativa de vedação ao sobrepeso visa à proteção do patrimônio público e à segurança viária; </w:t>
      </w:r>
      <w:proofErr w:type="spellStart"/>
      <w:r w:rsidRPr="003B3146">
        <w:rPr>
          <w:b w:val="0"/>
          <w:bCs w:val="0"/>
          <w:lang w:val="pt-BR"/>
        </w:rPr>
        <w:t>iv</w:t>
      </w:r>
      <w:proofErr w:type="spellEnd"/>
      <w:r w:rsidRPr="003B3146">
        <w:rPr>
          <w:b w:val="0"/>
          <w:bCs w:val="0"/>
          <w:lang w:val="pt-BR"/>
        </w:rPr>
        <w:t xml:space="preserve">) o dano decorrente do transporte de cargas em excesso é notório e direto, dispensando a produção de prova específica; v) comprovado o transporte com sobrepeso, configura-se o dano, assim como o nexo causal proveniente da conduta; vi) os danos causados são de ordem material e moral e ostentam natureza difusa; </w:t>
      </w:r>
      <w:proofErr w:type="spellStart"/>
      <w:r w:rsidRPr="003B3146">
        <w:rPr>
          <w:b w:val="0"/>
          <w:bCs w:val="0"/>
          <w:lang w:val="pt-BR"/>
        </w:rPr>
        <w:t>viii</w:t>
      </w:r>
      <w:proofErr w:type="spellEnd"/>
      <w:r w:rsidRPr="003B3146">
        <w:rPr>
          <w:b w:val="0"/>
          <w:bCs w:val="0"/>
          <w:lang w:val="pt-BR"/>
        </w:rPr>
        <w:t xml:space="preserve">) a conduta ilícita decorre do investimento empresarial na atividade antijurídica, lucrativa em face da desproporcionalidade entre a multa administrativa e o benefício econômico usufruído pelo transportador; </w:t>
      </w:r>
      <w:proofErr w:type="spellStart"/>
      <w:r w:rsidRPr="003B3146">
        <w:rPr>
          <w:b w:val="0"/>
          <w:bCs w:val="0"/>
          <w:lang w:val="pt-BR"/>
        </w:rPr>
        <w:t>ix</w:t>
      </w:r>
      <w:proofErr w:type="spellEnd"/>
      <w:r w:rsidRPr="003B3146">
        <w:rPr>
          <w:b w:val="0"/>
          <w:bCs w:val="0"/>
          <w:lang w:val="pt-BR"/>
        </w:rPr>
        <w:t xml:space="preserve">) inexiste indevido bis in idem na hipótese de aplicação da sanção administrativa e do reconhecimento da responsabilidade civil pelo mesmo fato; x) o acolhimento jurisdicional de medidas garantidoras do direito não configura usurpação de competência legislativa ou administrativa; xi) são cabíveis astreintes para a inibição da conduta; e </w:t>
      </w:r>
      <w:proofErr w:type="spellStart"/>
      <w:r w:rsidRPr="003B3146">
        <w:rPr>
          <w:b w:val="0"/>
          <w:bCs w:val="0"/>
          <w:lang w:val="pt-BR"/>
        </w:rPr>
        <w:t>xii</w:t>
      </w:r>
      <w:proofErr w:type="spellEnd"/>
      <w:r w:rsidRPr="003B3146">
        <w:rPr>
          <w:b w:val="0"/>
          <w:bCs w:val="0"/>
          <w:lang w:val="pt-BR"/>
        </w:rPr>
        <w:t xml:space="preserve">) a reiteração comprovada ou inequívoca da infração autoriza esta Corte a reconhecer a respectiva responsabilidade civil, cabendo à instância ordinária a fixação dos patamares indenizatórios (STJ, </w:t>
      </w:r>
      <w:proofErr w:type="spellStart"/>
      <w:r w:rsidRPr="003B3146">
        <w:rPr>
          <w:b w:val="0"/>
          <w:bCs w:val="0"/>
          <w:lang w:val="pt-BR"/>
        </w:rPr>
        <w:t>AgInt</w:t>
      </w:r>
      <w:proofErr w:type="spellEnd"/>
      <w:r w:rsidRPr="003B3146">
        <w:rPr>
          <w:b w:val="0"/>
          <w:bCs w:val="0"/>
          <w:lang w:val="pt-BR"/>
        </w:rPr>
        <w:t xml:space="preserve"> no REsp 1.783.304/DF, Rel. Ministro OG FERNANDES, SEGUNDA TURMA, </w:t>
      </w:r>
      <w:proofErr w:type="spellStart"/>
      <w:r w:rsidRPr="003B3146">
        <w:rPr>
          <w:b w:val="0"/>
          <w:bCs w:val="0"/>
          <w:lang w:val="pt-BR"/>
        </w:rPr>
        <w:t>DJe</w:t>
      </w:r>
      <w:proofErr w:type="spellEnd"/>
      <w:r w:rsidRPr="003B3146">
        <w:rPr>
          <w:b w:val="0"/>
          <w:bCs w:val="0"/>
          <w:lang w:val="pt-BR"/>
        </w:rPr>
        <w:t xml:space="preserve"> de 15/03/2021).</w:t>
      </w:r>
      <w:bookmarkEnd w:id="51"/>
    </w:p>
    <w:p w14:paraId="2E9FB2DC" w14:textId="77777777" w:rsidR="003B3146" w:rsidRPr="003B3146" w:rsidRDefault="003B3146" w:rsidP="003B3146">
      <w:pPr>
        <w:pStyle w:val="Ttulo1"/>
        <w:spacing w:before="120" w:after="120"/>
        <w:ind w:right="-1"/>
        <w:rPr>
          <w:b w:val="0"/>
          <w:bCs w:val="0"/>
          <w:lang w:val="pt-BR"/>
        </w:rPr>
      </w:pPr>
      <w:bookmarkStart w:id="52" w:name="_Toc188888822"/>
      <w:r w:rsidRPr="003B3146">
        <w:rPr>
          <w:b w:val="0"/>
          <w:bCs w:val="0"/>
          <w:lang w:val="pt-BR"/>
        </w:rPr>
        <w:t>IX. Tese Jurídica firmada: "O direito ao trânsito seguro, bem como os notórios e inequívocos danos materiais e morais coletivos decorrentes do tráfego reiterado, em rodovias, de veículo com excesso de peso, autorizam a imposição de tutela inibitória e a responsabilização civil do agente infrator".</w:t>
      </w:r>
      <w:bookmarkEnd w:id="52"/>
    </w:p>
    <w:p w14:paraId="3F9D7F48" w14:textId="77777777" w:rsidR="003B3146" w:rsidRPr="003B3146" w:rsidRDefault="003B3146" w:rsidP="003B3146">
      <w:pPr>
        <w:pStyle w:val="Ttulo1"/>
        <w:spacing w:before="120" w:after="120"/>
        <w:ind w:right="-1"/>
        <w:rPr>
          <w:b w:val="0"/>
          <w:bCs w:val="0"/>
          <w:lang w:val="pt-BR"/>
        </w:rPr>
      </w:pPr>
      <w:bookmarkStart w:id="53" w:name="_Toc188888823"/>
      <w:r w:rsidRPr="003B3146">
        <w:rPr>
          <w:b w:val="0"/>
          <w:bCs w:val="0"/>
          <w:lang w:val="pt-BR"/>
        </w:rPr>
        <w:t xml:space="preserve">X. No caso concreto, embora a premissa adotada pelo acórdão recorrido destoe da tese ora firmada, não foi evidenciado o reiterado descumprimento da norma de trânsito inserta no art. 231, V, do CTB, uma vez que a existência de 04 (quatro) autuações no período de 04 (quatro) anos não tem o condão de configurar a reincidência configuradora da responsabilidade civil por danos causados ao patrimônio público e à coletividade. Nesse sentido: STJ, </w:t>
      </w:r>
      <w:proofErr w:type="spellStart"/>
      <w:r w:rsidRPr="003B3146">
        <w:rPr>
          <w:b w:val="0"/>
          <w:bCs w:val="0"/>
          <w:lang w:val="pt-BR"/>
        </w:rPr>
        <w:t>AgInt</w:t>
      </w:r>
      <w:proofErr w:type="spellEnd"/>
      <w:r w:rsidRPr="003B3146">
        <w:rPr>
          <w:b w:val="0"/>
          <w:bCs w:val="0"/>
          <w:lang w:val="pt-BR"/>
        </w:rPr>
        <w:t xml:space="preserve"> no REsp 1.819.218/RN, Rel. Ministro MAURO CAMPBELL MARQUES, SEGUNDA TURMA, </w:t>
      </w:r>
      <w:proofErr w:type="spellStart"/>
      <w:r w:rsidRPr="003B3146">
        <w:rPr>
          <w:b w:val="0"/>
          <w:bCs w:val="0"/>
          <w:lang w:val="pt-BR"/>
        </w:rPr>
        <w:t>DJe</w:t>
      </w:r>
      <w:proofErr w:type="spellEnd"/>
      <w:r w:rsidRPr="003B3146">
        <w:rPr>
          <w:b w:val="0"/>
          <w:bCs w:val="0"/>
          <w:lang w:val="pt-BR"/>
        </w:rPr>
        <w:t xml:space="preserve"> de 09/03/2020.</w:t>
      </w:r>
      <w:bookmarkEnd w:id="53"/>
    </w:p>
    <w:p w14:paraId="1828D370" w14:textId="77777777" w:rsidR="003B3146" w:rsidRPr="003B3146" w:rsidRDefault="003B3146" w:rsidP="003B3146">
      <w:pPr>
        <w:pStyle w:val="Ttulo1"/>
        <w:spacing w:before="120" w:after="120"/>
        <w:ind w:right="-1"/>
        <w:rPr>
          <w:b w:val="0"/>
          <w:bCs w:val="0"/>
          <w:lang w:val="pt-BR"/>
        </w:rPr>
      </w:pPr>
      <w:bookmarkStart w:id="54" w:name="_Toc188888824"/>
      <w:r w:rsidRPr="003B3146">
        <w:rPr>
          <w:b w:val="0"/>
          <w:bCs w:val="0"/>
          <w:lang w:val="pt-BR"/>
        </w:rPr>
        <w:lastRenderedPageBreak/>
        <w:t>XI. Recursos Especiais conhecidos e improvidos.</w:t>
      </w:r>
      <w:bookmarkEnd w:id="54"/>
    </w:p>
    <w:p w14:paraId="65525970" w14:textId="7EFF3E68" w:rsidR="000C7B30" w:rsidRPr="00EA4601" w:rsidRDefault="003B3146" w:rsidP="003B3146">
      <w:pPr>
        <w:pStyle w:val="Ttulo1"/>
        <w:spacing w:before="120" w:after="120"/>
        <w:ind w:right="-1"/>
        <w:rPr>
          <w:b w:val="0"/>
          <w:bCs w:val="0"/>
          <w:lang w:val="pt-BR"/>
        </w:rPr>
      </w:pPr>
      <w:bookmarkStart w:id="55" w:name="_Toc188888825"/>
      <w:r w:rsidRPr="003B3146">
        <w:rPr>
          <w:b w:val="0"/>
          <w:bCs w:val="0"/>
          <w:lang w:val="pt-BR"/>
        </w:rPr>
        <w:t>XII. Recursos julgados sob a sistemática dos recursos especiais representativos de controvérsia (art. 1.036 e seguintes do CPC/2005 e art. 256-N e seguintes do RISTJ).</w:t>
      </w:r>
      <w:bookmarkEnd w:id="55"/>
    </w:p>
    <w:bookmarkEnd w:id="43"/>
    <w:p w14:paraId="570044C1" w14:textId="65A96D66" w:rsidR="006621F8" w:rsidRDefault="000C7B30" w:rsidP="00620DCD">
      <w:pPr>
        <w:pStyle w:val="Default"/>
        <w:spacing w:before="120" w:after="240"/>
        <w:jc w:val="both"/>
        <w:rPr>
          <w:rFonts w:eastAsia="Arial"/>
          <w:sz w:val="20"/>
          <w:szCs w:val="20"/>
        </w:rPr>
      </w:pPr>
      <w:r w:rsidRPr="00617F68">
        <w:rPr>
          <w:rFonts w:eastAsia="Arial"/>
          <w:sz w:val="20"/>
          <w:szCs w:val="20"/>
        </w:rPr>
        <w:t>(</w:t>
      </w:r>
      <w:r>
        <w:rPr>
          <w:rFonts w:eastAsia="Arial"/>
          <w:sz w:val="20"/>
          <w:szCs w:val="20"/>
        </w:rPr>
        <w:t xml:space="preserve">STJ, </w:t>
      </w:r>
      <w:hyperlink r:id="rId17" w:history="1">
        <w:r w:rsidR="006621F8">
          <w:rPr>
            <w:rStyle w:val="Hyperlink"/>
            <w:rFonts w:eastAsia="Arial"/>
            <w:sz w:val="20"/>
            <w:szCs w:val="20"/>
          </w:rPr>
          <w:t>REsp n. 1.908.497/RN</w:t>
        </w:r>
      </w:hyperlink>
      <w:r>
        <w:rPr>
          <w:rFonts w:eastAsia="Arial"/>
          <w:sz w:val="20"/>
          <w:szCs w:val="20"/>
        </w:rPr>
        <w:t xml:space="preserve">, </w:t>
      </w:r>
      <w:r w:rsidR="006621F8" w:rsidRPr="006621F8">
        <w:rPr>
          <w:rFonts w:eastAsia="Arial"/>
          <w:sz w:val="20"/>
          <w:szCs w:val="20"/>
        </w:rPr>
        <w:t xml:space="preserve">relator Ministro Teodoro Silva Santos, Primeira Seção, julgado em 27/11/2024, </w:t>
      </w:r>
      <w:proofErr w:type="spellStart"/>
      <w:r w:rsidR="006621F8" w:rsidRPr="006621F8">
        <w:rPr>
          <w:rFonts w:eastAsia="Arial"/>
          <w:sz w:val="20"/>
          <w:szCs w:val="20"/>
        </w:rPr>
        <w:t>DJe</w:t>
      </w:r>
      <w:proofErr w:type="spellEnd"/>
      <w:r w:rsidR="006621F8" w:rsidRPr="006621F8">
        <w:rPr>
          <w:rFonts w:eastAsia="Arial"/>
          <w:sz w:val="20"/>
          <w:szCs w:val="20"/>
        </w:rPr>
        <w:t xml:space="preserve"> de 4/12/2024</w:t>
      </w:r>
      <w:r>
        <w:rPr>
          <w:rFonts w:eastAsia="Arial"/>
          <w:sz w:val="20"/>
          <w:szCs w:val="20"/>
        </w:rPr>
        <w:t>)</w:t>
      </w:r>
    </w:p>
    <w:p w14:paraId="089A8C81" w14:textId="77777777" w:rsidR="007306F8" w:rsidRDefault="00BF1916" w:rsidP="00620DCD">
      <w:pPr>
        <w:pStyle w:val="Default"/>
        <w:spacing w:before="120" w:after="240"/>
        <w:jc w:val="both"/>
        <w:rPr>
          <w:rFonts w:eastAsia="Arial"/>
          <w:sz w:val="20"/>
          <w:szCs w:val="20"/>
        </w:rPr>
      </w:pPr>
      <w:r w:rsidRPr="00327A13">
        <w:rPr>
          <w:noProof/>
        </w:rPr>
        <w:drawing>
          <wp:anchor distT="0" distB="0" distL="114300" distR="114300" simplePos="0" relativeHeight="251667968" behindDoc="0" locked="0" layoutInCell="1" allowOverlap="1" wp14:anchorId="46E521C6" wp14:editId="5F4D90EE">
            <wp:simplePos x="0" y="0"/>
            <wp:positionH relativeFrom="column">
              <wp:posOffset>3444240</wp:posOffset>
            </wp:positionH>
            <wp:positionV relativeFrom="paragraph">
              <wp:posOffset>196850</wp:posOffset>
            </wp:positionV>
            <wp:extent cx="514350" cy="528320"/>
            <wp:effectExtent l="0" t="0" r="0" b="5080"/>
            <wp:wrapSquare wrapText="bothSides"/>
            <wp:docPr id="1849409394" name="Imagem 6" descr="Ícone&#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409394" name="Imagem 6" descr="Ícone&#10;&#10;Descrição gerada automaticament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14350" cy="528320"/>
                    </a:xfrm>
                    <a:prstGeom prst="rect">
                      <a:avLst/>
                    </a:prstGeom>
                  </pic:spPr>
                </pic:pic>
              </a:graphicData>
            </a:graphic>
            <wp14:sizeRelH relativeFrom="margin">
              <wp14:pctWidth>0</wp14:pctWidth>
            </wp14:sizeRelH>
            <wp14:sizeRelV relativeFrom="margin">
              <wp14:pctHeight>0</wp14:pctHeight>
            </wp14:sizeRelV>
          </wp:anchor>
        </w:drawing>
      </w:r>
    </w:p>
    <w:p w14:paraId="2C0CD581" w14:textId="77777777" w:rsidR="00674104" w:rsidRDefault="007306F8">
      <w:pPr>
        <w:pStyle w:val="TCU-Epgrafe"/>
        <w:spacing w:line="276" w:lineRule="auto"/>
        <w:ind w:left="0"/>
        <w:rPr>
          <w:rFonts w:ascii="Arial" w:hAnsi="Arial" w:cs="Arial"/>
          <w:sz w:val="20"/>
        </w:rPr>
      </w:pPr>
      <w:r>
        <w:rPr>
          <w:noProof/>
        </w:rPr>
        <mc:AlternateContent>
          <mc:Choice Requires="wps">
            <w:drawing>
              <wp:anchor distT="0" distB="0" distL="114300" distR="114300" simplePos="0" relativeHeight="251666944" behindDoc="0" locked="0" layoutInCell="1" allowOverlap="1" wp14:anchorId="3DBDD8CC" wp14:editId="3732D7E3">
                <wp:simplePos x="0" y="0"/>
                <wp:positionH relativeFrom="column">
                  <wp:posOffset>1129665</wp:posOffset>
                </wp:positionH>
                <wp:positionV relativeFrom="paragraph">
                  <wp:posOffset>143510</wp:posOffset>
                </wp:positionV>
                <wp:extent cx="3305175" cy="2103120"/>
                <wp:effectExtent l="0" t="0" r="9525" b="0"/>
                <wp:wrapSquare wrapText="bothSides"/>
                <wp:docPr id="524316888" name="Retângulo: Cantos Diagonais Arredondados 5"/>
                <wp:cNvGraphicFramePr/>
                <a:graphic xmlns:a="http://schemas.openxmlformats.org/drawingml/2006/main">
                  <a:graphicData uri="http://schemas.microsoft.com/office/word/2010/wordprocessingShape">
                    <wps:wsp>
                      <wps:cNvSpPr/>
                      <wps:spPr>
                        <a:xfrm>
                          <a:off x="0" y="0"/>
                          <a:ext cx="3305175" cy="2103120"/>
                        </a:xfrm>
                        <a:prstGeom prst="round2DiagRect">
                          <a:avLst/>
                        </a:prstGeom>
                        <a:solidFill>
                          <a:srgbClr val="5E9F4F"/>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9F66271" w14:textId="77777777" w:rsidR="007306F8" w:rsidRPr="007306F8" w:rsidRDefault="007306F8" w:rsidP="007306F8">
                            <w:pPr>
                              <w:pStyle w:val="Default"/>
                              <w:numPr>
                                <w:ilvl w:val="0"/>
                                <w:numId w:val="3"/>
                              </w:numPr>
                              <w:spacing w:line="276" w:lineRule="auto"/>
                              <w:rPr>
                                <w:rStyle w:val="Hyperlink"/>
                                <w:color w:val="FFFFFF" w:themeColor="background1"/>
                                <w:sz w:val="20"/>
                                <w:szCs w:val="20"/>
                              </w:rPr>
                            </w:pPr>
                            <w:hyperlink r:id="rId19" w:tooltip="http://www1.tce.pr.gov.br/conteudo/pesquisas-prontas/308475/area/249" w:history="1">
                              <w:r w:rsidRPr="007306F8">
                                <w:rPr>
                                  <w:rStyle w:val="Hyperlink"/>
                                  <w:color w:val="FFFFFF" w:themeColor="background1"/>
                                  <w:sz w:val="20"/>
                                  <w:szCs w:val="20"/>
                                </w:rPr>
                                <w:t>Pesquisas Prontas</w:t>
                              </w:r>
                            </w:hyperlink>
                          </w:p>
                          <w:p w14:paraId="4C2B3423" w14:textId="77777777" w:rsidR="007306F8" w:rsidRPr="007306F8" w:rsidRDefault="007306F8" w:rsidP="007306F8">
                            <w:pPr>
                              <w:pStyle w:val="Default"/>
                              <w:spacing w:line="276" w:lineRule="auto"/>
                              <w:rPr>
                                <w:rStyle w:val="Hyperlink"/>
                                <w:color w:val="FFFFFF" w:themeColor="background1"/>
                                <w:sz w:val="20"/>
                                <w:szCs w:val="20"/>
                              </w:rPr>
                            </w:pPr>
                          </w:p>
                          <w:p w14:paraId="307BF594" w14:textId="77777777" w:rsidR="007306F8" w:rsidRPr="007306F8" w:rsidRDefault="007306F8" w:rsidP="007306F8">
                            <w:pPr>
                              <w:pStyle w:val="Default"/>
                              <w:numPr>
                                <w:ilvl w:val="0"/>
                                <w:numId w:val="3"/>
                              </w:numPr>
                              <w:spacing w:line="276" w:lineRule="auto"/>
                              <w:rPr>
                                <w:rStyle w:val="Hyperlink"/>
                                <w:color w:val="FFFFFF" w:themeColor="background1"/>
                                <w:sz w:val="20"/>
                                <w:szCs w:val="20"/>
                              </w:rPr>
                            </w:pPr>
                            <w:hyperlink r:id="rId20" w:tooltip="http://www1.tce.pr.gov.br/conteudo/boletim-informativo-de-jurisprudencia/280400/area/249" w:history="1">
                              <w:r w:rsidRPr="007306F8">
                                <w:rPr>
                                  <w:rStyle w:val="Hyperlink"/>
                                  <w:color w:val="FFFFFF" w:themeColor="background1"/>
                                  <w:sz w:val="20"/>
                                  <w:szCs w:val="20"/>
                                </w:rPr>
                                <w:t>Boletim Informativo de Jurisprudência</w:t>
                              </w:r>
                            </w:hyperlink>
                          </w:p>
                          <w:p w14:paraId="1E88F547" w14:textId="77777777" w:rsidR="007306F8" w:rsidRPr="007306F8" w:rsidRDefault="007306F8" w:rsidP="007306F8">
                            <w:pPr>
                              <w:pStyle w:val="Default"/>
                              <w:spacing w:line="276" w:lineRule="auto"/>
                              <w:rPr>
                                <w:rStyle w:val="Hyperlink"/>
                                <w:color w:val="FFFFFF" w:themeColor="background1"/>
                                <w:sz w:val="20"/>
                                <w:szCs w:val="20"/>
                              </w:rPr>
                            </w:pPr>
                          </w:p>
                          <w:p w14:paraId="0736555A" w14:textId="77777777" w:rsidR="007306F8" w:rsidRPr="007306F8" w:rsidRDefault="007306F8" w:rsidP="007306F8">
                            <w:pPr>
                              <w:pStyle w:val="Default"/>
                              <w:numPr>
                                <w:ilvl w:val="0"/>
                                <w:numId w:val="3"/>
                              </w:numPr>
                              <w:spacing w:line="276" w:lineRule="auto"/>
                              <w:rPr>
                                <w:color w:val="FFFFFF" w:themeColor="background1"/>
                                <w:sz w:val="20"/>
                                <w:szCs w:val="20"/>
                              </w:rPr>
                            </w:pPr>
                            <w:hyperlink r:id="rId21" w:tooltip="http://www1.tce.pr.gov.br/conteudo/boletim-de-jurisprudencia-internacional/316601/area/249" w:history="1">
                              <w:proofErr w:type="spellStart"/>
                              <w:r w:rsidRPr="007306F8">
                                <w:rPr>
                                  <w:rStyle w:val="Hyperlink"/>
                                  <w:color w:val="FFFFFF" w:themeColor="background1"/>
                                  <w:sz w:val="20"/>
                                  <w:szCs w:val="20"/>
                                </w:rPr>
                                <w:t>Interjuris</w:t>
                              </w:r>
                              <w:proofErr w:type="spellEnd"/>
                            </w:hyperlink>
                          </w:p>
                          <w:p w14:paraId="4A7505C8" w14:textId="77777777" w:rsidR="007306F8" w:rsidRPr="007306F8" w:rsidRDefault="007306F8" w:rsidP="007306F8">
                            <w:pPr>
                              <w:pStyle w:val="Default"/>
                              <w:spacing w:line="276" w:lineRule="auto"/>
                              <w:rPr>
                                <w:color w:val="FFFFFF" w:themeColor="background1"/>
                                <w:sz w:val="20"/>
                                <w:szCs w:val="20"/>
                              </w:rPr>
                            </w:pPr>
                          </w:p>
                          <w:p w14:paraId="066BAA51" w14:textId="77777777" w:rsidR="007306F8" w:rsidRPr="007306F8" w:rsidRDefault="007306F8" w:rsidP="007306F8">
                            <w:pPr>
                              <w:pStyle w:val="Default"/>
                              <w:numPr>
                                <w:ilvl w:val="0"/>
                                <w:numId w:val="3"/>
                              </w:numPr>
                              <w:spacing w:line="276" w:lineRule="auto"/>
                              <w:rPr>
                                <w:rStyle w:val="Hyperlink"/>
                                <w:color w:val="FFFFFF" w:themeColor="background1"/>
                                <w:sz w:val="20"/>
                                <w:szCs w:val="20"/>
                              </w:rPr>
                            </w:pPr>
                            <w:hyperlink r:id="rId22" w:tooltip="http://www1.tce.pr.gov.br/conteudo/repercussao-geral-no-stf-e-os-tribunais-de-contas/307026/area/249" w:history="1">
                              <w:r w:rsidRPr="007306F8">
                                <w:rPr>
                                  <w:rStyle w:val="Hyperlink"/>
                                  <w:color w:val="FFFFFF" w:themeColor="background1"/>
                                  <w:sz w:val="20"/>
                                  <w:szCs w:val="20"/>
                                </w:rPr>
                                <w:t>Repercussão Geral do Supremo Tribunal Federal - STF e os Tribunais de Contas</w:t>
                              </w:r>
                            </w:hyperlink>
                          </w:p>
                          <w:p w14:paraId="6B71A50A" w14:textId="77777777" w:rsidR="007306F8" w:rsidRPr="007306F8" w:rsidRDefault="007306F8" w:rsidP="007306F8">
                            <w:pPr>
                              <w:pStyle w:val="Default"/>
                              <w:spacing w:line="276" w:lineRule="auto"/>
                              <w:rPr>
                                <w:rStyle w:val="Hyperlink"/>
                                <w:color w:val="FFFFFF" w:themeColor="background1"/>
                                <w:sz w:val="20"/>
                                <w:szCs w:val="20"/>
                              </w:rPr>
                            </w:pPr>
                          </w:p>
                          <w:p w14:paraId="01D552A5" w14:textId="77777777" w:rsidR="007306F8" w:rsidRPr="007306F8" w:rsidRDefault="007306F8" w:rsidP="007306F8">
                            <w:pPr>
                              <w:pStyle w:val="Default"/>
                              <w:numPr>
                                <w:ilvl w:val="0"/>
                                <w:numId w:val="3"/>
                              </w:numPr>
                              <w:spacing w:line="276" w:lineRule="auto"/>
                              <w:rPr>
                                <w:rStyle w:val="Hyperlink"/>
                                <w:color w:val="FFFFFF" w:themeColor="background1"/>
                                <w:sz w:val="20"/>
                                <w:szCs w:val="20"/>
                              </w:rPr>
                            </w:pPr>
                            <w:hyperlink r:id="rId23" w:tooltip="http://www1.tce.pr.gov.br/conteudo/sumulas-selecionadas/316602/area/249" w:history="1">
                              <w:r w:rsidRPr="007306F8">
                                <w:rPr>
                                  <w:rStyle w:val="Hyperlink"/>
                                  <w:color w:val="FFFFFF" w:themeColor="background1"/>
                                  <w:sz w:val="20"/>
                                  <w:szCs w:val="20"/>
                                </w:rPr>
                                <w:t>Súmulas Selecionadas</w:t>
                              </w:r>
                            </w:hyperlink>
                          </w:p>
                          <w:p w14:paraId="6FD02788" w14:textId="77777777" w:rsidR="007306F8" w:rsidRPr="007306F8" w:rsidRDefault="007306F8" w:rsidP="007306F8">
                            <w:pP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DBDD8CC" id="Retângulo: Cantos Diagonais Arredondados 5" o:spid="_x0000_s1028" style="position:absolute;left:0;text-align:left;margin-left:88.95pt;margin-top:11.3pt;width:260.25pt;height:165.6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3305175,210312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" adj="-11796480,,5400" path="m350527,l3305175,r,l3305175,1752593v,193591,-156936,350527,-350527,350527l,2103120r,l,350527c,156936,156936,,350527,xe" fillcolor="#5e9f4f" stroked="f" strokeweight="2pt">
                <v:stroke joinstyle="miter"/>
                <v:formulas/>
                <v:path arrowok="t" o:connecttype="custom" o:connectlocs="350527,0;3305175,0;3305175,0;3305175,1752593;2954648,2103120;0,2103120;0,2103120;0,350527;350527,0" o:connectangles="0,0,0,0,0,0,0,0,0" textboxrect="0,0,3305175,2103120"/>
                <v:textbox>
                  <w:txbxContent>
                    <w:p w14:paraId="09F66271" w14:textId="77777777" w:rsidR="007306F8" w:rsidRPr="007306F8" w:rsidRDefault="007306F8" w:rsidP="007306F8">
                      <w:pPr>
                        <w:pStyle w:val="Default"/>
                        <w:numPr>
                          <w:ilvl w:val="0"/>
                          <w:numId w:val="3"/>
                        </w:numPr>
                        <w:spacing w:line="276" w:lineRule="auto"/>
                        <w:rPr>
                          <w:rStyle w:val="Hyperlink"/>
                          <w:color w:val="FFFFFF" w:themeColor="background1"/>
                          <w:sz w:val="20"/>
                          <w:szCs w:val="20"/>
                        </w:rPr>
                      </w:pPr>
                      <w:hyperlink r:id="rId24" w:tooltip="http://www1.tce.pr.gov.br/conteudo/pesquisas-prontas/308475/area/249" w:history="1">
                        <w:r w:rsidRPr="007306F8">
                          <w:rPr>
                            <w:rStyle w:val="Hyperlink"/>
                            <w:color w:val="FFFFFF" w:themeColor="background1"/>
                            <w:sz w:val="20"/>
                            <w:szCs w:val="20"/>
                          </w:rPr>
                          <w:t>Pesquisas Prontas</w:t>
                        </w:r>
                      </w:hyperlink>
                    </w:p>
                    <w:p w14:paraId="4C2B3423" w14:textId="77777777" w:rsidR="007306F8" w:rsidRPr="007306F8" w:rsidRDefault="007306F8" w:rsidP="007306F8">
                      <w:pPr>
                        <w:pStyle w:val="Default"/>
                        <w:spacing w:line="276" w:lineRule="auto"/>
                        <w:rPr>
                          <w:rStyle w:val="Hyperlink"/>
                          <w:color w:val="FFFFFF" w:themeColor="background1"/>
                          <w:sz w:val="20"/>
                          <w:szCs w:val="20"/>
                        </w:rPr>
                      </w:pPr>
                    </w:p>
                    <w:p w14:paraId="307BF594" w14:textId="77777777" w:rsidR="007306F8" w:rsidRPr="007306F8" w:rsidRDefault="007306F8" w:rsidP="007306F8">
                      <w:pPr>
                        <w:pStyle w:val="Default"/>
                        <w:numPr>
                          <w:ilvl w:val="0"/>
                          <w:numId w:val="3"/>
                        </w:numPr>
                        <w:spacing w:line="276" w:lineRule="auto"/>
                        <w:rPr>
                          <w:rStyle w:val="Hyperlink"/>
                          <w:color w:val="FFFFFF" w:themeColor="background1"/>
                          <w:sz w:val="20"/>
                          <w:szCs w:val="20"/>
                        </w:rPr>
                      </w:pPr>
                      <w:hyperlink r:id="rId25" w:tooltip="http://www1.tce.pr.gov.br/conteudo/boletim-informativo-de-jurisprudencia/280400/area/249" w:history="1">
                        <w:r w:rsidRPr="007306F8">
                          <w:rPr>
                            <w:rStyle w:val="Hyperlink"/>
                            <w:color w:val="FFFFFF" w:themeColor="background1"/>
                            <w:sz w:val="20"/>
                            <w:szCs w:val="20"/>
                          </w:rPr>
                          <w:t>Boletim Informativo de Jurisprudência</w:t>
                        </w:r>
                      </w:hyperlink>
                    </w:p>
                    <w:p w14:paraId="1E88F547" w14:textId="77777777" w:rsidR="007306F8" w:rsidRPr="007306F8" w:rsidRDefault="007306F8" w:rsidP="007306F8">
                      <w:pPr>
                        <w:pStyle w:val="Default"/>
                        <w:spacing w:line="276" w:lineRule="auto"/>
                        <w:rPr>
                          <w:rStyle w:val="Hyperlink"/>
                          <w:color w:val="FFFFFF" w:themeColor="background1"/>
                          <w:sz w:val="20"/>
                          <w:szCs w:val="20"/>
                        </w:rPr>
                      </w:pPr>
                    </w:p>
                    <w:p w14:paraId="0736555A" w14:textId="77777777" w:rsidR="007306F8" w:rsidRPr="007306F8" w:rsidRDefault="007306F8" w:rsidP="007306F8">
                      <w:pPr>
                        <w:pStyle w:val="Default"/>
                        <w:numPr>
                          <w:ilvl w:val="0"/>
                          <w:numId w:val="3"/>
                        </w:numPr>
                        <w:spacing w:line="276" w:lineRule="auto"/>
                        <w:rPr>
                          <w:color w:val="FFFFFF" w:themeColor="background1"/>
                          <w:sz w:val="20"/>
                          <w:szCs w:val="20"/>
                        </w:rPr>
                      </w:pPr>
                      <w:hyperlink r:id="rId26" w:tooltip="http://www1.tce.pr.gov.br/conteudo/boletim-de-jurisprudencia-internacional/316601/area/249" w:history="1">
                        <w:proofErr w:type="spellStart"/>
                        <w:r w:rsidRPr="007306F8">
                          <w:rPr>
                            <w:rStyle w:val="Hyperlink"/>
                            <w:color w:val="FFFFFF" w:themeColor="background1"/>
                            <w:sz w:val="20"/>
                            <w:szCs w:val="20"/>
                          </w:rPr>
                          <w:t>Interjuris</w:t>
                        </w:r>
                        <w:proofErr w:type="spellEnd"/>
                      </w:hyperlink>
                    </w:p>
                    <w:p w14:paraId="4A7505C8" w14:textId="77777777" w:rsidR="007306F8" w:rsidRPr="007306F8" w:rsidRDefault="007306F8" w:rsidP="007306F8">
                      <w:pPr>
                        <w:pStyle w:val="Default"/>
                        <w:spacing w:line="276" w:lineRule="auto"/>
                        <w:rPr>
                          <w:color w:val="FFFFFF" w:themeColor="background1"/>
                          <w:sz w:val="20"/>
                          <w:szCs w:val="20"/>
                        </w:rPr>
                      </w:pPr>
                    </w:p>
                    <w:p w14:paraId="066BAA51" w14:textId="77777777" w:rsidR="007306F8" w:rsidRPr="007306F8" w:rsidRDefault="007306F8" w:rsidP="007306F8">
                      <w:pPr>
                        <w:pStyle w:val="Default"/>
                        <w:numPr>
                          <w:ilvl w:val="0"/>
                          <w:numId w:val="3"/>
                        </w:numPr>
                        <w:spacing w:line="276" w:lineRule="auto"/>
                        <w:rPr>
                          <w:rStyle w:val="Hyperlink"/>
                          <w:color w:val="FFFFFF" w:themeColor="background1"/>
                          <w:sz w:val="20"/>
                          <w:szCs w:val="20"/>
                        </w:rPr>
                      </w:pPr>
                      <w:hyperlink r:id="rId27" w:tooltip="http://www1.tce.pr.gov.br/conteudo/repercussao-geral-no-stf-e-os-tribunais-de-contas/307026/area/249" w:history="1">
                        <w:r w:rsidRPr="007306F8">
                          <w:rPr>
                            <w:rStyle w:val="Hyperlink"/>
                            <w:color w:val="FFFFFF" w:themeColor="background1"/>
                            <w:sz w:val="20"/>
                            <w:szCs w:val="20"/>
                          </w:rPr>
                          <w:t>Repercussão Geral do Supremo Tribunal Federal - STF e os Tribunais de Contas</w:t>
                        </w:r>
                      </w:hyperlink>
                    </w:p>
                    <w:p w14:paraId="6B71A50A" w14:textId="77777777" w:rsidR="007306F8" w:rsidRPr="007306F8" w:rsidRDefault="007306F8" w:rsidP="007306F8">
                      <w:pPr>
                        <w:pStyle w:val="Default"/>
                        <w:spacing w:line="276" w:lineRule="auto"/>
                        <w:rPr>
                          <w:rStyle w:val="Hyperlink"/>
                          <w:color w:val="FFFFFF" w:themeColor="background1"/>
                          <w:sz w:val="20"/>
                          <w:szCs w:val="20"/>
                        </w:rPr>
                      </w:pPr>
                    </w:p>
                    <w:p w14:paraId="01D552A5" w14:textId="77777777" w:rsidR="007306F8" w:rsidRPr="007306F8" w:rsidRDefault="007306F8" w:rsidP="007306F8">
                      <w:pPr>
                        <w:pStyle w:val="Default"/>
                        <w:numPr>
                          <w:ilvl w:val="0"/>
                          <w:numId w:val="3"/>
                        </w:numPr>
                        <w:spacing w:line="276" w:lineRule="auto"/>
                        <w:rPr>
                          <w:rStyle w:val="Hyperlink"/>
                          <w:color w:val="FFFFFF" w:themeColor="background1"/>
                          <w:sz w:val="20"/>
                          <w:szCs w:val="20"/>
                        </w:rPr>
                      </w:pPr>
                      <w:hyperlink r:id="rId28" w:tooltip="http://www1.tce.pr.gov.br/conteudo/sumulas-selecionadas/316602/area/249" w:history="1">
                        <w:r w:rsidRPr="007306F8">
                          <w:rPr>
                            <w:rStyle w:val="Hyperlink"/>
                            <w:color w:val="FFFFFF" w:themeColor="background1"/>
                            <w:sz w:val="20"/>
                            <w:szCs w:val="20"/>
                          </w:rPr>
                          <w:t>Súmulas Selecionadas</w:t>
                        </w:r>
                      </w:hyperlink>
                    </w:p>
                    <w:p w14:paraId="6FD02788" w14:textId="77777777" w:rsidR="007306F8" w:rsidRPr="007306F8" w:rsidRDefault="007306F8" w:rsidP="007306F8">
                      <w:pPr>
                        <w:rPr>
                          <w:color w:val="FFFFFF" w:themeColor="background1"/>
                        </w:rPr>
                      </w:pPr>
                    </w:p>
                  </w:txbxContent>
                </v:textbox>
                <w10:wrap type="square"/>
              </v:shape>
            </w:pict>
          </mc:Fallback>
        </mc:AlternateContent>
      </w:r>
    </w:p>
    <w:p w14:paraId="036788E3" w14:textId="77777777" w:rsidR="00674104" w:rsidRDefault="00BF1916">
      <w:pPr>
        <w:jc w:val="center"/>
        <w:rPr>
          <w:rStyle w:val="Hyperlink"/>
          <w:rFonts w:ascii="Arial" w:hAnsi="Arial" w:cs="Arial"/>
          <w:i/>
          <w:color w:val="000000"/>
          <w:sz w:val="20"/>
          <w:szCs w:val="20"/>
          <w:u w:val="none"/>
        </w:rPr>
      </w:pPr>
      <w:r>
        <w:rPr>
          <w:noProof/>
        </w:rPr>
        <mc:AlternateContent>
          <mc:Choice Requires="wps">
            <w:drawing>
              <wp:anchor distT="0" distB="0" distL="114300" distR="114300" simplePos="0" relativeHeight="251659775" behindDoc="0" locked="0" layoutInCell="1" allowOverlap="1" wp14:anchorId="3490E7C6" wp14:editId="36185545">
                <wp:simplePos x="0" y="0"/>
                <wp:positionH relativeFrom="column">
                  <wp:posOffset>1263015</wp:posOffset>
                </wp:positionH>
                <wp:positionV relativeFrom="paragraph">
                  <wp:posOffset>112395</wp:posOffset>
                </wp:positionV>
                <wp:extent cx="3305175" cy="2103120"/>
                <wp:effectExtent l="0" t="0" r="9525" b="0"/>
                <wp:wrapSquare wrapText="bothSides"/>
                <wp:docPr id="1564090924" name="Retângulo: Cantos Diagonais Arredondados 5"/>
                <wp:cNvGraphicFramePr/>
                <a:graphic xmlns:a="http://schemas.openxmlformats.org/drawingml/2006/main">
                  <a:graphicData uri="http://schemas.microsoft.com/office/word/2010/wordprocessingShape">
                    <wps:wsp>
                      <wps:cNvSpPr/>
                      <wps:spPr>
                        <a:xfrm>
                          <a:off x="0" y="0"/>
                          <a:ext cx="3305175" cy="2103120"/>
                        </a:xfrm>
                        <a:prstGeom prst="round2DiagRect">
                          <a:avLst/>
                        </a:prstGeom>
                        <a:solidFill>
                          <a:srgbClr val="4B7A38"/>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6BF7524" w14:textId="77777777" w:rsidR="00BF1916" w:rsidRPr="007306F8" w:rsidRDefault="00BF1916" w:rsidP="00BF1916">
                            <w:pP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490E7C6" id="_x0000_s1029" style="position:absolute;left:0;text-align:left;margin-left:99.45pt;margin-top:8.85pt;width:260.25pt;height:165.6pt;z-index:2516597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3305175,210312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" adj="-11796480,,5400" path="m350527,l3305175,r,l3305175,1752593v,193591,-156936,350527,-350527,350527l,2103120r,l,350527c,156936,156936,,350527,xe" fillcolor="#4b7a38" stroked="f" strokeweight="2pt">
                <v:stroke joinstyle="miter"/>
                <v:formulas/>
                <v:path arrowok="t" o:connecttype="custom" o:connectlocs="350527,0;3305175,0;3305175,0;3305175,1752593;2954648,2103120;0,2103120;0,2103120;0,350527;350527,0" o:connectangles="0,0,0,0,0,0,0,0,0" textboxrect="0,0,3305175,2103120"/>
                <v:textbox>
                  <w:txbxContent>
                    <w:p w14:paraId="76BF7524" w14:textId="77777777" w:rsidR="00BF1916" w:rsidRPr="007306F8" w:rsidRDefault="00BF1916" w:rsidP="00BF1916">
                      <w:pPr>
                        <w:rPr>
                          <w:color w:val="FFFFFF" w:themeColor="background1"/>
                        </w:rPr>
                      </w:pPr>
                    </w:p>
                  </w:txbxContent>
                </v:textbox>
                <w10:wrap type="square"/>
              </v:shape>
            </w:pict>
          </mc:Fallback>
        </mc:AlternateContent>
      </w:r>
    </w:p>
    <w:p w14:paraId="35FB29D5" w14:textId="77777777" w:rsidR="007306F8" w:rsidRDefault="007306F8">
      <w:pPr>
        <w:jc w:val="center"/>
        <w:rPr>
          <w:rStyle w:val="Hyperlink"/>
          <w:rFonts w:ascii="Arial" w:hAnsi="Arial" w:cs="Arial"/>
          <w:i/>
          <w:color w:val="000000"/>
          <w:sz w:val="20"/>
          <w:szCs w:val="20"/>
          <w:u w:val="none"/>
        </w:rPr>
      </w:pPr>
    </w:p>
    <w:p w14:paraId="7F80A126" w14:textId="77777777" w:rsidR="007306F8" w:rsidRDefault="007306F8">
      <w:pPr>
        <w:jc w:val="center"/>
        <w:rPr>
          <w:rStyle w:val="Hyperlink"/>
          <w:rFonts w:ascii="Arial" w:hAnsi="Arial" w:cs="Arial"/>
          <w:i/>
          <w:color w:val="000000"/>
          <w:sz w:val="20"/>
          <w:szCs w:val="20"/>
          <w:u w:val="none"/>
        </w:rPr>
      </w:pPr>
    </w:p>
    <w:p w14:paraId="04B327AB" w14:textId="77777777" w:rsidR="007306F8" w:rsidRPr="00BF1916" w:rsidRDefault="007306F8">
      <w:pPr>
        <w:jc w:val="center"/>
        <w:rPr>
          <w:rStyle w:val="Hyperlink"/>
          <w:rFonts w:ascii="Arial" w:hAnsi="Arial" w:cs="Arial"/>
          <w:i/>
          <w:color w:val="000000" w:themeColor="text1"/>
          <w:sz w:val="20"/>
          <w:szCs w:val="20"/>
        </w:rPr>
      </w:pPr>
    </w:p>
    <w:p w14:paraId="68057E25" w14:textId="77777777" w:rsidR="007306F8" w:rsidRDefault="007306F8">
      <w:pPr>
        <w:jc w:val="center"/>
        <w:rPr>
          <w:rStyle w:val="Hyperlink"/>
          <w:rFonts w:ascii="Arial" w:hAnsi="Arial" w:cs="Arial"/>
          <w:i/>
          <w:color w:val="000000" w:themeColor="text1"/>
          <w:sz w:val="20"/>
          <w:szCs w:val="20"/>
          <w:u w:val="none"/>
        </w:rPr>
      </w:pPr>
    </w:p>
    <w:p w14:paraId="35C54608" w14:textId="77777777" w:rsidR="007306F8" w:rsidRDefault="007306F8">
      <w:pPr>
        <w:jc w:val="center"/>
        <w:rPr>
          <w:rStyle w:val="Hyperlink"/>
          <w:rFonts w:ascii="Arial" w:hAnsi="Arial" w:cs="Arial"/>
          <w:i/>
          <w:color w:val="000000" w:themeColor="text1"/>
          <w:sz w:val="20"/>
          <w:szCs w:val="20"/>
          <w:u w:val="none"/>
        </w:rPr>
      </w:pPr>
    </w:p>
    <w:p w14:paraId="6C1C6CA8" w14:textId="77777777" w:rsidR="007306F8" w:rsidRDefault="007306F8">
      <w:pPr>
        <w:jc w:val="center"/>
        <w:rPr>
          <w:rStyle w:val="Hyperlink"/>
          <w:rFonts w:ascii="Arial" w:hAnsi="Arial" w:cs="Arial"/>
          <w:i/>
          <w:color w:val="000000" w:themeColor="text1"/>
          <w:sz w:val="20"/>
          <w:szCs w:val="20"/>
          <w:u w:val="none"/>
        </w:rPr>
      </w:pPr>
    </w:p>
    <w:p w14:paraId="19815B60" w14:textId="77777777" w:rsidR="007306F8" w:rsidRDefault="007306F8">
      <w:pPr>
        <w:jc w:val="center"/>
        <w:rPr>
          <w:rStyle w:val="Hyperlink"/>
          <w:rFonts w:ascii="Arial" w:hAnsi="Arial" w:cs="Arial"/>
          <w:i/>
          <w:color w:val="000000" w:themeColor="text1"/>
          <w:sz w:val="20"/>
          <w:szCs w:val="20"/>
          <w:u w:val="none"/>
        </w:rPr>
      </w:pPr>
    </w:p>
    <w:p w14:paraId="129B2C8C" w14:textId="77777777" w:rsidR="007306F8" w:rsidRDefault="007306F8">
      <w:pPr>
        <w:jc w:val="center"/>
        <w:rPr>
          <w:rStyle w:val="Hyperlink"/>
          <w:rFonts w:ascii="Arial" w:hAnsi="Arial" w:cs="Arial"/>
          <w:i/>
          <w:color w:val="000000" w:themeColor="text1"/>
          <w:sz w:val="20"/>
          <w:szCs w:val="20"/>
          <w:u w:val="none"/>
        </w:rPr>
      </w:pPr>
    </w:p>
    <w:p w14:paraId="6608B2F3" w14:textId="77777777" w:rsidR="007306F8" w:rsidRDefault="007306F8">
      <w:pPr>
        <w:jc w:val="center"/>
        <w:rPr>
          <w:rStyle w:val="Hyperlink"/>
          <w:rFonts w:ascii="Arial" w:hAnsi="Arial" w:cs="Arial"/>
          <w:i/>
          <w:color w:val="000000" w:themeColor="text1"/>
          <w:sz w:val="20"/>
          <w:szCs w:val="20"/>
          <w:u w:val="none"/>
        </w:rPr>
      </w:pPr>
    </w:p>
    <w:p w14:paraId="76C6080A" w14:textId="77777777" w:rsidR="007306F8" w:rsidRDefault="007306F8">
      <w:pPr>
        <w:jc w:val="center"/>
        <w:rPr>
          <w:rStyle w:val="Hyperlink"/>
          <w:rFonts w:ascii="Arial" w:hAnsi="Arial" w:cs="Arial"/>
          <w:i/>
          <w:color w:val="000000" w:themeColor="text1"/>
          <w:sz w:val="20"/>
          <w:szCs w:val="20"/>
          <w:u w:val="none"/>
        </w:rPr>
      </w:pPr>
    </w:p>
    <w:p w14:paraId="262F59D3" w14:textId="77777777" w:rsidR="007306F8" w:rsidRDefault="007306F8">
      <w:pPr>
        <w:jc w:val="center"/>
        <w:rPr>
          <w:rStyle w:val="Hyperlink"/>
          <w:rFonts w:ascii="Arial" w:hAnsi="Arial" w:cs="Arial"/>
          <w:i/>
          <w:color w:val="000000" w:themeColor="text1"/>
          <w:sz w:val="20"/>
          <w:szCs w:val="20"/>
          <w:u w:val="none"/>
        </w:rPr>
      </w:pPr>
    </w:p>
    <w:p w14:paraId="0195C69A" w14:textId="77777777" w:rsidR="007306F8" w:rsidRDefault="007306F8">
      <w:pPr>
        <w:jc w:val="center"/>
        <w:rPr>
          <w:rStyle w:val="Hyperlink"/>
          <w:rFonts w:ascii="Arial" w:hAnsi="Arial" w:cs="Arial"/>
          <w:i/>
          <w:color w:val="000000" w:themeColor="text1"/>
          <w:sz w:val="20"/>
          <w:szCs w:val="20"/>
          <w:u w:val="none"/>
        </w:rPr>
      </w:pPr>
    </w:p>
    <w:p w14:paraId="69F0B857" w14:textId="77777777" w:rsidR="007306F8" w:rsidRDefault="007306F8">
      <w:pPr>
        <w:jc w:val="center"/>
        <w:rPr>
          <w:rStyle w:val="Hyperlink"/>
          <w:rFonts w:ascii="Arial" w:hAnsi="Arial" w:cs="Arial"/>
          <w:i/>
          <w:color w:val="000000" w:themeColor="text1"/>
          <w:sz w:val="20"/>
          <w:szCs w:val="20"/>
          <w:u w:val="none"/>
        </w:rPr>
      </w:pPr>
    </w:p>
    <w:p w14:paraId="52DCDCDD" w14:textId="77777777" w:rsidR="007306F8" w:rsidRDefault="007306F8">
      <w:pPr>
        <w:jc w:val="center"/>
        <w:rPr>
          <w:rStyle w:val="Hyperlink"/>
          <w:rFonts w:ascii="Arial" w:hAnsi="Arial" w:cs="Arial"/>
          <w:i/>
          <w:color w:val="000000" w:themeColor="text1"/>
          <w:sz w:val="20"/>
          <w:szCs w:val="20"/>
          <w:u w:val="none"/>
        </w:rPr>
      </w:pPr>
    </w:p>
    <w:p w14:paraId="7E11E7DE" w14:textId="77777777" w:rsidR="007306F8" w:rsidRDefault="007306F8">
      <w:pPr>
        <w:jc w:val="center"/>
        <w:rPr>
          <w:rStyle w:val="Hyperlink"/>
          <w:rFonts w:ascii="Arial" w:hAnsi="Arial" w:cs="Arial"/>
          <w:i/>
          <w:color w:val="000000" w:themeColor="text1"/>
          <w:sz w:val="20"/>
          <w:szCs w:val="20"/>
          <w:u w:val="none"/>
        </w:rPr>
      </w:pPr>
    </w:p>
    <w:p w14:paraId="0FF92AD5" w14:textId="77777777" w:rsidR="007306F8" w:rsidRDefault="007306F8" w:rsidP="00BF1916">
      <w:pPr>
        <w:rPr>
          <w:rStyle w:val="Hyperlink"/>
          <w:rFonts w:ascii="Arial" w:hAnsi="Arial" w:cs="Arial"/>
          <w:i/>
          <w:color w:val="000000" w:themeColor="text1"/>
          <w:sz w:val="20"/>
          <w:szCs w:val="20"/>
          <w:u w:val="none"/>
        </w:rPr>
      </w:pPr>
    </w:p>
    <w:p w14:paraId="64ECF888" w14:textId="613B6829" w:rsidR="00674104" w:rsidRDefault="007306F8">
      <w:pPr>
        <w:jc w:val="center"/>
        <w:rPr>
          <w:rFonts w:ascii="Arial" w:hAnsi="Arial" w:cs="Arial"/>
          <w:b/>
          <w:sz w:val="20"/>
          <w:szCs w:val="20"/>
        </w:rPr>
      </w:pPr>
      <w:r>
        <w:rPr>
          <w:noProof/>
        </w:rPr>
        <mc:AlternateContent>
          <mc:Choice Requires="wps">
            <w:drawing>
              <wp:inline distT="0" distB="0" distL="0" distR="0" wp14:anchorId="5E8C16B3" wp14:editId="3F4FBAAD">
                <wp:extent cx="5518150" cy="0"/>
                <wp:effectExtent l="0" t="0" r="25400" b="57150"/>
                <wp:docPr id="23545603"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51815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wps:spPr>
                      <wps:bodyPr/>
                    </wps:wsp>
                  </a:graphicData>
                </a:graphic>
              </wp:inline>
            </w:drawing>
          </mc:Choice>
          <mc:Fallback>
            <w:pict>
              <v:line w14:anchorId="1C2D6B48" id="Conector reto 1" o:spid="_x0000_s1026" style="visibility:visible;mso-wrap-style:square;mso-left-percent:-10001;mso-top-percent:-10001;mso-position-horizontal:absolute;mso-position-horizontal-relative:char;mso-position-vertical:absolute;mso-position-vertical-relative:line;mso-left-percent:-10001;mso-top-percent:-10001" from="0,0" to="43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" strokecolor="black [3200]" strokeweight="2pt">
                <v:shadow on="t" color="black" opacity="24903f" origin=",.5" offset="0,.55556mm"/>
                <o:lock v:ext="edit" shapetype="f"/>
                <w10:anchorlock/>
              </v:line>
            </w:pict>
          </mc:Fallback>
        </mc:AlternateContent>
      </w:r>
    </w:p>
    <w:sectPr w:rsidR="00674104" w:rsidSect="00AD4305">
      <w:headerReference w:type="default" r:id="rId29"/>
      <w:footerReference w:type="default" r:id="rId30"/>
      <w:pgSz w:w="11906" w:h="16838"/>
      <w:pgMar w:top="1325" w:right="1701" w:bottom="1560" w:left="1701" w:header="1276" w:footer="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CB4B0" w14:textId="77777777" w:rsidR="00837058" w:rsidRDefault="00837058">
      <w:r>
        <w:separator/>
      </w:r>
    </w:p>
  </w:endnote>
  <w:endnote w:type="continuationSeparator" w:id="0">
    <w:p w14:paraId="32E3B32C" w14:textId="77777777" w:rsidR="00837058" w:rsidRDefault="00837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0591265"/>
      <w:docPartObj>
        <w:docPartGallery w:val="Page Numbers (Bottom of Page)"/>
        <w:docPartUnique/>
      </w:docPartObj>
    </w:sdtPr>
    <w:sdtEndPr>
      <w:rPr>
        <w:b/>
        <w:bCs/>
        <w:color w:val="FFFFFF" w:themeColor="background1"/>
      </w:rPr>
    </w:sdtEndPr>
    <w:sdtContent>
      <w:p w14:paraId="4942B19F" w14:textId="77777777" w:rsidR="008F629F" w:rsidRDefault="008F629F">
        <w:pPr>
          <w:pStyle w:val="Rodap"/>
          <w:jc w:val="right"/>
        </w:pPr>
        <w:r w:rsidRPr="007306F8">
          <w:rPr>
            <w:rFonts w:asciiTheme="minorHAnsi" w:hAnsiTheme="minorHAnsi" w:cstheme="minorHAnsi"/>
            <w:noProof/>
            <w:sz w:val="22"/>
          </w:rPr>
          <w:drawing>
            <wp:anchor distT="0" distB="0" distL="114300" distR="114300" simplePos="0" relativeHeight="251658240" behindDoc="1" locked="0" layoutInCell="1" allowOverlap="1" wp14:anchorId="073C2EF8" wp14:editId="2FD8A7F2">
              <wp:simplePos x="0" y="0"/>
              <wp:positionH relativeFrom="page">
                <wp:align>left</wp:align>
              </wp:positionH>
              <wp:positionV relativeFrom="paragraph">
                <wp:posOffset>-304437</wp:posOffset>
              </wp:positionV>
              <wp:extent cx="7555356" cy="1076325"/>
              <wp:effectExtent l="0" t="0" r="7620" b="0"/>
              <wp:wrapNone/>
              <wp:docPr id="2038885109"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56622" name="Imagem 3"/>
                      <pic:cNvPicPr/>
                    </pic:nvPicPr>
                    <pic:blipFill>
                      <a:blip r:embed="rId1">
                        <a:extLst>
                          <a:ext uri="{28A0092B-C50C-407E-A947-70E740481C1C}">
                            <a14:useLocalDpi xmlns:a14="http://schemas.microsoft.com/office/drawing/2010/main" val="0"/>
                          </a:ext>
                        </a:extLst>
                      </a:blip>
                      <a:srcRect t="59" b="59"/>
                      <a:stretch>
                        <a:fillRect/>
                      </a:stretch>
                    </pic:blipFill>
                    <pic:spPr bwMode="auto">
                      <a:xfrm>
                        <a:off x="0" y="0"/>
                        <a:ext cx="7555356" cy="10763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EA50278" w14:textId="77777777" w:rsidR="007306F8" w:rsidRDefault="007306F8" w:rsidP="008F629F">
        <w:pPr>
          <w:pStyle w:val="Rodap"/>
          <w:jc w:val="center"/>
        </w:pPr>
      </w:p>
      <w:p w14:paraId="3B5C8A0A" w14:textId="77777777" w:rsidR="00C76BA8" w:rsidRPr="007306F8" w:rsidRDefault="00C76BA8">
        <w:pPr>
          <w:pStyle w:val="Rodap"/>
          <w:jc w:val="right"/>
          <w:rPr>
            <w:b/>
            <w:bCs/>
            <w:color w:val="FFFFFF" w:themeColor="background1"/>
          </w:rPr>
        </w:pPr>
        <w:r w:rsidRPr="007306F8">
          <w:rPr>
            <w:rFonts w:asciiTheme="minorHAnsi" w:hAnsiTheme="minorHAnsi" w:cstheme="minorHAnsi"/>
            <w:b/>
            <w:bCs/>
            <w:color w:val="FFFFFF" w:themeColor="background1"/>
            <w:sz w:val="22"/>
          </w:rPr>
          <w:fldChar w:fldCharType="begin"/>
        </w:r>
        <w:r w:rsidRPr="007306F8">
          <w:rPr>
            <w:rFonts w:asciiTheme="minorHAnsi" w:hAnsiTheme="minorHAnsi" w:cstheme="minorHAnsi"/>
            <w:b/>
            <w:bCs/>
            <w:color w:val="FFFFFF" w:themeColor="background1"/>
            <w:sz w:val="22"/>
          </w:rPr>
          <w:instrText>PAGE   \* MERGEFORMAT</w:instrText>
        </w:r>
        <w:r w:rsidRPr="007306F8">
          <w:rPr>
            <w:rFonts w:asciiTheme="minorHAnsi" w:hAnsiTheme="minorHAnsi" w:cstheme="minorHAnsi"/>
            <w:b/>
            <w:bCs/>
            <w:color w:val="FFFFFF" w:themeColor="background1"/>
            <w:sz w:val="22"/>
          </w:rPr>
          <w:fldChar w:fldCharType="separate"/>
        </w:r>
        <w:r w:rsidRPr="007306F8">
          <w:rPr>
            <w:rFonts w:asciiTheme="minorHAnsi" w:hAnsiTheme="minorHAnsi" w:cstheme="minorHAnsi"/>
            <w:b/>
            <w:bCs/>
            <w:color w:val="FFFFFF" w:themeColor="background1"/>
            <w:sz w:val="22"/>
          </w:rPr>
          <w:t>2</w:t>
        </w:r>
        <w:r w:rsidRPr="007306F8">
          <w:rPr>
            <w:rFonts w:asciiTheme="minorHAnsi" w:hAnsiTheme="minorHAnsi" w:cstheme="minorHAnsi"/>
            <w:b/>
            <w:bCs/>
            <w:color w:val="FFFFFF" w:themeColor="background1"/>
            <w:sz w:val="22"/>
          </w:rPr>
          <w:fldChar w:fldCharType="end"/>
        </w:r>
      </w:p>
    </w:sdtContent>
  </w:sdt>
  <w:p w14:paraId="6828704E" w14:textId="77777777" w:rsidR="00674104" w:rsidRDefault="00674104" w:rsidP="00C76BA8">
    <w:pPr>
      <w:tabs>
        <w:tab w:val="left" w:pos="58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CF5A7" w14:textId="77777777" w:rsidR="00837058" w:rsidRDefault="00837058">
      <w:r>
        <w:separator/>
      </w:r>
    </w:p>
  </w:footnote>
  <w:footnote w:type="continuationSeparator" w:id="0">
    <w:p w14:paraId="58AAB1BB" w14:textId="77777777" w:rsidR="00837058" w:rsidRDefault="008370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72D6D" w14:textId="77777777" w:rsidR="00674104" w:rsidRDefault="00EB4D7E" w:rsidP="00EB4D7E">
    <w:pPr>
      <w:pStyle w:val="Cabealho"/>
      <w:spacing w:after="100" w:afterAutospacing="1"/>
      <w:rPr>
        <w:b/>
      </w:rPr>
    </w:pPr>
    <w:r>
      <w:rPr>
        <w:b/>
        <w:noProof/>
      </w:rPr>
      <w:drawing>
        <wp:anchor distT="0" distB="0" distL="114300" distR="114300" simplePos="0" relativeHeight="251659264" behindDoc="0" locked="0" layoutInCell="1" allowOverlap="1" wp14:anchorId="04BE7EC1" wp14:editId="2C0E35E3">
          <wp:simplePos x="0" y="0"/>
          <wp:positionH relativeFrom="page">
            <wp:align>left</wp:align>
          </wp:positionH>
          <wp:positionV relativeFrom="paragraph">
            <wp:posOffset>-811530</wp:posOffset>
          </wp:positionV>
          <wp:extent cx="7556500" cy="1077595"/>
          <wp:effectExtent l="0" t="0" r="6350" b="0"/>
          <wp:wrapSquare wrapText="bothSides"/>
          <wp:docPr id="1559822868"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00809" name="Imagem 4"/>
                  <pic:cNvPicPr/>
                </pic:nvPicPr>
                <pic:blipFill rotWithShape="1">
                  <a:blip r:embed="rId1">
                    <a:extLst>
                      <a:ext uri="{28A0092B-C50C-407E-A947-70E740481C1C}">
                        <a14:useLocalDpi xmlns:a14="http://schemas.microsoft.com/office/drawing/2010/main" val="0"/>
                      </a:ext>
                    </a:extLst>
                  </a:blip>
                  <a:srcRect l="-73" r="142"/>
                  <a:stretch/>
                </pic:blipFill>
                <pic:spPr bwMode="auto">
                  <a:xfrm>
                    <a:off x="0" y="0"/>
                    <a:ext cx="7556500" cy="10775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4"/>
    <w:multiLevelType w:val="hybridMultilevel"/>
    <w:tmpl w:val="FFFFFFFF"/>
    <w:lvl w:ilvl="0" w:tplc="0000012D">
      <w:start w:val="1"/>
      <w:numFmt w:val="low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A976954"/>
    <w:multiLevelType w:val="hybridMultilevel"/>
    <w:tmpl w:val="F61296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166626897">
    <w:abstractNumId w:val="0"/>
  </w:num>
  <w:num w:numId="2" w16cid:durableId="1121461964">
    <w:abstractNumId w:val="1"/>
  </w:num>
  <w:num w:numId="3" w16cid:durableId="2079471926">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hideGrammatical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104"/>
    <w:rsid w:val="00003BD8"/>
    <w:rsid w:val="0001566B"/>
    <w:rsid w:val="00017EB9"/>
    <w:rsid w:val="00040AC2"/>
    <w:rsid w:val="00077C0D"/>
    <w:rsid w:val="00084E2D"/>
    <w:rsid w:val="00086AA8"/>
    <w:rsid w:val="00090D4E"/>
    <w:rsid w:val="00092C9B"/>
    <w:rsid w:val="00096DEB"/>
    <w:rsid w:val="000A0C9E"/>
    <w:rsid w:val="000B5C32"/>
    <w:rsid w:val="000C54AC"/>
    <w:rsid w:val="000C7B30"/>
    <w:rsid w:val="000D593C"/>
    <w:rsid w:val="000D5E35"/>
    <w:rsid w:val="000E258E"/>
    <w:rsid w:val="000E5E23"/>
    <w:rsid w:val="00123291"/>
    <w:rsid w:val="00123A71"/>
    <w:rsid w:val="00125D69"/>
    <w:rsid w:val="001331C5"/>
    <w:rsid w:val="0015344D"/>
    <w:rsid w:val="00183A15"/>
    <w:rsid w:val="001D39F3"/>
    <w:rsid w:val="001D4B88"/>
    <w:rsid w:val="001F0576"/>
    <w:rsid w:val="002037CC"/>
    <w:rsid w:val="00207F2A"/>
    <w:rsid w:val="00227797"/>
    <w:rsid w:val="00233F67"/>
    <w:rsid w:val="00235406"/>
    <w:rsid w:val="00255FC7"/>
    <w:rsid w:val="00265060"/>
    <w:rsid w:val="0027764F"/>
    <w:rsid w:val="00280B44"/>
    <w:rsid w:val="002A20EF"/>
    <w:rsid w:val="002B058E"/>
    <w:rsid w:val="00305652"/>
    <w:rsid w:val="00324281"/>
    <w:rsid w:val="0032515A"/>
    <w:rsid w:val="0032790A"/>
    <w:rsid w:val="0033733A"/>
    <w:rsid w:val="00345C46"/>
    <w:rsid w:val="00351F4B"/>
    <w:rsid w:val="003A4213"/>
    <w:rsid w:val="003B3146"/>
    <w:rsid w:val="003C2C91"/>
    <w:rsid w:val="003D1479"/>
    <w:rsid w:val="003E19DD"/>
    <w:rsid w:val="003F38C2"/>
    <w:rsid w:val="00412BC4"/>
    <w:rsid w:val="004215CB"/>
    <w:rsid w:val="00422D96"/>
    <w:rsid w:val="004330D2"/>
    <w:rsid w:val="00433196"/>
    <w:rsid w:val="00440398"/>
    <w:rsid w:val="00442B1F"/>
    <w:rsid w:val="00446DB9"/>
    <w:rsid w:val="00460848"/>
    <w:rsid w:val="0047425F"/>
    <w:rsid w:val="00476674"/>
    <w:rsid w:val="0048296C"/>
    <w:rsid w:val="004B01E8"/>
    <w:rsid w:val="004B4A4A"/>
    <w:rsid w:val="004C588B"/>
    <w:rsid w:val="004E74A0"/>
    <w:rsid w:val="004F08EC"/>
    <w:rsid w:val="005201DA"/>
    <w:rsid w:val="00537FB2"/>
    <w:rsid w:val="00572082"/>
    <w:rsid w:val="0058637E"/>
    <w:rsid w:val="005D1FEC"/>
    <w:rsid w:val="005D25A0"/>
    <w:rsid w:val="005D485C"/>
    <w:rsid w:val="005D558B"/>
    <w:rsid w:val="006019E7"/>
    <w:rsid w:val="00617F68"/>
    <w:rsid w:val="00620DCD"/>
    <w:rsid w:val="00623BF7"/>
    <w:rsid w:val="00660E2F"/>
    <w:rsid w:val="006621F8"/>
    <w:rsid w:val="00665502"/>
    <w:rsid w:val="0067269E"/>
    <w:rsid w:val="006726BA"/>
    <w:rsid w:val="00674104"/>
    <w:rsid w:val="006813C5"/>
    <w:rsid w:val="006875A4"/>
    <w:rsid w:val="00694B26"/>
    <w:rsid w:val="006A0305"/>
    <w:rsid w:val="006A03EE"/>
    <w:rsid w:val="006D38C9"/>
    <w:rsid w:val="006F25DF"/>
    <w:rsid w:val="006F6B87"/>
    <w:rsid w:val="00701415"/>
    <w:rsid w:val="007227EC"/>
    <w:rsid w:val="007306F8"/>
    <w:rsid w:val="00732D1C"/>
    <w:rsid w:val="0073382B"/>
    <w:rsid w:val="00733AAC"/>
    <w:rsid w:val="0073715D"/>
    <w:rsid w:val="00755B00"/>
    <w:rsid w:val="007614E5"/>
    <w:rsid w:val="00791161"/>
    <w:rsid w:val="00796A06"/>
    <w:rsid w:val="007A5AED"/>
    <w:rsid w:val="007B66F3"/>
    <w:rsid w:val="007D1CC9"/>
    <w:rsid w:val="007D3AEB"/>
    <w:rsid w:val="007F13A7"/>
    <w:rsid w:val="007F6796"/>
    <w:rsid w:val="0080472D"/>
    <w:rsid w:val="008323EB"/>
    <w:rsid w:val="00837058"/>
    <w:rsid w:val="008569F6"/>
    <w:rsid w:val="008710CF"/>
    <w:rsid w:val="0087141F"/>
    <w:rsid w:val="008734D3"/>
    <w:rsid w:val="008963EF"/>
    <w:rsid w:val="00897D46"/>
    <w:rsid w:val="008A36CA"/>
    <w:rsid w:val="008B09E9"/>
    <w:rsid w:val="008C294D"/>
    <w:rsid w:val="008C59C1"/>
    <w:rsid w:val="008F4807"/>
    <w:rsid w:val="008F629F"/>
    <w:rsid w:val="009009C0"/>
    <w:rsid w:val="009142DC"/>
    <w:rsid w:val="00915255"/>
    <w:rsid w:val="009157D7"/>
    <w:rsid w:val="009204AA"/>
    <w:rsid w:val="00924155"/>
    <w:rsid w:val="00926E1D"/>
    <w:rsid w:val="00935C7B"/>
    <w:rsid w:val="00937D53"/>
    <w:rsid w:val="00941546"/>
    <w:rsid w:val="009763CE"/>
    <w:rsid w:val="00982AB9"/>
    <w:rsid w:val="00993DD5"/>
    <w:rsid w:val="009A2890"/>
    <w:rsid w:val="009E6D0F"/>
    <w:rsid w:val="009E786A"/>
    <w:rsid w:val="009F144D"/>
    <w:rsid w:val="00A24390"/>
    <w:rsid w:val="00A50ED8"/>
    <w:rsid w:val="00A606CE"/>
    <w:rsid w:val="00A93B0F"/>
    <w:rsid w:val="00AA1554"/>
    <w:rsid w:val="00AB565C"/>
    <w:rsid w:val="00AB7ACA"/>
    <w:rsid w:val="00AC054B"/>
    <w:rsid w:val="00AD4305"/>
    <w:rsid w:val="00AD46A8"/>
    <w:rsid w:val="00AE2832"/>
    <w:rsid w:val="00AF7CAD"/>
    <w:rsid w:val="00B041C0"/>
    <w:rsid w:val="00B146F5"/>
    <w:rsid w:val="00B35D89"/>
    <w:rsid w:val="00B37EAC"/>
    <w:rsid w:val="00B43592"/>
    <w:rsid w:val="00B7195E"/>
    <w:rsid w:val="00B726C4"/>
    <w:rsid w:val="00B87D0C"/>
    <w:rsid w:val="00BA656E"/>
    <w:rsid w:val="00BB4B21"/>
    <w:rsid w:val="00BC7A8E"/>
    <w:rsid w:val="00BF1916"/>
    <w:rsid w:val="00C1179E"/>
    <w:rsid w:val="00C37723"/>
    <w:rsid w:val="00C53AA5"/>
    <w:rsid w:val="00C668B4"/>
    <w:rsid w:val="00C756A7"/>
    <w:rsid w:val="00C76BA8"/>
    <w:rsid w:val="00C808FE"/>
    <w:rsid w:val="00C829CF"/>
    <w:rsid w:val="00CA05A6"/>
    <w:rsid w:val="00CC1302"/>
    <w:rsid w:val="00CC45B7"/>
    <w:rsid w:val="00D04667"/>
    <w:rsid w:val="00D07359"/>
    <w:rsid w:val="00D178C5"/>
    <w:rsid w:val="00D2185E"/>
    <w:rsid w:val="00D36E9D"/>
    <w:rsid w:val="00D601EE"/>
    <w:rsid w:val="00D607C2"/>
    <w:rsid w:val="00D62C31"/>
    <w:rsid w:val="00D91C8A"/>
    <w:rsid w:val="00D9614E"/>
    <w:rsid w:val="00D96370"/>
    <w:rsid w:val="00DF45F5"/>
    <w:rsid w:val="00DF57CD"/>
    <w:rsid w:val="00DF69BF"/>
    <w:rsid w:val="00E12B71"/>
    <w:rsid w:val="00E26437"/>
    <w:rsid w:val="00E44324"/>
    <w:rsid w:val="00E67994"/>
    <w:rsid w:val="00E87B46"/>
    <w:rsid w:val="00EA4601"/>
    <w:rsid w:val="00EB3D00"/>
    <w:rsid w:val="00EB4D7E"/>
    <w:rsid w:val="00EB7B78"/>
    <w:rsid w:val="00EC1747"/>
    <w:rsid w:val="00EC2C5C"/>
    <w:rsid w:val="00EC3339"/>
    <w:rsid w:val="00EE1B3B"/>
    <w:rsid w:val="00EE738C"/>
    <w:rsid w:val="00EF4E7E"/>
    <w:rsid w:val="00F00910"/>
    <w:rsid w:val="00F1578C"/>
    <w:rsid w:val="00F17473"/>
    <w:rsid w:val="00F2323C"/>
    <w:rsid w:val="00F26447"/>
    <w:rsid w:val="00F332E4"/>
    <w:rsid w:val="00F36F7E"/>
    <w:rsid w:val="00F51993"/>
    <w:rsid w:val="00F97FA1"/>
    <w:rsid w:val="00FA5A8F"/>
    <w:rsid w:val="00FC2184"/>
    <w:rsid w:val="00FD4CDF"/>
    <w:rsid w:val="00FE50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1A5E99"/>
  <w15:docId w15:val="{00278EA9-17D5-4FA7-B9D3-65833687A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D69"/>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link w:val="Ttulo1Char"/>
    <w:uiPriority w:val="1"/>
    <w:qFormat/>
    <w:rsid w:val="004B01E8"/>
    <w:pPr>
      <w:widowControl w:val="0"/>
      <w:ind w:right="3120"/>
      <w:jc w:val="both"/>
      <w:outlineLvl w:val="0"/>
    </w:pPr>
    <w:rPr>
      <w:rFonts w:ascii="Arial" w:eastAsia="Calibri" w:hAnsi="Arial" w:cs="Calibri"/>
      <w:b/>
      <w:bCs/>
      <w:color w:val="000000" w:themeColor="text1"/>
      <w:sz w:val="20"/>
      <w:szCs w:val="40"/>
      <w:lang w:val="en-US" w:eastAsia="en-US"/>
    </w:rPr>
  </w:style>
  <w:style w:type="paragraph" w:styleId="Ttulo2">
    <w:name w:val="heading 2"/>
    <w:basedOn w:val="Normal"/>
    <w:link w:val="Ttulo2Char"/>
    <w:uiPriority w:val="1"/>
    <w:qFormat/>
    <w:pPr>
      <w:widowControl w:val="0"/>
      <w:spacing w:before="1"/>
      <w:ind w:left="1824" w:right="322"/>
      <w:outlineLvl w:val="1"/>
    </w:pPr>
    <w:rPr>
      <w:rFonts w:ascii="Calibri" w:eastAsia="Calibri" w:hAnsi="Calibri" w:cs="Calibri"/>
      <w:b/>
      <w:bCs/>
      <w:sz w:val="32"/>
      <w:szCs w:val="32"/>
      <w:lang w:val="en-US" w:eastAsia="en-US"/>
    </w:rPr>
  </w:style>
  <w:style w:type="paragraph" w:styleId="Ttulo3">
    <w:name w:val="heading 3"/>
    <w:basedOn w:val="Normal"/>
    <w:next w:val="Normal"/>
    <w:link w:val="Ttulo3Char"/>
    <w:uiPriority w:val="9"/>
    <w:semiHidden/>
    <w:unhideWhenUsed/>
    <w:qFormat/>
    <w:pPr>
      <w:keepNext/>
      <w:keepLines/>
      <w:spacing w:before="40" w:line="276"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iPriority w:val="9"/>
    <w:semiHidden/>
    <w:unhideWhenUsed/>
    <w:qFormat/>
    <w:pPr>
      <w:keepNext/>
      <w:keepLines/>
      <w:spacing w:before="40" w:line="276" w:lineRule="auto"/>
      <w:outlineLvl w:val="3"/>
    </w:pPr>
    <w:rPr>
      <w:rFonts w:asciiTheme="majorHAnsi" w:eastAsiaTheme="majorEastAsia" w:hAnsiTheme="majorHAnsi" w:cstheme="majorBidi"/>
      <w:i/>
      <w:iCs/>
      <w:color w:val="365F91" w:themeColor="accent1" w:themeShade="BF"/>
      <w:sz w:val="22"/>
      <w:szCs w:val="22"/>
      <w:lang w:eastAsia="en-US"/>
    </w:rPr>
  </w:style>
  <w:style w:type="paragraph" w:styleId="Ttulo5">
    <w:name w:val="heading 5"/>
    <w:basedOn w:val="Normal"/>
    <w:next w:val="Normal"/>
    <w:link w:val="Ttulo5Char"/>
    <w:uiPriority w:val="9"/>
    <w:unhideWhenUsed/>
    <w:qFormat/>
    <w:pPr>
      <w:keepNext/>
      <w:keepLines/>
      <w:spacing w:before="320" w:after="200"/>
      <w:outlineLvl w:val="4"/>
    </w:pPr>
    <w:rPr>
      <w:rFonts w:ascii="Arial" w:eastAsia="Arial" w:hAnsi="Arial" w:cs="Arial"/>
      <w:b/>
      <w:bCs/>
    </w:rPr>
  </w:style>
  <w:style w:type="paragraph" w:styleId="Ttulo6">
    <w:name w:val="heading 6"/>
    <w:basedOn w:val="Normal"/>
    <w:next w:val="Normal"/>
    <w:link w:val="Ttulo6Char"/>
    <w:uiPriority w:val="9"/>
    <w:unhideWhenUsed/>
    <w:qFormat/>
    <w:pPr>
      <w:keepNext/>
      <w:keepLines/>
      <w:spacing w:before="320" w:after="200"/>
      <w:outlineLvl w:val="5"/>
    </w:pPr>
    <w:rPr>
      <w:rFonts w:ascii="Arial" w:eastAsia="Arial" w:hAnsi="Arial" w:cs="Arial"/>
      <w:b/>
      <w:bCs/>
      <w:sz w:val="22"/>
      <w:szCs w:val="22"/>
    </w:rPr>
  </w:style>
  <w:style w:type="paragraph" w:styleId="Ttulo7">
    <w:name w:val="heading 7"/>
    <w:basedOn w:val="Normal"/>
    <w:next w:val="Normal"/>
    <w:link w:val="Ttulo7Char"/>
    <w:uiPriority w:val="9"/>
    <w:unhideWhenUsed/>
    <w:qFormat/>
    <w:pPr>
      <w:keepNext/>
      <w:keepLines/>
      <w:spacing w:before="320" w:after="200"/>
      <w:outlineLvl w:val="6"/>
    </w:pPr>
    <w:rPr>
      <w:rFonts w:ascii="Arial" w:eastAsia="Arial" w:hAnsi="Arial" w:cs="Arial"/>
      <w:b/>
      <w:bCs/>
      <w:i/>
      <w:iCs/>
      <w:sz w:val="22"/>
      <w:szCs w:val="22"/>
    </w:rPr>
  </w:style>
  <w:style w:type="paragraph" w:styleId="Ttulo8">
    <w:name w:val="heading 8"/>
    <w:basedOn w:val="Normal"/>
    <w:next w:val="Normal"/>
    <w:link w:val="Ttulo8Char"/>
    <w:uiPriority w:val="9"/>
    <w:unhideWhenUsed/>
    <w:qFormat/>
    <w:pPr>
      <w:keepNext/>
      <w:keepLines/>
      <w:spacing w:before="320" w:after="200"/>
      <w:outlineLvl w:val="7"/>
    </w:pPr>
    <w:rPr>
      <w:rFonts w:ascii="Arial" w:eastAsia="Arial" w:hAnsi="Arial" w:cs="Arial"/>
      <w:i/>
      <w:iCs/>
      <w:sz w:val="22"/>
      <w:szCs w:val="22"/>
    </w:rPr>
  </w:style>
  <w:style w:type="paragraph" w:styleId="Ttulo9">
    <w:name w:val="heading 9"/>
    <w:basedOn w:val="Normal"/>
    <w:next w:val="Normal"/>
    <w:link w:val="Ttulo9Char"/>
    <w:uiPriority w:val="9"/>
    <w:unhideWhenUsed/>
    <w:qFormat/>
    <w:pPr>
      <w:keepNext/>
      <w:keepLines/>
      <w:spacing w:before="320" w:after="200"/>
      <w:outlineLvl w:val="8"/>
    </w:pPr>
    <w:rPr>
      <w:rFonts w:ascii="Arial" w:eastAsia="Arial" w:hAnsi="Arial" w:cs="Arial"/>
      <w:i/>
      <w:iCs/>
      <w:sz w:val="21"/>
      <w:szCs w:val="21"/>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eading1Char">
    <w:name w:val="Heading 1 Char"/>
    <w:basedOn w:val="Fontepargpadro"/>
    <w:uiPriority w:val="9"/>
    <w:rPr>
      <w:rFonts w:ascii="Arial" w:eastAsia="Arial" w:hAnsi="Arial" w:cs="Arial"/>
      <w:sz w:val="40"/>
      <w:szCs w:val="40"/>
    </w:rPr>
  </w:style>
  <w:style w:type="character" w:customStyle="1" w:styleId="Heading2Char">
    <w:name w:val="Heading 2 Char"/>
    <w:basedOn w:val="Fontepargpadro"/>
    <w:uiPriority w:val="9"/>
    <w:rPr>
      <w:rFonts w:ascii="Arial" w:eastAsia="Arial" w:hAnsi="Arial" w:cs="Arial"/>
      <w:sz w:val="34"/>
    </w:rPr>
  </w:style>
  <w:style w:type="character" w:customStyle="1" w:styleId="Heading3Char">
    <w:name w:val="Heading 3 Char"/>
    <w:basedOn w:val="Fontepargpadro"/>
    <w:uiPriority w:val="9"/>
    <w:rPr>
      <w:rFonts w:ascii="Arial" w:eastAsia="Arial" w:hAnsi="Arial" w:cs="Arial"/>
      <w:sz w:val="30"/>
      <w:szCs w:val="30"/>
    </w:rPr>
  </w:style>
  <w:style w:type="character" w:customStyle="1" w:styleId="Heading4Char">
    <w:name w:val="Heading 4 Char"/>
    <w:basedOn w:val="Fontepargpadro"/>
    <w:uiPriority w:val="9"/>
    <w:rPr>
      <w:rFonts w:ascii="Arial" w:eastAsia="Arial" w:hAnsi="Arial" w:cs="Arial"/>
      <w:b/>
      <w:bCs/>
      <w:sz w:val="26"/>
      <w:szCs w:val="26"/>
    </w:rPr>
  </w:style>
  <w:style w:type="character" w:customStyle="1" w:styleId="Ttulo5Char">
    <w:name w:val="Título 5 Char"/>
    <w:basedOn w:val="Fontepargpadro"/>
    <w:link w:val="Ttulo5"/>
    <w:uiPriority w:val="9"/>
    <w:rPr>
      <w:rFonts w:ascii="Arial" w:eastAsia="Arial" w:hAnsi="Arial" w:cs="Arial"/>
      <w:b/>
      <w:bCs/>
      <w:sz w:val="24"/>
      <w:szCs w:val="24"/>
    </w:rPr>
  </w:style>
  <w:style w:type="character" w:customStyle="1" w:styleId="Ttulo6Char">
    <w:name w:val="Título 6 Char"/>
    <w:basedOn w:val="Fontepargpadro"/>
    <w:link w:val="Ttulo6"/>
    <w:uiPriority w:val="9"/>
    <w:rPr>
      <w:rFonts w:ascii="Arial" w:eastAsia="Arial" w:hAnsi="Arial" w:cs="Arial"/>
      <w:b/>
      <w:bCs/>
      <w:sz w:val="22"/>
      <w:szCs w:val="22"/>
    </w:rPr>
  </w:style>
  <w:style w:type="character" w:customStyle="1" w:styleId="Ttulo7Char">
    <w:name w:val="Título 7 Char"/>
    <w:basedOn w:val="Fontepargpadro"/>
    <w:link w:val="Ttulo7"/>
    <w:uiPriority w:val="9"/>
    <w:rPr>
      <w:rFonts w:ascii="Arial" w:eastAsia="Arial" w:hAnsi="Arial" w:cs="Arial"/>
      <w:b/>
      <w:bCs/>
      <w:i/>
      <w:iCs/>
      <w:sz w:val="22"/>
      <w:szCs w:val="22"/>
    </w:rPr>
  </w:style>
  <w:style w:type="character" w:customStyle="1" w:styleId="Ttulo8Char">
    <w:name w:val="Título 8 Char"/>
    <w:basedOn w:val="Fontepargpadro"/>
    <w:link w:val="Ttulo8"/>
    <w:uiPriority w:val="9"/>
    <w:rPr>
      <w:rFonts w:ascii="Arial" w:eastAsia="Arial" w:hAnsi="Arial" w:cs="Arial"/>
      <w:i/>
      <w:iCs/>
      <w:sz w:val="22"/>
      <w:szCs w:val="22"/>
    </w:rPr>
  </w:style>
  <w:style w:type="character" w:customStyle="1" w:styleId="Ttulo9Char">
    <w:name w:val="Título 9 Char"/>
    <w:basedOn w:val="Fontepargpadro"/>
    <w:link w:val="Ttulo9"/>
    <w:uiPriority w:val="9"/>
    <w:rPr>
      <w:rFonts w:ascii="Arial" w:eastAsia="Arial" w:hAnsi="Arial" w:cs="Arial"/>
      <w:i/>
      <w:iCs/>
      <w:sz w:val="21"/>
      <w:szCs w:val="21"/>
    </w:rPr>
  </w:style>
  <w:style w:type="paragraph" w:styleId="SemEspaamento">
    <w:name w:val="No Spacing"/>
    <w:uiPriority w:val="1"/>
    <w:qFormat/>
    <w:pPr>
      <w:spacing w:after="0" w:line="240" w:lineRule="auto"/>
    </w:pPr>
  </w:style>
  <w:style w:type="paragraph" w:styleId="Ttulo">
    <w:name w:val="Title"/>
    <w:basedOn w:val="Normal"/>
    <w:next w:val="Normal"/>
    <w:link w:val="TtuloChar"/>
    <w:uiPriority w:val="10"/>
    <w:qFormat/>
    <w:pPr>
      <w:spacing w:before="300" w:after="200"/>
      <w:contextualSpacing/>
    </w:pPr>
    <w:rPr>
      <w:sz w:val="48"/>
      <w:szCs w:val="48"/>
    </w:rPr>
  </w:style>
  <w:style w:type="character" w:customStyle="1" w:styleId="TtuloChar">
    <w:name w:val="Título Char"/>
    <w:basedOn w:val="Fontepargpadro"/>
    <w:link w:val="Ttulo"/>
    <w:uiPriority w:val="10"/>
    <w:rPr>
      <w:sz w:val="48"/>
      <w:szCs w:val="48"/>
    </w:rPr>
  </w:style>
  <w:style w:type="paragraph" w:styleId="Subttulo">
    <w:name w:val="Subtitle"/>
    <w:basedOn w:val="Normal"/>
    <w:next w:val="Normal"/>
    <w:link w:val="SubttuloChar"/>
    <w:uiPriority w:val="11"/>
    <w:qFormat/>
    <w:pPr>
      <w:spacing w:before="200" w:after="200"/>
    </w:pPr>
  </w:style>
  <w:style w:type="character" w:customStyle="1" w:styleId="SubttuloChar">
    <w:name w:val="Subtítulo Char"/>
    <w:basedOn w:val="Fontepargpadro"/>
    <w:link w:val="Subttulo"/>
    <w:uiPriority w:val="11"/>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basedOn w:val="Normal"/>
    <w:next w:val="Normal"/>
    <w:link w:val="CitaoIntensa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character" w:customStyle="1" w:styleId="HeaderChar">
    <w:name w:val="Header Char"/>
    <w:basedOn w:val="Fontepargpadro"/>
    <w:uiPriority w:val="99"/>
  </w:style>
  <w:style w:type="character" w:customStyle="1" w:styleId="FooterChar">
    <w:name w:val="Footer Char"/>
    <w:basedOn w:val="Fontepargpadro"/>
    <w:uiPriority w:val="99"/>
  </w:style>
  <w:style w:type="paragraph" w:styleId="Legenda">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Tabela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SimplesTabela1">
    <w:name w:val="Plain Table 1"/>
    <w:basedOn w:val="Tabela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SimplesTabela2">
    <w:name w:val="Plain Table 2"/>
    <w:basedOn w:val="Tabela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SimplesTabela3">
    <w:name w:val="Plain Table 3"/>
    <w:basedOn w:val="Tabela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4">
    <w:name w:val="Plain Table 4"/>
    <w:basedOn w:val="Tabela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5">
    <w:name w:val="Plain Table 5"/>
    <w:basedOn w:val="Tabela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deGrade1Clara">
    <w:name w:val="Grid Table 1 Light"/>
    <w:basedOn w:val="Tabela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ela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ela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ela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ela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ela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eladeGrade2">
    <w:name w:val="Grid Table 2"/>
    <w:basedOn w:val="Tabela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ela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ela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ela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ela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ela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adeGrade3">
    <w:name w:val="Grid Table 3"/>
    <w:basedOn w:val="Tabela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ela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ela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ela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ela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ela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adeGrade4">
    <w:name w:val="Grid Table 4"/>
    <w:basedOn w:val="Tabela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elanormal"/>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elanormal"/>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elanormal"/>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elanormal"/>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elanormal"/>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adeGrade5Escura">
    <w:name w:val="Grid Table 5 Dark"/>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eladeGrade6Colorida">
    <w:name w:val="Grid Table 6 Colorful"/>
    <w:basedOn w:val="Tabela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ela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elanormal"/>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ela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elanormal"/>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elanormal"/>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eladeGrade7Colorida">
    <w:name w:val="Grid Table 7 Colorful"/>
    <w:basedOn w:val="Tabela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elanormal"/>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elanormal"/>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elanormal"/>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elanormal"/>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elanormal"/>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eladeLista1Clara">
    <w:name w:val="List Table 1 Light"/>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eladeLista2">
    <w:name w:val="List Table 2"/>
    <w:basedOn w:val="Tabela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elanormal"/>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elanormal"/>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elanormal"/>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elanormal"/>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elanormal"/>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eladeLista3">
    <w:name w:val="List Table 3"/>
    <w:basedOn w:val="Tabela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ela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elanormal"/>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ela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elanormal"/>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elanormal"/>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eladeLista4">
    <w:name w:val="List Table 4"/>
    <w:basedOn w:val="Tabela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elanormal"/>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elanormal"/>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elanormal"/>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elanormal"/>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elanormal"/>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eladeLista5Escura">
    <w:name w:val="List Table 5 Dark"/>
    <w:basedOn w:val="Tabela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elanormal"/>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elanormal"/>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elanormal"/>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elanormal"/>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elanormal"/>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eladeLista6Colorida">
    <w:name w:val="List Table 6 Colorful"/>
    <w:basedOn w:val="Tabela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elanormal"/>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elanormal"/>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elanormal"/>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elanormal"/>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elanormal"/>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eladeLista7Colorida">
    <w:name w:val="List Table 7 Colorful"/>
    <w:basedOn w:val="Tabela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elanormal"/>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elanormal"/>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elanormal"/>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elanormal"/>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elanormal"/>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anormal"/>
    <w:uiPriority w:val="99"/>
    <w:pPr>
      <w:spacing w:after="0" w:line="240" w:lineRule="auto"/>
    </w:pPr>
    <w:rPr>
      <w:color w:val="404040"/>
      <w:sz w:val="20"/>
      <w:szCs w:val="20"/>
      <w:lang w:eastAsia="pt-B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pPr>
      <w:spacing w:after="0" w:line="240" w:lineRule="auto"/>
    </w:pPr>
    <w:rPr>
      <w:color w:val="404040"/>
      <w:sz w:val="20"/>
      <w:szCs w:val="20"/>
      <w:lang w:eastAsia="pt-BR"/>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anormal"/>
    <w:uiPriority w:val="99"/>
    <w:pPr>
      <w:spacing w:after="0" w:line="240" w:lineRule="auto"/>
    </w:pPr>
    <w:rPr>
      <w:color w:val="404040"/>
      <w:sz w:val="20"/>
      <w:szCs w:val="20"/>
      <w:lang w:eastAsia="pt-BR"/>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anormal"/>
    <w:uiPriority w:val="99"/>
    <w:pPr>
      <w:spacing w:after="0" w:line="240" w:lineRule="auto"/>
    </w:pPr>
    <w:rPr>
      <w:color w:val="404040"/>
      <w:sz w:val="20"/>
      <w:szCs w:val="20"/>
      <w:lang w:eastAsia="pt-BR"/>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anormal"/>
    <w:uiPriority w:val="99"/>
    <w:pPr>
      <w:spacing w:after="0" w:line="240" w:lineRule="auto"/>
    </w:pPr>
    <w:rPr>
      <w:color w:val="404040"/>
      <w:sz w:val="20"/>
      <w:szCs w:val="20"/>
      <w:lang w:eastAsia="pt-BR"/>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anormal"/>
    <w:uiPriority w:val="99"/>
    <w:pPr>
      <w:spacing w:after="0" w:line="240" w:lineRule="auto"/>
    </w:pPr>
    <w:rPr>
      <w:color w:val="404040"/>
      <w:sz w:val="20"/>
      <w:szCs w:val="20"/>
      <w:lang w:eastAsia="pt-BR"/>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anormal"/>
    <w:uiPriority w:val="99"/>
    <w:pPr>
      <w:spacing w:after="0" w:line="240" w:lineRule="auto"/>
    </w:pPr>
    <w:rPr>
      <w:color w:val="404040"/>
      <w:sz w:val="20"/>
      <w:szCs w:val="20"/>
      <w:lang w:eastAsia="pt-BR"/>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a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a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a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a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a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a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Textodenotadefim">
    <w:name w:val="endnote text"/>
    <w:basedOn w:val="Normal"/>
    <w:link w:val="TextodenotadefimChar"/>
    <w:uiPriority w:val="99"/>
    <w:semiHidden/>
    <w:unhideWhenUsed/>
    <w:rPr>
      <w:sz w:val="20"/>
    </w:rPr>
  </w:style>
  <w:style w:type="character" w:customStyle="1" w:styleId="TextodenotadefimChar">
    <w:name w:val="Texto de nota de fim Char"/>
    <w:link w:val="Textodenotadefim"/>
    <w:uiPriority w:val="99"/>
    <w:rPr>
      <w:sz w:val="20"/>
    </w:rPr>
  </w:style>
  <w:style w:type="character" w:styleId="Refdenotadefim">
    <w:name w:val="endnote reference"/>
    <w:basedOn w:val="Fontepargpadro"/>
    <w:uiPriority w:val="99"/>
    <w:semiHidden/>
    <w:unhideWhenUsed/>
    <w:rPr>
      <w:vertAlign w:val="superscript"/>
    </w:rPr>
  </w:style>
  <w:style w:type="paragraph" w:styleId="Sumrio3">
    <w:name w:val="toc 3"/>
    <w:basedOn w:val="Normal"/>
    <w:next w:val="Normal"/>
    <w:uiPriority w:val="39"/>
    <w:unhideWhenUsed/>
    <w:pPr>
      <w:ind w:left="480"/>
    </w:pPr>
    <w:rPr>
      <w:rFonts w:asciiTheme="minorHAnsi" w:hAnsiTheme="minorHAnsi" w:cstheme="minorHAnsi"/>
      <w:i/>
      <w:iCs/>
      <w:sz w:val="20"/>
      <w:szCs w:val="20"/>
    </w:rPr>
  </w:style>
  <w:style w:type="paragraph" w:styleId="Sumrio4">
    <w:name w:val="toc 4"/>
    <w:basedOn w:val="Normal"/>
    <w:next w:val="Normal"/>
    <w:uiPriority w:val="39"/>
    <w:unhideWhenUsed/>
    <w:pPr>
      <w:ind w:left="720"/>
    </w:pPr>
    <w:rPr>
      <w:rFonts w:asciiTheme="minorHAnsi" w:hAnsiTheme="minorHAnsi" w:cstheme="minorHAnsi"/>
      <w:sz w:val="18"/>
      <w:szCs w:val="18"/>
    </w:rPr>
  </w:style>
  <w:style w:type="paragraph" w:styleId="Sumrio5">
    <w:name w:val="toc 5"/>
    <w:basedOn w:val="Normal"/>
    <w:next w:val="Normal"/>
    <w:uiPriority w:val="39"/>
    <w:unhideWhenUsed/>
    <w:pPr>
      <w:ind w:left="960"/>
    </w:pPr>
    <w:rPr>
      <w:rFonts w:asciiTheme="minorHAnsi" w:hAnsiTheme="minorHAnsi" w:cstheme="minorHAnsi"/>
      <w:sz w:val="18"/>
      <w:szCs w:val="18"/>
    </w:rPr>
  </w:style>
  <w:style w:type="paragraph" w:styleId="Sumrio6">
    <w:name w:val="toc 6"/>
    <w:basedOn w:val="Normal"/>
    <w:next w:val="Normal"/>
    <w:uiPriority w:val="39"/>
    <w:unhideWhenUsed/>
    <w:pPr>
      <w:ind w:left="1200"/>
    </w:pPr>
    <w:rPr>
      <w:rFonts w:asciiTheme="minorHAnsi" w:hAnsiTheme="minorHAnsi" w:cstheme="minorHAnsi"/>
      <w:sz w:val="18"/>
      <w:szCs w:val="18"/>
    </w:rPr>
  </w:style>
  <w:style w:type="paragraph" w:styleId="Sumrio7">
    <w:name w:val="toc 7"/>
    <w:basedOn w:val="Normal"/>
    <w:next w:val="Normal"/>
    <w:uiPriority w:val="39"/>
    <w:unhideWhenUsed/>
    <w:pPr>
      <w:ind w:left="1440"/>
    </w:pPr>
    <w:rPr>
      <w:rFonts w:asciiTheme="minorHAnsi" w:hAnsiTheme="minorHAnsi" w:cstheme="minorHAnsi"/>
      <w:sz w:val="18"/>
      <w:szCs w:val="18"/>
    </w:rPr>
  </w:style>
  <w:style w:type="paragraph" w:styleId="Sumrio8">
    <w:name w:val="toc 8"/>
    <w:basedOn w:val="Normal"/>
    <w:next w:val="Normal"/>
    <w:uiPriority w:val="39"/>
    <w:unhideWhenUsed/>
    <w:pPr>
      <w:ind w:left="1680"/>
    </w:pPr>
    <w:rPr>
      <w:rFonts w:asciiTheme="minorHAnsi" w:hAnsiTheme="minorHAnsi" w:cstheme="minorHAnsi"/>
      <w:sz w:val="18"/>
      <w:szCs w:val="18"/>
    </w:rPr>
  </w:style>
  <w:style w:type="paragraph" w:styleId="Sumrio9">
    <w:name w:val="toc 9"/>
    <w:basedOn w:val="Normal"/>
    <w:next w:val="Normal"/>
    <w:uiPriority w:val="39"/>
    <w:unhideWhenUsed/>
    <w:pPr>
      <w:ind w:left="1920"/>
    </w:pPr>
    <w:rPr>
      <w:rFonts w:asciiTheme="minorHAnsi" w:hAnsiTheme="minorHAnsi" w:cstheme="minorHAnsi"/>
      <w:sz w:val="18"/>
      <w:szCs w:val="18"/>
    </w:rPr>
  </w:style>
  <w:style w:type="paragraph" w:styleId="CabealhodoSumrio">
    <w:name w:val="TOC Heading"/>
    <w:uiPriority w:val="39"/>
    <w:unhideWhenUsed/>
    <w:qFormat/>
  </w:style>
  <w:style w:type="paragraph" w:styleId="ndicedeilustraes">
    <w:name w:val="table of figures"/>
    <w:basedOn w:val="Normal"/>
    <w:next w:val="Normal"/>
    <w:uiPriority w:val="99"/>
    <w:unhideWhenUsed/>
  </w:style>
  <w:style w:type="character" w:styleId="Hyperlink">
    <w:name w:val="Hyperlink"/>
    <w:basedOn w:val="Fontepargpadro"/>
    <w:uiPriority w:val="99"/>
    <w:unhideWhenUsed/>
    <w:rPr>
      <w:color w:val="0000FF"/>
      <w:u w:val="single"/>
    </w:rPr>
  </w:style>
  <w:style w:type="paragraph" w:styleId="Textodenotaderodap">
    <w:name w:val="footnote text"/>
    <w:basedOn w:val="Normal"/>
    <w:link w:val="TextodenotaderodapChar"/>
    <w:rPr>
      <w:sz w:val="20"/>
      <w:szCs w:val="20"/>
    </w:rPr>
  </w:style>
  <w:style w:type="character" w:customStyle="1" w:styleId="TextodenotaderodapChar">
    <w:name w:val="Texto de nota de rodapé Char"/>
    <w:basedOn w:val="Fontepargpadro"/>
    <w:link w:val="Textodenotaderodap"/>
    <w:rPr>
      <w:rFonts w:ascii="Times New Roman" w:eastAsia="Times New Roman" w:hAnsi="Times New Roman" w:cs="Times New Roman"/>
      <w:sz w:val="20"/>
      <w:szCs w:val="20"/>
      <w:lang w:eastAsia="pt-BR"/>
    </w:rPr>
  </w:style>
  <w:style w:type="character" w:styleId="Refdenotaderodap">
    <w:name w:val="footnote reference"/>
    <w:rPr>
      <w:vertAlign w:val="superscript"/>
    </w:rPr>
  </w:style>
  <w:style w:type="character" w:styleId="HiperlinkVisitado">
    <w:name w:val="FollowedHyperlink"/>
    <w:basedOn w:val="Fontepargpadro"/>
    <w:uiPriority w:val="99"/>
    <w:semiHidden/>
    <w:unhideWhenUsed/>
    <w:rPr>
      <w:color w:val="800080" w:themeColor="followedHyperlink"/>
      <w:u w:val="single"/>
    </w:rPr>
  </w:style>
  <w:style w:type="paragraph" w:styleId="Textodebalo">
    <w:name w:val="Balloon Text"/>
    <w:basedOn w:val="Normal"/>
    <w:link w:val="TextodebaloChar"/>
    <w:uiPriority w:val="99"/>
    <w:semiHidden/>
    <w:unhideWhenUsed/>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Pr>
      <w:rFonts w:ascii="Tahoma" w:hAnsi="Tahoma" w:cs="Tahoma"/>
      <w:sz w:val="16"/>
      <w:szCs w:val="16"/>
    </w:rPr>
  </w:style>
  <w:style w:type="paragraph" w:styleId="PargrafodaLista">
    <w:name w:val="List Paragraph"/>
    <w:basedOn w:val="Normal"/>
    <w:uiPriority w:val="34"/>
    <w:qFormat/>
    <w:pPr>
      <w:spacing w:after="200" w:line="276" w:lineRule="auto"/>
      <w:ind w:left="720"/>
      <w:contextualSpacing/>
    </w:pPr>
    <w:rPr>
      <w:rFonts w:ascii="Calibri" w:eastAsiaTheme="minorHAnsi" w:hAnsi="Calibri"/>
      <w:sz w:val="22"/>
      <w:szCs w:val="22"/>
      <w:lang w:eastAsia="en-US"/>
    </w:rPr>
  </w:style>
  <w:style w:type="paragraph" w:styleId="Sumrio2">
    <w:name w:val="toc 2"/>
    <w:basedOn w:val="Normal"/>
    <w:uiPriority w:val="1"/>
    <w:qFormat/>
    <w:pPr>
      <w:ind w:left="240"/>
    </w:pPr>
    <w:rPr>
      <w:rFonts w:asciiTheme="minorHAnsi" w:hAnsiTheme="minorHAnsi" w:cstheme="minorHAnsi"/>
      <w:smallCaps/>
      <w:sz w:val="20"/>
      <w:szCs w:val="20"/>
    </w:rPr>
  </w:style>
  <w:style w:type="paragraph" w:styleId="Sumrio1">
    <w:name w:val="toc 1"/>
    <w:aliases w:val="Ementa"/>
    <w:basedOn w:val="Normal"/>
    <w:next w:val="Normal"/>
    <w:uiPriority w:val="39"/>
    <w:unhideWhenUsed/>
    <w:qFormat/>
    <w:rsid w:val="004B01E8"/>
    <w:pPr>
      <w:spacing w:before="120" w:after="120"/>
    </w:pPr>
    <w:rPr>
      <w:rFonts w:asciiTheme="minorHAnsi" w:hAnsiTheme="minorHAnsi" w:cstheme="minorHAnsi"/>
      <w:b/>
      <w:bCs/>
      <w:caps/>
      <w:sz w:val="20"/>
      <w:szCs w:val="20"/>
    </w:rPr>
  </w:style>
  <w:style w:type="paragraph" w:styleId="Corpodetexto">
    <w:name w:val="Body Text"/>
    <w:basedOn w:val="Normal"/>
    <w:link w:val="CorpodetextoChar"/>
    <w:uiPriority w:val="1"/>
    <w:qFormat/>
    <w:pPr>
      <w:widowControl w:val="0"/>
    </w:pPr>
    <w:rPr>
      <w:rFonts w:ascii="Arial Narrow" w:eastAsia="Arial Narrow" w:hAnsi="Arial Narrow" w:cs="Arial Narrow"/>
      <w:sz w:val="26"/>
      <w:szCs w:val="26"/>
      <w:lang w:val="en-US" w:eastAsia="en-US"/>
    </w:rPr>
  </w:style>
  <w:style w:type="character" w:customStyle="1" w:styleId="CorpodetextoChar">
    <w:name w:val="Corpo de texto Char"/>
    <w:basedOn w:val="Fontepargpadro"/>
    <w:link w:val="Corpodetexto"/>
    <w:uiPriority w:val="1"/>
    <w:rPr>
      <w:rFonts w:ascii="Arial Narrow" w:eastAsia="Arial Narrow" w:hAnsi="Arial Narrow" w:cs="Arial Narrow"/>
      <w:sz w:val="26"/>
      <w:szCs w:val="26"/>
      <w:lang w:val="en-US"/>
    </w:rPr>
  </w:style>
  <w:style w:type="character" w:customStyle="1" w:styleId="Ttulo1Char">
    <w:name w:val="Título 1 Char"/>
    <w:basedOn w:val="Fontepargpadro"/>
    <w:link w:val="Ttulo1"/>
    <w:uiPriority w:val="1"/>
    <w:rsid w:val="004B01E8"/>
    <w:rPr>
      <w:rFonts w:ascii="Arial" w:eastAsia="Calibri" w:hAnsi="Arial" w:cs="Calibri"/>
      <w:b/>
      <w:bCs/>
      <w:color w:val="000000" w:themeColor="text1"/>
      <w:sz w:val="20"/>
      <w:szCs w:val="40"/>
      <w:lang w:val="en-US"/>
    </w:rPr>
  </w:style>
  <w:style w:type="character" w:customStyle="1" w:styleId="Ttulo2Char">
    <w:name w:val="Título 2 Char"/>
    <w:basedOn w:val="Fontepargpadro"/>
    <w:link w:val="Ttulo2"/>
    <w:uiPriority w:val="1"/>
    <w:rPr>
      <w:rFonts w:ascii="Calibri" w:eastAsia="Calibri" w:hAnsi="Calibri" w:cs="Calibri"/>
      <w:b/>
      <w:bCs/>
      <w:sz w:val="32"/>
      <w:szCs w:val="32"/>
      <w:lang w:val="en-US"/>
    </w:rPr>
  </w:style>
  <w:style w:type="paragraph" w:styleId="Cabealho">
    <w:name w:val="header"/>
    <w:basedOn w:val="Normal"/>
    <w:link w:val="CabealhoChar"/>
    <w:uiPriority w:val="99"/>
    <w:unhideWhenUsed/>
    <w:pPr>
      <w:tabs>
        <w:tab w:val="center" w:pos="4252"/>
        <w:tab w:val="right" w:pos="8504"/>
      </w:tabs>
    </w:pPr>
    <w:rPr>
      <w:szCs w:val="22"/>
      <w:lang w:eastAsia="en-US"/>
    </w:rPr>
  </w:style>
  <w:style w:type="character" w:customStyle="1" w:styleId="CabealhoChar">
    <w:name w:val="Cabeçalho Char"/>
    <w:basedOn w:val="Fontepargpadro"/>
    <w:link w:val="Cabealho"/>
    <w:uiPriority w:val="99"/>
    <w:rPr>
      <w:rFonts w:ascii="Times New Roman" w:eastAsia="Times New Roman" w:hAnsi="Times New Roman" w:cs="Times New Roman"/>
      <w:sz w:val="24"/>
    </w:rPr>
  </w:style>
  <w:style w:type="paragraph" w:styleId="Rodap">
    <w:name w:val="footer"/>
    <w:basedOn w:val="Normal"/>
    <w:link w:val="RodapChar"/>
    <w:uiPriority w:val="99"/>
    <w:unhideWhenUsed/>
    <w:pPr>
      <w:tabs>
        <w:tab w:val="center" w:pos="4252"/>
        <w:tab w:val="right" w:pos="8504"/>
      </w:tabs>
    </w:pPr>
    <w:rPr>
      <w:szCs w:val="22"/>
      <w:lang w:eastAsia="en-US"/>
    </w:rPr>
  </w:style>
  <w:style w:type="character" w:customStyle="1" w:styleId="RodapChar">
    <w:name w:val="Rodapé Char"/>
    <w:basedOn w:val="Fontepargpadro"/>
    <w:link w:val="Rodap"/>
    <w:uiPriority w:val="99"/>
    <w:rPr>
      <w:rFonts w:ascii="Times New Roman" w:eastAsia="Times New Roman" w:hAnsi="Times New Roman" w:cs="Times New Roman"/>
      <w:sz w:val="24"/>
    </w:rPr>
  </w:style>
  <w:style w:type="paragraph" w:customStyle="1" w:styleId="Default">
    <w:name w:val="Default"/>
    <w:pPr>
      <w:spacing w:after="0" w:line="240" w:lineRule="auto"/>
    </w:pPr>
    <w:rPr>
      <w:rFonts w:ascii="Arial" w:hAnsi="Arial" w:cs="Arial"/>
      <w:color w:val="000000"/>
      <w:sz w:val="24"/>
      <w:szCs w:val="24"/>
    </w:rPr>
  </w:style>
  <w:style w:type="character" w:customStyle="1" w:styleId="apple-converted-space">
    <w:name w:val="apple-converted-space"/>
    <w:basedOn w:val="Fontepargpadro"/>
  </w:style>
  <w:style w:type="paragraph" w:customStyle="1" w:styleId="body10">
    <w:name w:val="body10"/>
    <w:link w:val="body10Char"/>
    <w:pPr>
      <w:spacing w:after="0" w:line="220" w:lineRule="atLeast"/>
      <w:ind w:firstLine="454"/>
      <w:jc w:val="both"/>
    </w:pPr>
    <w:rPr>
      <w:rFonts w:ascii="Times New Roman" w:eastAsia="Times New Roman" w:hAnsi="Times New Roman" w:cs="Times New Roman"/>
      <w:sz w:val="20"/>
      <w:szCs w:val="20"/>
      <w:lang w:eastAsia="pt-BR"/>
    </w:rPr>
  </w:style>
  <w:style w:type="character" w:customStyle="1" w:styleId="body10Char">
    <w:name w:val="body10 Char"/>
    <w:basedOn w:val="Fontepargpadro"/>
    <w:link w:val="body10"/>
    <w:rPr>
      <w:rFonts w:ascii="Times New Roman" w:eastAsia="Times New Roman" w:hAnsi="Times New Roman" w:cs="Times New Roman"/>
      <w:sz w:val="20"/>
      <w:szCs w:val="20"/>
      <w:lang w:eastAsia="pt-BR"/>
    </w:rPr>
  </w:style>
  <w:style w:type="paragraph" w:customStyle="1" w:styleId="TCU-Epgrafe">
    <w:name w:val="TCU - Epígrafe"/>
    <w:basedOn w:val="Normal"/>
    <w:pPr>
      <w:ind w:left="2835"/>
      <w:jc w:val="both"/>
    </w:pPr>
    <w:rPr>
      <w:szCs w:val="20"/>
    </w:r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nfase">
    <w:name w:val="Emphasis"/>
    <w:basedOn w:val="Fontepargpadro"/>
    <w:uiPriority w:val="20"/>
    <w:qFormat/>
    <w:rPr>
      <w:i/>
      <w:iCs/>
    </w:rPr>
  </w:style>
  <w:style w:type="character" w:customStyle="1" w:styleId="Meno1">
    <w:name w:val="Menção1"/>
    <w:basedOn w:val="Fontepargpadro"/>
    <w:uiPriority w:val="99"/>
    <w:semiHidden/>
    <w:unhideWhenUsed/>
    <w:rPr>
      <w:color w:val="2B579A"/>
      <w:shd w:val="clear" w:color="auto" w:fill="E6E6E6"/>
    </w:rPr>
  </w:style>
  <w:style w:type="paragraph" w:customStyle="1" w:styleId="tcu-epgrafe0">
    <w:name w:val="tcu-epgrafe"/>
    <w:basedOn w:val="Normal"/>
    <w:pPr>
      <w:spacing w:before="100" w:beforeAutospacing="1" w:after="100" w:afterAutospacing="1"/>
    </w:pPr>
  </w:style>
  <w:style w:type="character" w:customStyle="1" w:styleId="MenoPendente1">
    <w:name w:val="Menção Pendente1"/>
    <w:basedOn w:val="Fontepargpadro"/>
    <w:uiPriority w:val="99"/>
    <w:semiHidden/>
    <w:unhideWhenUsed/>
    <w:rPr>
      <w:color w:val="808080"/>
      <w:shd w:val="clear" w:color="auto" w:fill="E6E6E6"/>
    </w:rPr>
  </w:style>
  <w:style w:type="character" w:styleId="Refdecomentrio">
    <w:name w:val="annotation reference"/>
    <w:basedOn w:val="Fontepargpadro"/>
    <w:uiPriority w:val="99"/>
    <w:semiHidden/>
    <w:unhideWhenUsed/>
    <w:rPr>
      <w:sz w:val="16"/>
      <w:szCs w:val="16"/>
    </w:rPr>
  </w:style>
  <w:style w:type="paragraph" w:styleId="Textodecomentrio">
    <w:name w:val="annotation text"/>
    <w:basedOn w:val="Normal"/>
    <w:link w:val="TextodecomentrioChar"/>
    <w:uiPriority w:val="99"/>
    <w:semiHidden/>
    <w:unhideWhenUsed/>
    <w:pPr>
      <w:spacing w:after="200"/>
    </w:pPr>
    <w:rPr>
      <w:rFonts w:ascii="Calibri" w:eastAsiaTheme="minorHAnsi" w:hAnsi="Calibri"/>
      <w:sz w:val="20"/>
      <w:szCs w:val="20"/>
      <w:lang w:eastAsia="en-US"/>
    </w:rPr>
  </w:style>
  <w:style w:type="character" w:customStyle="1" w:styleId="TextodecomentrioChar">
    <w:name w:val="Texto de comentário Char"/>
    <w:basedOn w:val="Fontepargpadro"/>
    <w:link w:val="Textodecomentrio"/>
    <w:uiPriority w:val="99"/>
    <w:semiHidden/>
    <w:rPr>
      <w:rFonts w:ascii="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Pr>
      <w:b/>
      <w:bCs/>
    </w:rPr>
  </w:style>
  <w:style w:type="character" w:customStyle="1" w:styleId="AssuntodocomentrioChar">
    <w:name w:val="Assunto do comentário Char"/>
    <w:basedOn w:val="TextodecomentrioChar"/>
    <w:link w:val="Assuntodocomentrio"/>
    <w:uiPriority w:val="99"/>
    <w:semiHidden/>
    <w:rPr>
      <w:rFonts w:ascii="Calibri" w:hAnsi="Calibri" w:cs="Times New Roman"/>
      <w:b/>
      <w:bCs/>
      <w:sz w:val="20"/>
      <w:szCs w:val="20"/>
    </w:rPr>
  </w:style>
  <w:style w:type="table" w:styleId="Tabelacomgrade">
    <w:name w:val="Table Grid"/>
    <w:basedOn w:val="Tabela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deGrade2-nfase1">
    <w:name w:val="Grid Table 2 Accent 1"/>
    <w:basedOn w:val="Tabelanormal"/>
    <w:uiPriority w:val="47"/>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one" w:sz="4" w:space="0" w:color="000000"/>
          <w:bottom w:val="single" w:sz="12" w:space="0" w:color="95B3D7" w:themeColor="accent1" w:themeTint="99"/>
          <w:insideH w:val="none" w:sz="4" w:space="0" w:color="000000"/>
          <w:insideV w:val="none" w:sz="4" w:space="0" w:color="000000"/>
        </w:tcBorders>
        <w:shd w:val="clear" w:color="auto" w:fill="FFFFFF" w:themeFill="background1"/>
      </w:tcPr>
    </w:tblStylePr>
    <w:tblStylePr w:type="lastRow">
      <w:rPr>
        <w:b/>
        <w:bCs/>
      </w:rPr>
      <w:tblPr/>
      <w:tcPr>
        <w:tcBorders>
          <w:top w:val="single" w:sz="2" w:space="0" w:color="95B3D7" w:themeColor="accent1" w:themeTint="99"/>
          <w:bottom w:val="none" w:sz="4" w:space="0" w:color="000000"/>
          <w:insideH w:val="none" w:sz="4" w:space="0" w:color="000000"/>
          <w:insideV w:val="none" w:sz="4" w:space="0" w:color="000000"/>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3Char">
    <w:name w:val="Título 3 Char"/>
    <w:basedOn w:val="Fontepargpadro"/>
    <w:link w:val="Ttulo3"/>
    <w:uiPriority w:val="9"/>
    <w:semiHidden/>
    <w:rPr>
      <w:rFonts w:asciiTheme="majorHAnsi" w:eastAsiaTheme="majorEastAsia" w:hAnsiTheme="majorHAnsi" w:cstheme="majorBidi"/>
      <w:color w:val="243F60" w:themeColor="accent1" w:themeShade="7F"/>
      <w:sz w:val="24"/>
      <w:szCs w:val="24"/>
    </w:rPr>
  </w:style>
  <w:style w:type="paragraph" w:styleId="Pr-formataoHTML">
    <w:name w:val="HTML Preformatted"/>
    <w:basedOn w:val="Normal"/>
    <w:link w:val="Pr-formataoHTML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rPr>
      <w:rFonts w:ascii="Courier New" w:eastAsia="Times New Roman" w:hAnsi="Courier New" w:cs="Courier New"/>
      <w:sz w:val="20"/>
      <w:szCs w:val="20"/>
      <w:lang w:eastAsia="pt-BR"/>
    </w:rPr>
  </w:style>
  <w:style w:type="character" w:customStyle="1" w:styleId="highlightbrs">
    <w:name w:val="highlightbrs"/>
    <w:basedOn w:val="Fontepargpadro"/>
  </w:style>
  <w:style w:type="character" w:customStyle="1" w:styleId="Ttulo4Char">
    <w:name w:val="Título 4 Char"/>
    <w:basedOn w:val="Fontepargpadro"/>
    <w:link w:val="Ttulo4"/>
    <w:uiPriority w:val="9"/>
    <w:semiHidden/>
    <w:rPr>
      <w:rFonts w:asciiTheme="majorHAnsi" w:eastAsiaTheme="majorEastAsia" w:hAnsiTheme="majorHAnsi" w:cstheme="majorBidi"/>
      <w:i/>
      <w:iCs/>
      <w:color w:val="365F91" w:themeColor="accent1" w:themeShade="BF"/>
    </w:rPr>
  </w:style>
  <w:style w:type="paragraph" w:customStyle="1" w:styleId="mostratitulonota">
    <w:name w:val="mostratitulonota"/>
    <w:basedOn w:val="Normal"/>
    <w:pPr>
      <w:spacing w:before="100" w:beforeAutospacing="1" w:after="100" w:afterAutospacing="1"/>
    </w:pPr>
  </w:style>
  <w:style w:type="character" w:customStyle="1" w:styleId="lista-resultadotitulo">
    <w:name w:val="lista-resultado__titulo"/>
    <w:basedOn w:val="Fontepargpadro"/>
  </w:style>
  <w:style w:type="paragraph" w:customStyle="1" w:styleId="col-lg-2">
    <w:name w:val="col-lg-2"/>
    <w:basedOn w:val="Normal"/>
    <w:pPr>
      <w:spacing w:before="100" w:beforeAutospacing="1" w:after="100" w:afterAutospacing="1"/>
    </w:pPr>
  </w:style>
  <w:style w:type="paragraph" w:customStyle="1" w:styleId="col-lg-10">
    <w:name w:val="col-lg-10"/>
    <w:basedOn w:val="Normal"/>
    <w:pPr>
      <w:spacing w:before="100" w:beforeAutospacing="1" w:after="100" w:afterAutospacing="1"/>
    </w:pPr>
  </w:style>
  <w:style w:type="paragraph" w:customStyle="1" w:styleId="col-lg-12">
    <w:name w:val="col-lg-12"/>
    <w:basedOn w:val="Normal"/>
    <w:pPr>
      <w:spacing w:before="100" w:beforeAutospacing="1" w:after="100" w:afterAutospacing="1"/>
    </w:pPr>
  </w:style>
  <w:style w:type="character" w:customStyle="1" w:styleId="blue-info">
    <w:name w:val="blue-info"/>
    <w:basedOn w:val="Fontepargpadro"/>
  </w:style>
  <w:style w:type="character" w:customStyle="1" w:styleId="notification">
    <w:name w:val="notification"/>
    <w:basedOn w:val="Fontepargpadro"/>
  </w:style>
  <w:style w:type="character" w:customStyle="1" w:styleId="MenoPendente2">
    <w:name w:val="Menção Pendente2"/>
    <w:basedOn w:val="Fontepargpadro"/>
    <w:uiPriority w:val="99"/>
    <w:semiHidden/>
    <w:unhideWhenUsed/>
    <w:rPr>
      <w:color w:val="605E5C"/>
      <w:shd w:val="clear" w:color="auto" w:fill="E1DFDD"/>
    </w:rPr>
  </w:style>
  <w:style w:type="paragraph" w:customStyle="1" w:styleId="TCU-Ac-item9-">
    <w:name w:val="TCU - Ac - item 9 - §§"/>
    <w:basedOn w:val="Normal"/>
    <w:qFormat/>
    <w:pPr>
      <w:ind w:firstLine="1134"/>
      <w:jc w:val="both"/>
    </w:pPr>
    <w:rPr>
      <w:szCs w:val="22"/>
      <w:lang w:eastAsia="en-US"/>
    </w:rPr>
  </w:style>
  <w:style w:type="paragraph" w:customStyle="1" w:styleId="titulojurisprudencia">
    <w:name w:val="titulojurisprudencia"/>
    <w:basedOn w:val="Normal"/>
    <w:pPr>
      <w:spacing w:before="100" w:beforeAutospacing="1" w:after="45" w:line="300" w:lineRule="atLeast"/>
    </w:pPr>
    <w:rPr>
      <w:b/>
      <w:bCs/>
      <w:sz w:val="20"/>
      <w:szCs w:val="20"/>
    </w:rPr>
  </w:style>
  <w:style w:type="character" w:customStyle="1" w:styleId="lista-resultadoinfo-descricao">
    <w:name w:val="lista-resultado__info-descricao"/>
    <w:basedOn w:val="Fontepargpadro"/>
  </w:style>
  <w:style w:type="character" w:customStyle="1" w:styleId="mat-button-wrapper">
    <w:name w:val="mat-button-wrapper"/>
    <w:basedOn w:val="Fontepargpadro"/>
  </w:style>
  <w:style w:type="character" w:styleId="MenoPendente">
    <w:name w:val="Unresolved Mention"/>
    <w:basedOn w:val="Fontepargpadro"/>
    <w:uiPriority w:val="99"/>
    <w:semiHidden/>
    <w:unhideWhenUsed/>
    <w:rPr>
      <w:color w:val="605E5C"/>
      <w:shd w:val="clear" w:color="auto" w:fill="E1DFDD"/>
    </w:rPr>
  </w:style>
  <w:style w:type="paragraph" w:customStyle="1" w:styleId="tcu-ac-item9-0">
    <w:name w:val="tcu_-_ac_-_item_9_-_§§"/>
    <w:basedOn w:val="Normal"/>
    <w:pPr>
      <w:spacing w:before="100" w:beforeAutospacing="1" w:after="100" w:afterAutospacing="1"/>
    </w:pPr>
  </w:style>
  <w:style w:type="character" w:customStyle="1" w:styleId="highlightbrs2">
    <w:name w:val="highlightbrs2"/>
    <w:basedOn w:val="Fontepargpadro"/>
    <w:rPr>
      <w:b/>
      <w:bCs/>
      <w:color w:val="CE24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16251">
      <w:bodyDiv w:val="1"/>
      <w:marLeft w:val="0"/>
      <w:marRight w:val="0"/>
      <w:marTop w:val="0"/>
      <w:marBottom w:val="0"/>
      <w:divBdr>
        <w:top w:val="none" w:sz="0" w:space="0" w:color="auto"/>
        <w:left w:val="none" w:sz="0" w:space="0" w:color="auto"/>
        <w:bottom w:val="none" w:sz="0" w:space="0" w:color="auto"/>
        <w:right w:val="none" w:sz="0" w:space="0" w:color="auto"/>
      </w:divBdr>
      <w:divsChild>
        <w:div w:id="1341272735">
          <w:marLeft w:val="0"/>
          <w:marRight w:val="0"/>
          <w:marTop w:val="0"/>
          <w:marBottom w:val="0"/>
          <w:divBdr>
            <w:top w:val="none" w:sz="0" w:space="0" w:color="auto"/>
            <w:left w:val="none" w:sz="0" w:space="0" w:color="auto"/>
            <w:bottom w:val="none" w:sz="0" w:space="0" w:color="auto"/>
            <w:right w:val="none" w:sz="0" w:space="0" w:color="auto"/>
          </w:divBdr>
          <w:divsChild>
            <w:div w:id="1261640578">
              <w:marLeft w:val="0"/>
              <w:marRight w:val="0"/>
              <w:marTop w:val="0"/>
              <w:marBottom w:val="0"/>
              <w:divBdr>
                <w:top w:val="none" w:sz="0" w:space="0" w:color="auto"/>
                <w:left w:val="none" w:sz="0" w:space="0" w:color="auto"/>
                <w:bottom w:val="none" w:sz="0" w:space="0" w:color="auto"/>
                <w:right w:val="none" w:sz="0" w:space="0" w:color="auto"/>
              </w:divBdr>
              <w:divsChild>
                <w:div w:id="209750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15787">
      <w:bodyDiv w:val="1"/>
      <w:marLeft w:val="0"/>
      <w:marRight w:val="0"/>
      <w:marTop w:val="0"/>
      <w:marBottom w:val="0"/>
      <w:divBdr>
        <w:top w:val="none" w:sz="0" w:space="0" w:color="auto"/>
        <w:left w:val="none" w:sz="0" w:space="0" w:color="auto"/>
        <w:bottom w:val="none" w:sz="0" w:space="0" w:color="auto"/>
        <w:right w:val="none" w:sz="0" w:space="0" w:color="auto"/>
      </w:divBdr>
    </w:div>
    <w:div w:id="161820283">
      <w:bodyDiv w:val="1"/>
      <w:marLeft w:val="0"/>
      <w:marRight w:val="0"/>
      <w:marTop w:val="0"/>
      <w:marBottom w:val="0"/>
      <w:divBdr>
        <w:top w:val="none" w:sz="0" w:space="0" w:color="auto"/>
        <w:left w:val="none" w:sz="0" w:space="0" w:color="auto"/>
        <w:bottom w:val="none" w:sz="0" w:space="0" w:color="auto"/>
        <w:right w:val="none" w:sz="0" w:space="0" w:color="auto"/>
      </w:divBdr>
      <w:divsChild>
        <w:div w:id="1928339668">
          <w:marLeft w:val="0"/>
          <w:marRight w:val="0"/>
          <w:marTop w:val="0"/>
          <w:marBottom w:val="0"/>
          <w:divBdr>
            <w:top w:val="none" w:sz="0" w:space="0" w:color="auto"/>
            <w:left w:val="none" w:sz="0" w:space="0" w:color="auto"/>
            <w:bottom w:val="none" w:sz="0" w:space="0" w:color="auto"/>
            <w:right w:val="none" w:sz="0" w:space="0" w:color="auto"/>
          </w:divBdr>
          <w:divsChild>
            <w:div w:id="1378969260">
              <w:marLeft w:val="0"/>
              <w:marRight w:val="0"/>
              <w:marTop w:val="0"/>
              <w:marBottom w:val="0"/>
              <w:divBdr>
                <w:top w:val="none" w:sz="0" w:space="0" w:color="auto"/>
                <w:left w:val="none" w:sz="0" w:space="0" w:color="auto"/>
                <w:bottom w:val="none" w:sz="0" w:space="0" w:color="auto"/>
                <w:right w:val="none" w:sz="0" w:space="0" w:color="auto"/>
              </w:divBdr>
              <w:divsChild>
                <w:div w:id="168998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37906">
      <w:bodyDiv w:val="1"/>
      <w:marLeft w:val="0"/>
      <w:marRight w:val="0"/>
      <w:marTop w:val="0"/>
      <w:marBottom w:val="0"/>
      <w:divBdr>
        <w:top w:val="none" w:sz="0" w:space="0" w:color="auto"/>
        <w:left w:val="none" w:sz="0" w:space="0" w:color="auto"/>
        <w:bottom w:val="none" w:sz="0" w:space="0" w:color="auto"/>
        <w:right w:val="none" w:sz="0" w:space="0" w:color="auto"/>
      </w:divBdr>
    </w:div>
    <w:div w:id="198785541">
      <w:bodyDiv w:val="1"/>
      <w:marLeft w:val="0"/>
      <w:marRight w:val="0"/>
      <w:marTop w:val="0"/>
      <w:marBottom w:val="0"/>
      <w:divBdr>
        <w:top w:val="none" w:sz="0" w:space="0" w:color="auto"/>
        <w:left w:val="none" w:sz="0" w:space="0" w:color="auto"/>
        <w:bottom w:val="none" w:sz="0" w:space="0" w:color="auto"/>
        <w:right w:val="none" w:sz="0" w:space="0" w:color="auto"/>
      </w:divBdr>
      <w:divsChild>
        <w:div w:id="46150773">
          <w:marLeft w:val="0"/>
          <w:marRight w:val="0"/>
          <w:marTop w:val="0"/>
          <w:marBottom w:val="0"/>
          <w:divBdr>
            <w:top w:val="none" w:sz="0" w:space="0" w:color="auto"/>
            <w:left w:val="none" w:sz="0" w:space="0" w:color="auto"/>
            <w:bottom w:val="none" w:sz="0" w:space="0" w:color="auto"/>
            <w:right w:val="none" w:sz="0" w:space="0" w:color="auto"/>
          </w:divBdr>
          <w:divsChild>
            <w:div w:id="569845990">
              <w:marLeft w:val="0"/>
              <w:marRight w:val="0"/>
              <w:marTop w:val="0"/>
              <w:marBottom w:val="0"/>
              <w:divBdr>
                <w:top w:val="none" w:sz="0" w:space="0" w:color="auto"/>
                <w:left w:val="none" w:sz="0" w:space="0" w:color="auto"/>
                <w:bottom w:val="none" w:sz="0" w:space="0" w:color="auto"/>
                <w:right w:val="none" w:sz="0" w:space="0" w:color="auto"/>
              </w:divBdr>
              <w:divsChild>
                <w:div w:id="92662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647216">
      <w:bodyDiv w:val="1"/>
      <w:marLeft w:val="0"/>
      <w:marRight w:val="0"/>
      <w:marTop w:val="0"/>
      <w:marBottom w:val="0"/>
      <w:divBdr>
        <w:top w:val="none" w:sz="0" w:space="0" w:color="auto"/>
        <w:left w:val="none" w:sz="0" w:space="0" w:color="auto"/>
        <w:bottom w:val="none" w:sz="0" w:space="0" w:color="auto"/>
        <w:right w:val="none" w:sz="0" w:space="0" w:color="auto"/>
      </w:divBdr>
      <w:divsChild>
        <w:div w:id="78453108">
          <w:marLeft w:val="0"/>
          <w:marRight w:val="0"/>
          <w:marTop w:val="0"/>
          <w:marBottom w:val="0"/>
          <w:divBdr>
            <w:top w:val="none" w:sz="0" w:space="0" w:color="auto"/>
            <w:left w:val="none" w:sz="0" w:space="0" w:color="auto"/>
            <w:bottom w:val="none" w:sz="0" w:space="0" w:color="auto"/>
            <w:right w:val="none" w:sz="0" w:space="0" w:color="auto"/>
          </w:divBdr>
          <w:divsChild>
            <w:div w:id="1917930601">
              <w:marLeft w:val="0"/>
              <w:marRight w:val="0"/>
              <w:marTop w:val="0"/>
              <w:marBottom w:val="0"/>
              <w:divBdr>
                <w:top w:val="none" w:sz="0" w:space="0" w:color="auto"/>
                <w:left w:val="none" w:sz="0" w:space="0" w:color="auto"/>
                <w:bottom w:val="none" w:sz="0" w:space="0" w:color="auto"/>
                <w:right w:val="none" w:sz="0" w:space="0" w:color="auto"/>
              </w:divBdr>
              <w:divsChild>
                <w:div w:id="56245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2549">
      <w:bodyDiv w:val="1"/>
      <w:marLeft w:val="0"/>
      <w:marRight w:val="0"/>
      <w:marTop w:val="0"/>
      <w:marBottom w:val="0"/>
      <w:divBdr>
        <w:top w:val="none" w:sz="0" w:space="0" w:color="auto"/>
        <w:left w:val="none" w:sz="0" w:space="0" w:color="auto"/>
        <w:bottom w:val="none" w:sz="0" w:space="0" w:color="auto"/>
        <w:right w:val="none" w:sz="0" w:space="0" w:color="auto"/>
      </w:divBdr>
    </w:div>
    <w:div w:id="291907415">
      <w:bodyDiv w:val="1"/>
      <w:marLeft w:val="0"/>
      <w:marRight w:val="0"/>
      <w:marTop w:val="0"/>
      <w:marBottom w:val="0"/>
      <w:divBdr>
        <w:top w:val="none" w:sz="0" w:space="0" w:color="auto"/>
        <w:left w:val="none" w:sz="0" w:space="0" w:color="auto"/>
        <w:bottom w:val="none" w:sz="0" w:space="0" w:color="auto"/>
        <w:right w:val="none" w:sz="0" w:space="0" w:color="auto"/>
      </w:divBdr>
      <w:divsChild>
        <w:div w:id="643898327">
          <w:marLeft w:val="0"/>
          <w:marRight w:val="0"/>
          <w:marTop w:val="0"/>
          <w:marBottom w:val="0"/>
          <w:divBdr>
            <w:top w:val="none" w:sz="0" w:space="0" w:color="auto"/>
            <w:left w:val="none" w:sz="0" w:space="0" w:color="auto"/>
            <w:bottom w:val="none" w:sz="0" w:space="0" w:color="auto"/>
            <w:right w:val="none" w:sz="0" w:space="0" w:color="auto"/>
          </w:divBdr>
          <w:divsChild>
            <w:div w:id="2113164475">
              <w:marLeft w:val="0"/>
              <w:marRight w:val="0"/>
              <w:marTop w:val="0"/>
              <w:marBottom w:val="0"/>
              <w:divBdr>
                <w:top w:val="none" w:sz="0" w:space="0" w:color="auto"/>
                <w:left w:val="none" w:sz="0" w:space="0" w:color="auto"/>
                <w:bottom w:val="none" w:sz="0" w:space="0" w:color="auto"/>
                <w:right w:val="none" w:sz="0" w:space="0" w:color="auto"/>
              </w:divBdr>
              <w:divsChild>
                <w:div w:id="55157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107768">
      <w:bodyDiv w:val="1"/>
      <w:marLeft w:val="0"/>
      <w:marRight w:val="0"/>
      <w:marTop w:val="0"/>
      <w:marBottom w:val="0"/>
      <w:divBdr>
        <w:top w:val="none" w:sz="0" w:space="0" w:color="auto"/>
        <w:left w:val="none" w:sz="0" w:space="0" w:color="auto"/>
        <w:bottom w:val="none" w:sz="0" w:space="0" w:color="auto"/>
        <w:right w:val="none" w:sz="0" w:space="0" w:color="auto"/>
      </w:divBdr>
      <w:divsChild>
        <w:div w:id="1571648113">
          <w:marLeft w:val="0"/>
          <w:marRight w:val="0"/>
          <w:marTop w:val="0"/>
          <w:marBottom w:val="0"/>
          <w:divBdr>
            <w:top w:val="none" w:sz="0" w:space="0" w:color="auto"/>
            <w:left w:val="none" w:sz="0" w:space="0" w:color="auto"/>
            <w:bottom w:val="none" w:sz="0" w:space="0" w:color="auto"/>
            <w:right w:val="none" w:sz="0" w:space="0" w:color="auto"/>
          </w:divBdr>
          <w:divsChild>
            <w:div w:id="193471219">
              <w:marLeft w:val="0"/>
              <w:marRight w:val="0"/>
              <w:marTop w:val="0"/>
              <w:marBottom w:val="0"/>
              <w:divBdr>
                <w:top w:val="none" w:sz="0" w:space="0" w:color="auto"/>
                <w:left w:val="none" w:sz="0" w:space="0" w:color="auto"/>
                <w:bottom w:val="none" w:sz="0" w:space="0" w:color="auto"/>
                <w:right w:val="none" w:sz="0" w:space="0" w:color="auto"/>
              </w:divBdr>
              <w:divsChild>
                <w:div w:id="154475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669320">
      <w:bodyDiv w:val="1"/>
      <w:marLeft w:val="0"/>
      <w:marRight w:val="0"/>
      <w:marTop w:val="0"/>
      <w:marBottom w:val="0"/>
      <w:divBdr>
        <w:top w:val="none" w:sz="0" w:space="0" w:color="auto"/>
        <w:left w:val="none" w:sz="0" w:space="0" w:color="auto"/>
        <w:bottom w:val="none" w:sz="0" w:space="0" w:color="auto"/>
        <w:right w:val="none" w:sz="0" w:space="0" w:color="auto"/>
      </w:divBdr>
      <w:divsChild>
        <w:div w:id="1880193403">
          <w:marLeft w:val="0"/>
          <w:marRight w:val="0"/>
          <w:marTop w:val="0"/>
          <w:marBottom w:val="0"/>
          <w:divBdr>
            <w:top w:val="none" w:sz="0" w:space="0" w:color="auto"/>
            <w:left w:val="none" w:sz="0" w:space="0" w:color="auto"/>
            <w:bottom w:val="none" w:sz="0" w:space="0" w:color="auto"/>
            <w:right w:val="none" w:sz="0" w:space="0" w:color="auto"/>
          </w:divBdr>
          <w:divsChild>
            <w:div w:id="348263395">
              <w:marLeft w:val="0"/>
              <w:marRight w:val="0"/>
              <w:marTop w:val="0"/>
              <w:marBottom w:val="0"/>
              <w:divBdr>
                <w:top w:val="none" w:sz="0" w:space="0" w:color="auto"/>
                <w:left w:val="none" w:sz="0" w:space="0" w:color="auto"/>
                <w:bottom w:val="none" w:sz="0" w:space="0" w:color="auto"/>
                <w:right w:val="none" w:sz="0" w:space="0" w:color="auto"/>
              </w:divBdr>
              <w:divsChild>
                <w:div w:id="128916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656830">
      <w:bodyDiv w:val="1"/>
      <w:marLeft w:val="0"/>
      <w:marRight w:val="0"/>
      <w:marTop w:val="0"/>
      <w:marBottom w:val="0"/>
      <w:divBdr>
        <w:top w:val="none" w:sz="0" w:space="0" w:color="auto"/>
        <w:left w:val="none" w:sz="0" w:space="0" w:color="auto"/>
        <w:bottom w:val="none" w:sz="0" w:space="0" w:color="auto"/>
        <w:right w:val="none" w:sz="0" w:space="0" w:color="auto"/>
      </w:divBdr>
      <w:divsChild>
        <w:div w:id="2140416109">
          <w:marLeft w:val="0"/>
          <w:marRight w:val="0"/>
          <w:marTop w:val="0"/>
          <w:marBottom w:val="300"/>
          <w:divBdr>
            <w:top w:val="none" w:sz="0" w:space="0" w:color="auto"/>
            <w:left w:val="none" w:sz="0" w:space="0" w:color="auto"/>
            <w:bottom w:val="none" w:sz="0" w:space="0" w:color="auto"/>
            <w:right w:val="none" w:sz="0" w:space="0" w:color="auto"/>
          </w:divBdr>
          <w:divsChild>
            <w:div w:id="889608782">
              <w:marLeft w:val="0"/>
              <w:marRight w:val="0"/>
              <w:marTop w:val="0"/>
              <w:marBottom w:val="0"/>
              <w:divBdr>
                <w:top w:val="none" w:sz="0" w:space="0" w:color="auto"/>
                <w:left w:val="none" w:sz="0" w:space="0" w:color="auto"/>
                <w:bottom w:val="none" w:sz="0" w:space="0" w:color="auto"/>
                <w:right w:val="none" w:sz="0" w:space="0" w:color="auto"/>
              </w:divBdr>
              <w:divsChild>
                <w:div w:id="205770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148412">
          <w:marLeft w:val="0"/>
          <w:marRight w:val="0"/>
          <w:marTop w:val="0"/>
          <w:marBottom w:val="300"/>
          <w:divBdr>
            <w:top w:val="none" w:sz="0" w:space="0" w:color="auto"/>
            <w:left w:val="none" w:sz="0" w:space="0" w:color="auto"/>
            <w:bottom w:val="none" w:sz="0" w:space="0" w:color="auto"/>
            <w:right w:val="none" w:sz="0" w:space="0" w:color="auto"/>
          </w:divBdr>
        </w:div>
        <w:div w:id="1004472500">
          <w:marLeft w:val="0"/>
          <w:marRight w:val="0"/>
          <w:marTop w:val="0"/>
          <w:marBottom w:val="300"/>
          <w:divBdr>
            <w:top w:val="none" w:sz="0" w:space="0" w:color="auto"/>
            <w:left w:val="none" w:sz="0" w:space="0" w:color="auto"/>
            <w:bottom w:val="none" w:sz="0" w:space="0" w:color="auto"/>
            <w:right w:val="none" w:sz="0" w:space="0" w:color="auto"/>
          </w:divBdr>
          <w:divsChild>
            <w:div w:id="1784225365">
              <w:marLeft w:val="0"/>
              <w:marRight w:val="0"/>
              <w:marTop w:val="0"/>
              <w:marBottom w:val="0"/>
              <w:divBdr>
                <w:top w:val="none" w:sz="0" w:space="0" w:color="auto"/>
                <w:left w:val="none" w:sz="0" w:space="0" w:color="auto"/>
                <w:bottom w:val="none" w:sz="0" w:space="0" w:color="auto"/>
                <w:right w:val="none" w:sz="0" w:space="0" w:color="auto"/>
              </w:divBdr>
            </w:div>
          </w:divsChild>
        </w:div>
        <w:div w:id="1402826655">
          <w:marLeft w:val="0"/>
          <w:marRight w:val="0"/>
          <w:marTop w:val="0"/>
          <w:marBottom w:val="300"/>
          <w:divBdr>
            <w:top w:val="none" w:sz="0" w:space="0" w:color="auto"/>
            <w:left w:val="none" w:sz="0" w:space="0" w:color="auto"/>
            <w:bottom w:val="none" w:sz="0" w:space="0" w:color="auto"/>
            <w:right w:val="none" w:sz="0" w:space="0" w:color="auto"/>
          </w:divBdr>
          <w:divsChild>
            <w:div w:id="1816675361">
              <w:marLeft w:val="0"/>
              <w:marRight w:val="0"/>
              <w:marTop w:val="0"/>
              <w:marBottom w:val="0"/>
              <w:divBdr>
                <w:top w:val="none" w:sz="0" w:space="0" w:color="auto"/>
                <w:left w:val="none" w:sz="0" w:space="0" w:color="auto"/>
                <w:bottom w:val="none" w:sz="0" w:space="0" w:color="auto"/>
                <w:right w:val="none" w:sz="0" w:space="0" w:color="auto"/>
              </w:divBdr>
            </w:div>
          </w:divsChild>
        </w:div>
        <w:div w:id="476189316">
          <w:marLeft w:val="0"/>
          <w:marRight w:val="0"/>
          <w:marTop w:val="0"/>
          <w:marBottom w:val="300"/>
          <w:divBdr>
            <w:top w:val="none" w:sz="0" w:space="0" w:color="auto"/>
            <w:left w:val="none" w:sz="0" w:space="0" w:color="auto"/>
            <w:bottom w:val="none" w:sz="0" w:space="0" w:color="auto"/>
            <w:right w:val="none" w:sz="0" w:space="0" w:color="auto"/>
          </w:divBdr>
          <w:divsChild>
            <w:div w:id="1278758464">
              <w:marLeft w:val="0"/>
              <w:marRight w:val="0"/>
              <w:marTop w:val="0"/>
              <w:marBottom w:val="0"/>
              <w:divBdr>
                <w:top w:val="none" w:sz="0" w:space="0" w:color="auto"/>
                <w:left w:val="none" w:sz="0" w:space="0" w:color="auto"/>
                <w:bottom w:val="none" w:sz="0" w:space="0" w:color="auto"/>
                <w:right w:val="none" w:sz="0" w:space="0" w:color="auto"/>
              </w:divBdr>
            </w:div>
          </w:divsChild>
        </w:div>
        <w:div w:id="1552381524">
          <w:marLeft w:val="0"/>
          <w:marRight w:val="0"/>
          <w:marTop w:val="0"/>
          <w:marBottom w:val="300"/>
          <w:divBdr>
            <w:top w:val="none" w:sz="0" w:space="0" w:color="auto"/>
            <w:left w:val="none" w:sz="0" w:space="0" w:color="auto"/>
            <w:bottom w:val="none" w:sz="0" w:space="0" w:color="auto"/>
            <w:right w:val="none" w:sz="0" w:space="0" w:color="auto"/>
          </w:divBdr>
          <w:divsChild>
            <w:div w:id="143767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716995">
      <w:bodyDiv w:val="1"/>
      <w:marLeft w:val="0"/>
      <w:marRight w:val="0"/>
      <w:marTop w:val="0"/>
      <w:marBottom w:val="0"/>
      <w:divBdr>
        <w:top w:val="none" w:sz="0" w:space="0" w:color="auto"/>
        <w:left w:val="none" w:sz="0" w:space="0" w:color="auto"/>
        <w:bottom w:val="none" w:sz="0" w:space="0" w:color="auto"/>
        <w:right w:val="none" w:sz="0" w:space="0" w:color="auto"/>
      </w:divBdr>
      <w:divsChild>
        <w:div w:id="82577586">
          <w:marLeft w:val="0"/>
          <w:marRight w:val="0"/>
          <w:marTop w:val="0"/>
          <w:marBottom w:val="0"/>
          <w:divBdr>
            <w:top w:val="none" w:sz="0" w:space="0" w:color="auto"/>
            <w:left w:val="none" w:sz="0" w:space="0" w:color="auto"/>
            <w:bottom w:val="none" w:sz="0" w:space="0" w:color="auto"/>
            <w:right w:val="none" w:sz="0" w:space="0" w:color="auto"/>
          </w:divBdr>
          <w:divsChild>
            <w:div w:id="660351199">
              <w:marLeft w:val="0"/>
              <w:marRight w:val="0"/>
              <w:marTop w:val="0"/>
              <w:marBottom w:val="0"/>
              <w:divBdr>
                <w:top w:val="none" w:sz="0" w:space="0" w:color="auto"/>
                <w:left w:val="none" w:sz="0" w:space="0" w:color="auto"/>
                <w:bottom w:val="none" w:sz="0" w:space="0" w:color="auto"/>
                <w:right w:val="none" w:sz="0" w:space="0" w:color="auto"/>
              </w:divBdr>
              <w:divsChild>
                <w:div w:id="7262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138960">
      <w:bodyDiv w:val="1"/>
      <w:marLeft w:val="0"/>
      <w:marRight w:val="0"/>
      <w:marTop w:val="0"/>
      <w:marBottom w:val="0"/>
      <w:divBdr>
        <w:top w:val="none" w:sz="0" w:space="0" w:color="auto"/>
        <w:left w:val="none" w:sz="0" w:space="0" w:color="auto"/>
        <w:bottom w:val="none" w:sz="0" w:space="0" w:color="auto"/>
        <w:right w:val="none" w:sz="0" w:space="0" w:color="auto"/>
      </w:divBdr>
      <w:divsChild>
        <w:div w:id="2047825116">
          <w:marLeft w:val="0"/>
          <w:marRight w:val="0"/>
          <w:marTop w:val="0"/>
          <w:marBottom w:val="0"/>
          <w:divBdr>
            <w:top w:val="none" w:sz="0" w:space="0" w:color="auto"/>
            <w:left w:val="none" w:sz="0" w:space="0" w:color="auto"/>
            <w:bottom w:val="none" w:sz="0" w:space="0" w:color="auto"/>
            <w:right w:val="none" w:sz="0" w:space="0" w:color="auto"/>
          </w:divBdr>
          <w:divsChild>
            <w:div w:id="1953395329">
              <w:marLeft w:val="0"/>
              <w:marRight w:val="0"/>
              <w:marTop w:val="0"/>
              <w:marBottom w:val="0"/>
              <w:divBdr>
                <w:top w:val="none" w:sz="0" w:space="0" w:color="auto"/>
                <w:left w:val="none" w:sz="0" w:space="0" w:color="auto"/>
                <w:bottom w:val="none" w:sz="0" w:space="0" w:color="auto"/>
                <w:right w:val="none" w:sz="0" w:space="0" w:color="auto"/>
              </w:divBdr>
              <w:divsChild>
                <w:div w:id="62011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196277">
      <w:bodyDiv w:val="1"/>
      <w:marLeft w:val="0"/>
      <w:marRight w:val="0"/>
      <w:marTop w:val="0"/>
      <w:marBottom w:val="0"/>
      <w:divBdr>
        <w:top w:val="none" w:sz="0" w:space="0" w:color="auto"/>
        <w:left w:val="none" w:sz="0" w:space="0" w:color="auto"/>
        <w:bottom w:val="none" w:sz="0" w:space="0" w:color="auto"/>
        <w:right w:val="none" w:sz="0" w:space="0" w:color="auto"/>
      </w:divBdr>
      <w:divsChild>
        <w:div w:id="1065027205">
          <w:marLeft w:val="0"/>
          <w:marRight w:val="0"/>
          <w:marTop w:val="0"/>
          <w:marBottom w:val="0"/>
          <w:divBdr>
            <w:top w:val="none" w:sz="0" w:space="0" w:color="auto"/>
            <w:left w:val="none" w:sz="0" w:space="0" w:color="auto"/>
            <w:bottom w:val="none" w:sz="0" w:space="0" w:color="auto"/>
            <w:right w:val="none" w:sz="0" w:space="0" w:color="auto"/>
          </w:divBdr>
          <w:divsChild>
            <w:div w:id="2111393576">
              <w:marLeft w:val="0"/>
              <w:marRight w:val="0"/>
              <w:marTop w:val="0"/>
              <w:marBottom w:val="0"/>
              <w:divBdr>
                <w:top w:val="none" w:sz="0" w:space="0" w:color="auto"/>
                <w:left w:val="none" w:sz="0" w:space="0" w:color="auto"/>
                <w:bottom w:val="none" w:sz="0" w:space="0" w:color="auto"/>
                <w:right w:val="none" w:sz="0" w:space="0" w:color="auto"/>
              </w:divBdr>
              <w:divsChild>
                <w:div w:id="101831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806450">
      <w:bodyDiv w:val="1"/>
      <w:marLeft w:val="0"/>
      <w:marRight w:val="0"/>
      <w:marTop w:val="0"/>
      <w:marBottom w:val="0"/>
      <w:divBdr>
        <w:top w:val="none" w:sz="0" w:space="0" w:color="auto"/>
        <w:left w:val="none" w:sz="0" w:space="0" w:color="auto"/>
        <w:bottom w:val="none" w:sz="0" w:space="0" w:color="auto"/>
        <w:right w:val="none" w:sz="0" w:space="0" w:color="auto"/>
      </w:divBdr>
      <w:divsChild>
        <w:div w:id="122895385">
          <w:marLeft w:val="0"/>
          <w:marRight w:val="0"/>
          <w:marTop w:val="0"/>
          <w:marBottom w:val="0"/>
          <w:divBdr>
            <w:top w:val="none" w:sz="0" w:space="0" w:color="auto"/>
            <w:left w:val="none" w:sz="0" w:space="0" w:color="auto"/>
            <w:bottom w:val="none" w:sz="0" w:space="0" w:color="auto"/>
            <w:right w:val="none" w:sz="0" w:space="0" w:color="auto"/>
          </w:divBdr>
          <w:divsChild>
            <w:div w:id="1436830252">
              <w:marLeft w:val="0"/>
              <w:marRight w:val="0"/>
              <w:marTop w:val="0"/>
              <w:marBottom w:val="0"/>
              <w:divBdr>
                <w:top w:val="none" w:sz="0" w:space="0" w:color="auto"/>
                <w:left w:val="none" w:sz="0" w:space="0" w:color="auto"/>
                <w:bottom w:val="none" w:sz="0" w:space="0" w:color="auto"/>
                <w:right w:val="none" w:sz="0" w:space="0" w:color="auto"/>
              </w:divBdr>
              <w:divsChild>
                <w:div w:id="170872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515411">
      <w:bodyDiv w:val="1"/>
      <w:marLeft w:val="0"/>
      <w:marRight w:val="0"/>
      <w:marTop w:val="0"/>
      <w:marBottom w:val="0"/>
      <w:divBdr>
        <w:top w:val="none" w:sz="0" w:space="0" w:color="auto"/>
        <w:left w:val="none" w:sz="0" w:space="0" w:color="auto"/>
        <w:bottom w:val="none" w:sz="0" w:space="0" w:color="auto"/>
        <w:right w:val="none" w:sz="0" w:space="0" w:color="auto"/>
      </w:divBdr>
      <w:divsChild>
        <w:div w:id="522129116">
          <w:marLeft w:val="0"/>
          <w:marRight w:val="0"/>
          <w:marTop w:val="0"/>
          <w:marBottom w:val="0"/>
          <w:divBdr>
            <w:top w:val="none" w:sz="0" w:space="0" w:color="auto"/>
            <w:left w:val="none" w:sz="0" w:space="0" w:color="auto"/>
            <w:bottom w:val="none" w:sz="0" w:space="0" w:color="auto"/>
            <w:right w:val="none" w:sz="0" w:space="0" w:color="auto"/>
          </w:divBdr>
          <w:divsChild>
            <w:div w:id="1171456388">
              <w:marLeft w:val="0"/>
              <w:marRight w:val="0"/>
              <w:marTop w:val="0"/>
              <w:marBottom w:val="0"/>
              <w:divBdr>
                <w:top w:val="none" w:sz="0" w:space="0" w:color="auto"/>
                <w:left w:val="none" w:sz="0" w:space="0" w:color="auto"/>
                <w:bottom w:val="none" w:sz="0" w:space="0" w:color="auto"/>
                <w:right w:val="none" w:sz="0" w:space="0" w:color="auto"/>
              </w:divBdr>
              <w:divsChild>
                <w:div w:id="206818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399372">
      <w:bodyDiv w:val="1"/>
      <w:marLeft w:val="0"/>
      <w:marRight w:val="0"/>
      <w:marTop w:val="0"/>
      <w:marBottom w:val="0"/>
      <w:divBdr>
        <w:top w:val="none" w:sz="0" w:space="0" w:color="auto"/>
        <w:left w:val="none" w:sz="0" w:space="0" w:color="auto"/>
        <w:bottom w:val="none" w:sz="0" w:space="0" w:color="auto"/>
        <w:right w:val="none" w:sz="0" w:space="0" w:color="auto"/>
      </w:divBdr>
    </w:div>
    <w:div w:id="855195134">
      <w:bodyDiv w:val="1"/>
      <w:marLeft w:val="0"/>
      <w:marRight w:val="0"/>
      <w:marTop w:val="0"/>
      <w:marBottom w:val="0"/>
      <w:divBdr>
        <w:top w:val="none" w:sz="0" w:space="0" w:color="auto"/>
        <w:left w:val="none" w:sz="0" w:space="0" w:color="auto"/>
        <w:bottom w:val="none" w:sz="0" w:space="0" w:color="auto"/>
        <w:right w:val="none" w:sz="0" w:space="0" w:color="auto"/>
      </w:divBdr>
      <w:divsChild>
        <w:div w:id="959217381">
          <w:marLeft w:val="0"/>
          <w:marRight w:val="0"/>
          <w:marTop w:val="0"/>
          <w:marBottom w:val="0"/>
          <w:divBdr>
            <w:top w:val="none" w:sz="0" w:space="0" w:color="auto"/>
            <w:left w:val="none" w:sz="0" w:space="0" w:color="auto"/>
            <w:bottom w:val="none" w:sz="0" w:space="0" w:color="auto"/>
            <w:right w:val="none" w:sz="0" w:space="0" w:color="auto"/>
          </w:divBdr>
          <w:divsChild>
            <w:div w:id="770011542">
              <w:marLeft w:val="0"/>
              <w:marRight w:val="0"/>
              <w:marTop w:val="0"/>
              <w:marBottom w:val="0"/>
              <w:divBdr>
                <w:top w:val="none" w:sz="0" w:space="0" w:color="auto"/>
                <w:left w:val="none" w:sz="0" w:space="0" w:color="auto"/>
                <w:bottom w:val="none" w:sz="0" w:space="0" w:color="auto"/>
                <w:right w:val="none" w:sz="0" w:space="0" w:color="auto"/>
              </w:divBdr>
              <w:divsChild>
                <w:div w:id="84196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408897">
      <w:bodyDiv w:val="1"/>
      <w:marLeft w:val="0"/>
      <w:marRight w:val="0"/>
      <w:marTop w:val="0"/>
      <w:marBottom w:val="0"/>
      <w:divBdr>
        <w:top w:val="none" w:sz="0" w:space="0" w:color="auto"/>
        <w:left w:val="none" w:sz="0" w:space="0" w:color="auto"/>
        <w:bottom w:val="none" w:sz="0" w:space="0" w:color="auto"/>
        <w:right w:val="none" w:sz="0" w:space="0" w:color="auto"/>
      </w:divBdr>
      <w:divsChild>
        <w:div w:id="746466388">
          <w:marLeft w:val="0"/>
          <w:marRight w:val="0"/>
          <w:marTop w:val="0"/>
          <w:marBottom w:val="0"/>
          <w:divBdr>
            <w:top w:val="none" w:sz="0" w:space="0" w:color="auto"/>
            <w:left w:val="none" w:sz="0" w:space="0" w:color="auto"/>
            <w:bottom w:val="none" w:sz="0" w:space="0" w:color="auto"/>
            <w:right w:val="none" w:sz="0" w:space="0" w:color="auto"/>
          </w:divBdr>
          <w:divsChild>
            <w:div w:id="1979214209">
              <w:marLeft w:val="0"/>
              <w:marRight w:val="0"/>
              <w:marTop w:val="0"/>
              <w:marBottom w:val="0"/>
              <w:divBdr>
                <w:top w:val="none" w:sz="0" w:space="0" w:color="auto"/>
                <w:left w:val="none" w:sz="0" w:space="0" w:color="auto"/>
                <w:bottom w:val="none" w:sz="0" w:space="0" w:color="auto"/>
                <w:right w:val="none" w:sz="0" w:space="0" w:color="auto"/>
              </w:divBdr>
              <w:divsChild>
                <w:div w:id="48470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306256">
      <w:bodyDiv w:val="1"/>
      <w:marLeft w:val="0"/>
      <w:marRight w:val="0"/>
      <w:marTop w:val="0"/>
      <w:marBottom w:val="0"/>
      <w:divBdr>
        <w:top w:val="none" w:sz="0" w:space="0" w:color="auto"/>
        <w:left w:val="none" w:sz="0" w:space="0" w:color="auto"/>
        <w:bottom w:val="none" w:sz="0" w:space="0" w:color="auto"/>
        <w:right w:val="none" w:sz="0" w:space="0" w:color="auto"/>
      </w:divBdr>
      <w:divsChild>
        <w:div w:id="1962179758">
          <w:marLeft w:val="0"/>
          <w:marRight w:val="0"/>
          <w:marTop w:val="0"/>
          <w:marBottom w:val="0"/>
          <w:divBdr>
            <w:top w:val="none" w:sz="0" w:space="0" w:color="auto"/>
            <w:left w:val="none" w:sz="0" w:space="0" w:color="auto"/>
            <w:bottom w:val="none" w:sz="0" w:space="0" w:color="auto"/>
            <w:right w:val="none" w:sz="0" w:space="0" w:color="auto"/>
          </w:divBdr>
          <w:divsChild>
            <w:div w:id="89130584">
              <w:marLeft w:val="0"/>
              <w:marRight w:val="0"/>
              <w:marTop w:val="0"/>
              <w:marBottom w:val="0"/>
              <w:divBdr>
                <w:top w:val="none" w:sz="0" w:space="0" w:color="auto"/>
                <w:left w:val="none" w:sz="0" w:space="0" w:color="auto"/>
                <w:bottom w:val="none" w:sz="0" w:space="0" w:color="auto"/>
                <w:right w:val="none" w:sz="0" w:space="0" w:color="auto"/>
              </w:divBdr>
              <w:divsChild>
                <w:div w:id="118443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256610">
      <w:bodyDiv w:val="1"/>
      <w:marLeft w:val="0"/>
      <w:marRight w:val="0"/>
      <w:marTop w:val="0"/>
      <w:marBottom w:val="0"/>
      <w:divBdr>
        <w:top w:val="none" w:sz="0" w:space="0" w:color="auto"/>
        <w:left w:val="none" w:sz="0" w:space="0" w:color="auto"/>
        <w:bottom w:val="none" w:sz="0" w:space="0" w:color="auto"/>
        <w:right w:val="none" w:sz="0" w:space="0" w:color="auto"/>
      </w:divBdr>
      <w:divsChild>
        <w:div w:id="1684358547">
          <w:marLeft w:val="0"/>
          <w:marRight w:val="0"/>
          <w:marTop w:val="0"/>
          <w:marBottom w:val="0"/>
          <w:divBdr>
            <w:top w:val="none" w:sz="0" w:space="0" w:color="auto"/>
            <w:left w:val="none" w:sz="0" w:space="0" w:color="auto"/>
            <w:bottom w:val="none" w:sz="0" w:space="0" w:color="auto"/>
            <w:right w:val="none" w:sz="0" w:space="0" w:color="auto"/>
          </w:divBdr>
          <w:divsChild>
            <w:div w:id="1557204308">
              <w:marLeft w:val="0"/>
              <w:marRight w:val="0"/>
              <w:marTop w:val="0"/>
              <w:marBottom w:val="0"/>
              <w:divBdr>
                <w:top w:val="none" w:sz="0" w:space="0" w:color="auto"/>
                <w:left w:val="none" w:sz="0" w:space="0" w:color="auto"/>
                <w:bottom w:val="none" w:sz="0" w:space="0" w:color="auto"/>
                <w:right w:val="none" w:sz="0" w:space="0" w:color="auto"/>
              </w:divBdr>
              <w:divsChild>
                <w:div w:id="66455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752518">
      <w:bodyDiv w:val="1"/>
      <w:marLeft w:val="0"/>
      <w:marRight w:val="0"/>
      <w:marTop w:val="0"/>
      <w:marBottom w:val="0"/>
      <w:divBdr>
        <w:top w:val="none" w:sz="0" w:space="0" w:color="auto"/>
        <w:left w:val="none" w:sz="0" w:space="0" w:color="auto"/>
        <w:bottom w:val="none" w:sz="0" w:space="0" w:color="auto"/>
        <w:right w:val="none" w:sz="0" w:space="0" w:color="auto"/>
      </w:divBdr>
    </w:div>
    <w:div w:id="1059476304">
      <w:bodyDiv w:val="1"/>
      <w:marLeft w:val="0"/>
      <w:marRight w:val="0"/>
      <w:marTop w:val="0"/>
      <w:marBottom w:val="0"/>
      <w:divBdr>
        <w:top w:val="none" w:sz="0" w:space="0" w:color="auto"/>
        <w:left w:val="none" w:sz="0" w:space="0" w:color="auto"/>
        <w:bottom w:val="none" w:sz="0" w:space="0" w:color="auto"/>
        <w:right w:val="none" w:sz="0" w:space="0" w:color="auto"/>
      </w:divBdr>
      <w:divsChild>
        <w:div w:id="996880682">
          <w:marLeft w:val="0"/>
          <w:marRight w:val="0"/>
          <w:marTop w:val="0"/>
          <w:marBottom w:val="0"/>
          <w:divBdr>
            <w:top w:val="none" w:sz="0" w:space="0" w:color="auto"/>
            <w:left w:val="none" w:sz="0" w:space="0" w:color="auto"/>
            <w:bottom w:val="none" w:sz="0" w:space="0" w:color="auto"/>
            <w:right w:val="none" w:sz="0" w:space="0" w:color="auto"/>
          </w:divBdr>
          <w:divsChild>
            <w:div w:id="965042124">
              <w:marLeft w:val="0"/>
              <w:marRight w:val="0"/>
              <w:marTop w:val="0"/>
              <w:marBottom w:val="0"/>
              <w:divBdr>
                <w:top w:val="none" w:sz="0" w:space="0" w:color="auto"/>
                <w:left w:val="none" w:sz="0" w:space="0" w:color="auto"/>
                <w:bottom w:val="none" w:sz="0" w:space="0" w:color="auto"/>
                <w:right w:val="none" w:sz="0" w:space="0" w:color="auto"/>
              </w:divBdr>
              <w:divsChild>
                <w:div w:id="134991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4158">
      <w:bodyDiv w:val="1"/>
      <w:marLeft w:val="0"/>
      <w:marRight w:val="0"/>
      <w:marTop w:val="0"/>
      <w:marBottom w:val="0"/>
      <w:divBdr>
        <w:top w:val="none" w:sz="0" w:space="0" w:color="auto"/>
        <w:left w:val="none" w:sz="0" w:space="0" w:color="auto"/>
        <w:bottom w:val="none" w:sz="0" w:space="0" w:color="auto"/>
        <w:right w:val="none" w:sz="0" w:space="0" w:color="auto"/>
      </w:divBdr>
      <w:divsChild>
        <w:div w:id="1455634491">
          <w:marLeft w:val="0"/>
          <w:marRight w:val="0"/>
          <w:marTop w:val="0"/>
          <w:marBottom w:val="0"/>
          <w:divBdr>
            <w:top w:val="none" w:sz="0" w:space="0" w:color="auto"/>
            <w:left w:val="none" w:sz="0" w:space="0" w:color="auto"/>
            <w:bottom w:val="none" w:sz="0" w:space="0" w:color="auto"/>
            <w:right w:val="none" w:sz="0" w:space="0" w:color="auto"/>
          </w:divBdr>
          <w:divsChild>
            <w:div w:id="1482307443">
              <w:marLeft w:val="0"/>
              <w:marRight w:val="0"/>
              <w:marTop w:val="0"/>
              <w:marBottom w:val="0"/>
              <w:divBdr>
                <w:top w:val="none" w:sz="0" w:space="0" w:color="auto"/>
                <w:left w:val="none" w:sz="0" w:space="0" w:color="auto"/>
                <w:bottom w:val="none" w:sz="0" w:space="0" w:color="auto"/>
                <w:right w:val="none" w:sz="0" w:space="0" w:color="auto"/>
              </w:divBdr>
              <w:divsChild>
                <w:div w:id="49002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232450">
      <w:bodyDiv w:val="1"/>
      <w:marLeft w:val="0"/>
      <w:marRight w:val="0"/>
      <w:marTop w:val="0"/>
      <w:marBottom w:val="0"/>
      <w:divBdr>
        <w:top w:val="none" w:sz="0" w:space="0" w:color="auto"/>
        <w:left w:val="none" w:sz="0" w:space="0" w:color="auto"/>
        <w:bottom w:val="none" w:sz="0" w:space="0" w:color="auto"/>
        <w:right w:val="none" w:sz="0" w:space="0" w:color="auto"/>
      </w:divBdr>
    </w:div>
    <w:div w:id="1114055684">
      <w:bodyDiv w:val="1"/>
      <w:marLeft w:val="0"/>
      <w:marRight w:val="0"/>
      <w:marTop w:val="0"/>
      <w:marBottom w:val="0"/>
      <w:divBdr>
        <w:top w:val="none" w:sz="0" w:space="0" w:color="auto"/>
        <w:left w:val="none" w:sz="0" w:space="0" w:color="auto"/>
        <w:bottom w:val="none" w:sz="0" w:space="0" w:color="auto"/>
        <w:right w:val="none" w:sz="0" w:space="0" w:color="auto"/>
      </w:divBdr>
      <w:divsChild>
        <w:div w:id="583220750">
          <w:marLeft w:val="0"/>
          <w:marRight w:val="0"/>
          <w:marTop w:val="0"/>
          <w:marBottom w:val="0"/>
          <w:divBdr>
            <w:top w:val="none" w:sz="0" w:space="0" w:color="auto"/>
            <w:left w:val="none" w:sz="0" w:space="0" w:color="auto"/>
            <w:bottom w:val="none" w:sz="0" w:space="0" w:color="auto"/>
            <w:right w:val="none" w:sz="0" w:space="0" w:color="auto"/>
          </w:divBdr>
          <w:divsChild>
            <w:div w:id="1241208819">
              <w:marLeft w:val="0"/>
              <w:marRight w:val="0"/>
              <w:marTop w:val="0"/>
              <w:marBottom w:val="0"/>
              <w:divBdr>
                <w:top w:val="none" w:sz="0" w:space="0" w:color="auto"/>
                <w:left w:val="none" w:sz="0" w:space="0" w:color="auto"/>
                <w:bottom w:val="none" w:sz="0" w:space="0" w:color="auto"/>
                <w:right w:val="none" w:sz="0" w:space="0" w:color="auto"/>
              </w:divBdr>
              <w:divsChild>
                <w:div w:id="170100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069273">
      <w:bodyDiv w:val="1"/>
      <w:marLeft w:val="0"/>
      <w:marRight w:val="0"/>
      <w:marTop w:val="0"/>
      <w:marBottom w:val="0"/>
      <w:divBdr>
        <w:top w:val="none" w:sz="0" w:space="0" w:color="auto"/>
        <w:left w:val="none" w:sz="0" w:space="0" w:color="auto"/>
        <w:bottom w:val="none" w:sz="0" w:space="0" w:color="auto"/>
        <w:right w:val="none" w:sz="0" w:space="0" w:color="auto"/>
      </w:divBdr>
      <w:divsChild>
        <w:div w:id="325717151">
          <w:marLeft w:val="0"/>
          <w:marRight w:val="0"/>
          <w:marTop w:val="0"/>
          <w:marBottom w:val="0"/>
          <w:divBdr>
            <w:top w:val="none" w:sz="0" w:space="0" w:color="auto"/>
            <w:left w:val="none" w:sz="0" w:space="0" w:color="auto"/>
            <w:bottom w:val="none" w:sz="0" w:space="0" w:color="auto"/>
            <w:right w:val="none" w:sz="0" w:space="0" w:color="auto"/>
          </w:divBdr>
          <w:divsChild>
            <w:div w:id="54551696">
              <w:marLeft w:val="0"/>
              <w:marRight w:val="0"/>
              <w:marTop w:val="0"/>
              <w:marBottom w:val="0"/>
              <w:divBdr>
                <w:top w:val="none" w:sz="0" w:space="0" w:color="auto"/>
                <w:left w:val="none" w:sz="0" w:space="0" w:color="auto"/>
                <w:bottom w:val="none" w:sz="0" w:space="0" w:color="auto"/>
                <w:right w:val="none" w:sz="0" w:space="0" w:color="auto"/>
              </w:divBdr>
              <w:divsChild>
                <w:div w:id="47056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390191">
      <w:bodyDiv w:val="1"/>
      <w:marLeft w:val="0"/>
      <w:marRight w:val="0"/>
      <w:marTop w:val="0"/>
      <w:marBottom w:val="0"/>
      <w:divBdr>
        <w:top w:val="none" w:sz="0" w:space="0" w:color="auto"/>
        <w:left w:val="none" w:sz="0" w:space="0" w:color="auto"/>
        <w:bottom w:val="none" w:sz="0" w:space="0" w:color="auto"/>
        <w:right w:val="none" w:sz="0" w:space="0" w:color="auto"/>
      </w:divBdr>
      <w:divsChild>
        <w:div w:id="113528108">
          <w:marLeft w:val="0"/>
          <w:marRight w:val="0"/>
          <w:marTop w:val="0"/>
          <w:marBottom w:val="0"/>
          <w:divBdr>
            <w:top w:val="none" w:sz="0" w:space="0" w:color="auto"/>
            <w:left w:val="none" w:sz="0" w:space="0" w:color="auto"/>
            <w:bottom w:val="none" w:sz="0" w:space="0" w:color="auto"/>
            <w:right w:val="none" w:sz="0" w:space="0" w:color="auto"/>
          </w:divBdr>
          <w:divsChild>
            <w:div w:id="1883638261">
              <w:marLeft w:val="0"/>
              <w:marRight w:val="0"/>
              <w:marTop w:val="0"/>
              <w:marBottom w:val="0"/>
              <w:divBdr>
                <w:top w:val="none" w:sz="0" w:space="0" w:color="auto"/>
                <w:left w:val="none" w:sz="0" w:space="0" w:color="auto"/>
                <w:bottom w:val="none" w:sz="0" w:space="0" w:color="auto"/>
                <w:right w:val="none" w:sz="0" w:space="0" w:color="auto"/>
              </w:divBdr>
              <w:divsChild>
                <w:div w:id="106826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842515">
      <w:bodyDiv w:val="1"/>
      <w:marLeft w:val="0"/>
      <w:marRight w:val="0"/>
      <w:marTop w:val="0"/>
      <w:marBottom w:val="0"/>
      <w:divBdr>
        <w:top w:val="none" w:sz="0" w:space="0" w:color="auto"/>
        <w:left w:val="none" w:sz="0" w:space="0" w:color="auto"/>
        <w:bottom w:val="none" w:sz="0" w:space="0" w:color="auto"/>
        <w:right w:val="none" w:sz="0" w:space="0" w:color="auto"/>
      </w:divBdr>
      <w:divsChild>
        <w:div w:id="754863621">
          <w:marLeft w:val="0"/>
          <w:marRight w:val="0"/>
          <w:marTop w:val="0"/>
          <w:marBottom w:val="0"/>
          <w:divBdr>
            <w:top w:val="none" w:sz="0" w:space="0" w:color="auto"/>
            <w:left w:val="none" w:sz="0" w:space="0" w:color="auto"/>
            <w:bottom w:val="none" w:sz="0" w:space="0" w:color="auto"/>
            <w:right w:val="none" w:sz="0" w:space="0" w:color="auto"/>
          </w:divBdr>
          <w:divsChild>
            <w:div w:id="558135329">
              <w:marLeft w:val="0"/>
              <w:marRight w:val="0"/>
              <w:marTop w:val="0"/>
              <w:marBottom w:val="0"/>
              <w:divBdr>
                <w:top w:val="none" w:sz="0" w:space="0" w:color="auto"/>
                <w:left w:val="none" w:sz="0" w:space="0" w:color="auto"/>
                <w:bottom w:val="none" w:sz="0" w:space="0" w:color="auto"/>
                <w:right w:val="none" w:sz="0" w:space="0" w:color="auto"/>
              </w:divBdr>
              <w:divsChild>
                <w:div w:id="199290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309602">
      <w:bodyDiv w:val="1"/>
      <w:marLeft w:val="0"/>
      <w:marRight w:val="0"/>
      <w:marTop w:val="0"/>
      <w:marBottom w:val="0"/>
      <w:divBdr>
        <w:top w:val="none" w:sz="0" w:space="0" w:color="auto"/>
        <w:left w:val="none" w:sz="0" w:space="0" w:color="auto"/>
        <w:bottom w:val="none" w:sz="0" w:space="0" w:color="auto"/>
        <w:right w:val="none" w:sz="0" w:space="0" w:color="auto"/>
      </w:divBdr>
      <w:divsChild>
        <w:div w:id="93290353">
          <w:marLeft w:val="0"/>
          <w:marRight w:val="0"/>
          <w:marTop w:val="0"/>
          <w:marBottom w:val="0"/>
          <w:divBdr>
            <w:top w:val="none" w:sz="0" w:space="0" w:color="auto"/>
            <w:left w:val="none" w:sz="0" w:space="0" w:color="auto"/>
            <w:bottom w:val="none" w:sz="0" w:space="0" w:color="auto"/>
            <w:right w:val="none" w:sz="0" w:space="0" w:color="auto"/>
          </w:divBdr>
          <w:divsChild>
            <w:div w:id="651911191">
              <w:marLeft w:val="0"/>
              <w:marRight w:val="0"/>
              <w:marTop w:val="0"/>
              <w:marBottom w:val="0"/>
              <w:divBdr>
                <w:top w:val="none" w:sz="0" w:space="0" w:color="auto"/>
                <w:left w:val="none" w:sz="0" w:space="0" w:color="auto"/>
                <w:bottom w:val="none" w:sz="0" w:space="0" w:color="auto"/>
                <w:right w:val="none" w:sz="0" w:space="0" w:color="auto"/>
              </w:divBdr>
              <w:divsChild>
                <w:div w:id="138583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154907">
      <w:bodyDiv w:val="1"/>
      <w:marLeft w:val="0"/>
      <w:marRight w:val="0"/>
      <w:marTop w:val="0"/>
      <w:marBottom w:val="0"/>
      <w:divBdr>
        <w:top w:val="none" w:sz="0" w:space="0" w:color="auto"/>
        <w:left w:val="none" w:sz="0" w:space="0" w:color="auto"/>
        <w:bottom w:val="none" w:sz="0" w:space="0" w:color="auto"/>
        <w:right w:val="none" w:sz="0" w:space="0" w:color="auto"/>
      </w:divBdr>
      <w:divsChild>
        <w:div w:id="123546572">
          <w:marLeft w:val="0"/>
          <w:marRight w:val="0"/>
          <w:marTop w:val="0"/>
          <w:marBottom w:val="0"/>
          <w:divBdr>
            <w:top w:val="none" w:sz="0" w:space="0" w:color="auto"/>
            <w:left w:val="none" w:sz="0" w:space="0" w:color="auto"/>
            <w:bottom w:val="none" w:sz="0" w:space="0" w:color="auto"/>
            <w:right w:val="none" w:sz="0" w:space="0" w:color="auto"/>
          </w:divBdr>
          <w:divsChild>
            <w:div w:id="752434821">
              <w:marLeft w:val="0"/>
              <w:marRight w:val="0"/>
              <w:marTop w:val="0"/>
              <w:marBottom w:val="0"/>
              <w:divBdr>
                <w:top w:val="none" w:sz="0" w:space="0" w:color="auto"/>
                <w:left w:val="none" w:sz="0" w:space="0" w:color="auto"/>
                <w:bottom w:val="none" w:sz="0" w:space="0" w:color="auto"/>
                <w:right w:val="none" w:sz="0" w:space="0" w:color="auto"/>
              </w:divBdr>
              <w:divsChild>
                <w:div w:id="75952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696285">
      <w:bodyDiv w:val="1"/>
      <w:marLeft w:val="0"/>
      <w:marRight w:val="0"/>
      <w:marTop w:val="0"/>
      <w:marBottom w:val="0"/>
      <w:divBdr>
        <w:top w:val="none" w:sz="0" w:space="0" w:color="auto"/>
        <w:left w:val="none" w:sz="0" w:space="0" w:color="auto"/>
        <w:bottom w:val="none" w:sz="0" w:space="0" w:color="auto"/>
        <w:right w:val="none" w:sz="0" w:space="0" w:color="auto"/>
      </w:divBdr>
      <w:divsChild>
        <w:div w:id="1497576700">
          <w:marLeft w:val="0"/>
          <w:marRight w:val="0"/>
          <w:marTop w:val="0"/>
          <w:marBottom w:val="0"/>
          <w:divBdr>
            <w:top w:val="none" w:sz="0" w:space="0" w:color="auto"/>
            <w:left w:val="none" w:sz="0" w:space="0" w:color="auto"/>
            <w:bottom w:val="none" w:sz="0" w:space="0" w:color="auto"/>
            <w:right w:val="none" w:sz="0" w:space="0" w:color="auto"/>
          </w:divBdr>
          <w:divsChild>
            <w:div w:id="88045539">
              <w:marLeft w:val="0"/>
              <w:marRight w:val="0"/>
              <w:marTop w:val="0"/>
              <w:marBottom w:val="0"/>
              <w:divBdr>
                <w:top w:val="none" w:sz="0" w:space="0" w:color="auto"/>
                <w:left w:val="none" w:sz="0" w:space="0" w:color="auto"/>
                <w:bottom w:val="none" w:sz="0" w:space="0" w:color="auto"/>
                <w:right w:val="none" w:sz="0" w:space="0" w:color="auto"/>
              </w:divBdr>
              <w:divsChild>
                <w:div w:id="52455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259333">
      <w:bodyDiv w:val="1"/>
      <w:marLeft w:val="0"/>
      <w:marRight w:val="0"/>
      <w:marTop w:val="0"/>
      <w:marBottom w:val="0"/>
      <w:divBdr>
        <w:top w:val="none" w:sz="0" w:space="0" w:color="auto"/>
        <w:left w:val="none" w:sz="0" w:space="0" w:color="auto"/>
        <w:bottom w:val="none" w:sz="0" w:space="0" w:color="auto"/>
        <w:right w:val="none" w:sz="0" w:space="0" w:color="auto"/>
      </w:divBdr>
      <w:divsChild>
        <w:div w:id="1318799454">
          <w:marLeft w:val="0"/>
          <w:marRight w:val="0"/>
          <w:marTop w:val="0"/>
          <w:marBottom w:val="0"/>
          <w:divBdr>
            <w:top w:val="none" w:sz="0" w:space="0" w:color="auto"/>
            <w:left w:val="none" w:sz="0" w:space="0" w:color="auto"/>
            <w:bottom w:val="none" w:sz="0" w:space="0" w:color="auto"/>
            <w:right w:val="none" w:sz="0" w:space="0" w:color="auto"/>
          </w:divBdr>
          <w:divsChild>
            <w:div w:id="818110026">
              <w:marLeft w:val="0"/>
              <w:marRight w:val="0"/>
              <w:marTop w:val="0"/>
              <w:marBottom w:val="0"/>
              <w:divBdr>
                <w:top w:val="none" w:sz="0" w:space="0" w:color="auto"/>
                <w:left w:val="none" w:sz="0" w:space="0" w:color="auto"/>
                <w:bottom w:val="none" w:sz="0" w:space="0" w:color="auto"/>
                <w:right w:val="none" w:sz="0" w:space="0" w:color="auto"/>
              </w:divBdr>
              <w:divsChild>
                <w:div w:id="1183284854">
                  <w:marLeft w:val="0"/>
                  <w:marRight w:val="0"/>
                  <w:marTop w:val="0"/>
                  <w:marBottom w:val="0"/>
                  <w:divBdr>
                    <w:top w:val="none" w:sz="0" w:space="0" w:color="auto"/>
                    <w:left w:val="none" w:sz="0" w:space="0" w:color="auto"/>
                    <w:bottom w:val="none" w:sz="0" w:space="0" w:color="auto"/>
                    <w:right w:val="none" w:sz="0" w:space="0" w:color="auto"/>
                  </w:divBdr>
                  <w:divsChild>
                    <w:div w:id="75012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893039">
      <w:bodyDiv w:val="1"/>
      <w:marLeft w:val="0"/>
      <w:marRight w:val="0"/>
      <w:marTop w:val="0"/>
      <w:marBottom w:val="0"/>
      <w:divBdr>
        <w:top w:val="none" w:sz="0" w:space="0" w:color="auto"/>
        <w:left w:val="none" w:sz="0" w:space="0" w:color="auto"/>
        <w:bottom w:val="none" w:sz="0" w:space="0" w:color="auto"/>
        <w:right w:val="none" w:sz="0" w:space="0" w:color="auto"/>
      </w:divBdr>
      <w:divsChild>
        <w:div w:id="1674257092">
          <w:marLeft w:val="0"/>
          <w:marRight w:val="0"/>
          <w:marTop w:val="0"/>
          <w:marBottom w:val="0"/>
          <w:divBdr>
            <w:top w:val="none" w:sz="0" w:space="0" w:color="auto"/>
            <w:left w:val="none" w:sz="0" w:space="0" w:color="auto"/>
            <w:bottom w:val="none" w:sz="0" w:space="0" w:color="auto"/>
            <w:right w:val="none" w:sz="0" w:space="0" w:color="auto"/>
          </w:divBdr>
          <w:divsChild>
            <w:div w:id="811676244">
              <w:marLeft w:val="0"/>
              <w:marRight w:val="0"/>
              <w:marTop w:val="0"/>
              <w:marBottom w:val="0"/>
              <w:divBdr>
                <w:top w:val="none" w:sz="0" w:space="0" w:color="auto"/>
                <w:left w:val="none" w:sz="0" w:space="0" w:color="auto"/>
                <w:bottom w:val="none" w:sz="0" w:space="0" w:color="auto"/>
                <w:right w:val="none" w:sz="0" w:space="0" w:color="auto"/>
              </w:divBdr>
              <w:divsChild>
                <w:div w:id="1400398459">
                  <w:marLeft w:val="0"/>
                  <w:marRight w:val="0"/>
                  <w:marTop w:val="0"/>
                  <w:marBottom w:val="0"/>
                  <w:divBdr>
                    <w:top w:val="none" w:sz="0" w:space="0" w:color="auto"/>
                    <w:left w:val="none" w:sz="0" w:space="0" w:color="auto"/>
                    <w:bottom w:val="none" w:sz="0" w:space="0" w:color="auto"/>
                    <w:right w:val="none" w:sz="0" w:space="0" w:color="auto"/>
                  </w:divBdr>
                  <w:divsChild>
                    <w:div w:id="48516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666436">
      <w:bodyDiv w:val="1"/>
      <w:marLeft w:val="0"/>
      <w:marRight w:val="0"/>
      <w:marTop w:val="0"/>
      <w:marBottom w:val="0"/>
      <w:divBdr>
        <w:top w:val="none" w:sz="0" w:space="0" w:color="auto"/>
        <w:left w:val="none" w:sz="0" w:space="0" w:color="auto"/>
        <w:bottom w:val="none" w:sz="0" w:space="0" w:color="auto"/>
        <w:right w:val="none" w:sz="0" w:space="0" w:color="auto"/>
      </w:divBdr>
      <w:divsChild>
        <w:div w:id="1781800871">
          <w:marLeft w:val="0"/>
          <w:marRight w:val="0"/>
          <w:marTop w:val="0"/>
          <w:marBottom w:val="0"/>
          <w:divBdr>
            <w:top w:val="none" w:sz="0" w:space="0" w:color="auto"/>
            <w:left w:val="none" w:sz="0" w:space="0" w:color="auto"/>
            <w:bottom w:val="none" w:sz="0" w:space="0" w:color="auto"/>
            <w:right w:val="none" w:sz="0" w:space="0" w:color="auto"/>
          </w:divBdr>
          <w:divsChild>
            <w:div w:id="50346217">
              <w:marLeft w:val="0"/>
              <w:marRight w:val="0"/>
              <w:marTop w:val="0"/>
              <w:marBottom w:val="0"/>
              <w:divBdr>
                <w:top w:val="none" w:sz="0" w:space="0" w:color="auto"/>
                <w:left w:val="none" w:sz="0" w:space="0" w:color="auto"/>
                <w:bottom w:val="none" w:sz="0" w:space="0" w:color="auto"/>
                <w:right w:val="none" w:sz="0" w:space="0" w:color="auto"/>
              </w:divBdr>
              <w:divsChild>
                <w:div w:id="1702053759">
                  <w:marLeft w:val="0"/>
                  <w:marRight w:val="0"/>
                  <w:marTop w:val="0"/>
                  <w:marBottom w:val="0"/>
                  <w:divBdr>
                    <w:top w:val="none" w:sz="0" w:space="0" w:color="auto"/>
                    <w:left w:val="none" w:sz="0" w:space="0" w:color="auto"/>
                    <w:bottom w:val="none" w:sz="0" w:space="0" w:color="auto"/>
                    <w:right w:val="none" w:sz="0" w:space="0" w:color="auto"/>
                  </w:divBdr>
                </w:div>
                <w:div w:id="1878422132">
                  <w:marLeft w:val="0"/>
                  <w:marRight w:val="0"/>
                  <w:marTop w:val="0"/>
                  <w:marBottom w:val="0"/>
                  <w:divBdr>
                    <w:top w:val="none" w:sz="0" w:space="0" w:color="auto"/>
                    <w:left w:val="none" w:sz="0" w:space="0" w:color="auto"/>
                    <w:bottom w:val="none" w:sz="0" w:space="0" w:color="auto"/>
                    <w:right w:val="none" w:sz="0" w:space="0" w:color="auto"/>
                  </w:divBdr>
                </w:div>
              </w:divsChild>
            </w:div>
            <w:div w:id="430703139">
              <w:marLeft w:val="0"/>
              <w:marRight w:val="0"/>
              <w:marTop w:val="0"/>
              <w:marBottom w:val="0"/>
              <w:divBdr>
                <w:top w:val="none" w:sz="0" w:space="0" w:color="auto"/>
                <w:left w:val="none" w:sz="0" w:space="0" w:color="auto"/>
                <w:bottom w:val="none" w:sz="0" w:space="0" w:color="auto"/>
                <w:right w:val="none" w:sz="0" w:space="0" w:color="auto"/>
              </w:divBdr>
              <w:divsChild>
                <w:div w:id="97887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520669">
      <w:bodyDiv w:val="1"/>
      <w:marLeft w:val="0"/>
      <w:marRight w:val="0"/>
      <w:marTop w:val="0"/>
      <w:marBottom w:val="0"/>
      <w:divBdr>
        <w:top w:val="none" w:sz="0" w:space="0" w:color="auto"/>
        <w:left w:val="none" w:sz="0" w:space="0" w:color="auto"/>
        <w:bottom w:val="none" w:sz="0" w:space="0" w:color="auto"/>
        <w:right w:val="none" w:sz="0" w:space="0" w:color="auto"/>
      </w:divBdr>
      <w:divsChild>
        <w:div w:id="72513583">
          <w:marLeft w:val="0"/>
          <w:marRight w:val="0"/>
          <w:marTop w:val="0"/>
          <w:marBottom w:val="0"/>
          <w:divBdr>
            <w:top w:val="none" w:sz="0" w:space="0" w:color="auto"/>
            <w:left w:val="none" w:sz="0" w:space="0" w:color="auto"/>
            <w:bottom w:val="none" w:sz="0" w:space="0" w:color="auto"/>
            <w:right w:val="none" w:sz="0" w:space="0" w:color="auto"/>
          </w:divBdr>
          <w:divsChild>
            <w:div w:id="920139726">
              <w:marLeft w:val="0"/>
              <w:marRight w:val="0"/>
              <w:marTop w:val="0"/>
              <w:marBottom w:val="0"/>
              <w:divBdr>
                <w:top w:val="none" w:sz="0" w:space="0" w:color="auto"/>
                <w:left w:val="none" w:sz="0" w:space="0" w:color="auto"/>
                <w:bottom w:val="none" w:sz="0" w:space="0" w:color="auto"/>
                <w:right w:val="none" w:sz="0" w:space="0" w:color="auto"/>
              </w:divBdr>
              <w:divsChild>
                <w:div w:id="37423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310964">
      <w:bodyDiv w:val="1"/>
      <w:marLeft w:val="0"/>
      <w:marRight w:val="0"/>
      <w:marTop w:val="0"/>
      <w:marBottom w:val="0"/>
      <w:divBdr>
        <w:top w:val="none" w:sz="0" w:space="0" w:color="auto"/>
        <w:left w:val="none" w:sz="0" w:space="0" w:color="auto"/>
        <w:bottom w:val="none" w:sz="0" w:space="0" w:color="auto"/>
        <w:right w:val="none" w:sz="0" w:space="0" w:color="auto"/>
      </w:divBdr>
    </w:div>
    <w:div w:id="1497570899">
      <w:bodyDiv w:val="1"/>
      <w:marLeft w:val="0"/>
      <w:marRight w:val="0"/>
      <w:marTop w:val="0"/>
      <w:marBottom w:val="0"/>
      <w:divBdr>
        <w:top w:val="none" w:sz="0" w:space="0" w:color="auto"/>
        <w:left w:val="none" w:sz="0" w:space="0" w:color="auto"/>
        <w:bottom w:val="none" w:sz="0" w:space="0" w:color="auto"/>
        <w:right w:val="none" w:sz="0" w:space="0" w:color="auto"/>
      </w:divBdr>
      <w:divsChild>
        <w:div w:id="894510732">
          <w:marLeft w:val="0"/>
          <w:marRight w:val="0"/>
          <w:marTop w:val="0"/>
          <w:marBottom w:val="0"/>
          <w:divBdr>
            <w:top w:val="none" w:sz="0" w:space="0" w:color="auto"/>
            <w:left w:val="none" w:sz="0" w:space="0" w:color="auto"/>
            <w:bottom w:val="none" w:sz="0" w:space="0" w:color="auto"/>
            <w:right w:val="none" w:sz="0" w:space="0" w:color="auto"/>
          </w:divBdr>
          <w:divsChild>
            <w:div w:id="652486910">
              <w:marLeft w:val="0"/>
              <w:marRight w:val="0"/>
              <w:marTop w:val="0"/>
              <w:marBottom w:val="0"/>
              <w:divBdr>
                <w:top w:val="none" w:sz="0" w:space="0" w:color="auto"/>
                <w:left w:val="none" w:sz="0" w:space="0" w:color="auto"/>
                <w:bottom w:val="none" w:sz="0" w:space="0" w:color="auto"/>
                <w:right w:val="none" w:sz="0" w:space="0" w:color="auto"/>
              </w:divBdr>
              <w:divsChild>
                <w:div w:id="95679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645895">
      <w:bodyDiv w:val="1"/>
      <w:marLeft w:val="0"/>
      <w:marRight w:val="0"/>
      <w:marTop w:val="0"/>
      <w:marBottom w:val="0"/>
      <w:divBdr>
        <w:top w:val="none" w:sz="0" w:space="0" w:color="auto"/>
        <w:left w:val="none" w:sz="0" w:space="0" w:color="auto"/>
        <w:bottom w:val="none" w:sz="0" w:space="0" w:color="auto"/>
        <w:right w:val="none" w:sz="0" w:space="0" w:color="auto"/>
      </w:divBdr>
      <w:divsChild>
        <w:div w:id="270356167">
          <w:marLeft w:val="0"/>
          <w:marRight w:val="0"/>
          <w:marTop w:val="0"/>
          <w:marBottom w:val="0"/>
          <w:divBdr>
            <w:top w:val="none" w:sz="0" w:space="0" w:color="auto"/>
            <w:left w:val="none" w:sz="0" w:space="0" w:color="auto"/>
            <w:bottom w:val="none" w:sz="0" w:space="0" w:color="auto"/>
            <w:right w:val="none" w:sz="0" w:space="0" w:color="auto"/>
          </w:divBdr>
          <w:divsChild>
            <w:div w:id="234359275">
              <w:marLeft w:val="0"/>
              <w:marRight w:val="0"/>
              <w:marTop w:val="0"/>
              <w:marBottom w:val="0"/>
              <w:divBdr>
                <w:top w:val="none" w:sz="0" w:space="0" w:color="auto"/>
                <w:left w:val="none" w:sz="0" w:space="0" w:color="auto"/>
                <w:bottom w:val="none" w:sz="0" w:space="0" w:color="auto"/>
                <w:right w:val="none" w:sz="0" w:space="0" w:color="auto"/>
              </w:divBdr>
              <w:divsChild>
                <w:div w:id="149580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783260">
      <w:bodyDiv w:val="1"/>
      <w:marLeft w:val="0"/>
      <w:marRight w:val="0"/>
      <w:marTop w:val="0"/>
      <w:marBottom w:val="0"/>
      <w:divBdr>
        <w:top w:val="none" w:sz="0" w:space="0" w:color="auto"/>
        <w:left w:val="none" w:sz="0" w:space="0" w:color="auto"/>
        <w:bottom w:val="none" w:sz="0" w:space="0" w:color="auto"/>
        <w:right w:val="none" w:sz="0" w:space="0" w:color="auto"/>
      </w:divBdr>
      <w:divsChild>
        <w:div w:id="358313610">
          <w:marLeft w:val="0"/>
          <w:marRight w:val="0"/>
          <w:marTop w:val="0"/>
          <w:marBottom w:val="0"/>
          <w:divBdr>
            <w:top w:val="none" w:sz="0" w:space="0" w:color="auto"/>
            <w:left w:val="none" w:sz="0" w:space="0" w:color="auto"/>
            <w:bottom w:val="none" w:sz="0" w:space="0" w:color="auto"/>
            <w:right w:val="none" w:sz="0" w:space="0" w:color="auto"/>
          </w:divBdr>
          <w:divsChild>
            <w:div w:id="1902016698">
              <w:marLeft w:val="0"/>
              <w:marRight w:val="0"/>
              <w:marTop w:val="0"/>
              <w:marBottom w:val="0"/>
              <w:divBdr>
                <w:top w:val="none" w:sz="0" w:space="0" w:color="auto"/>
                <w:left w:val="none" w:sz="0" w:space="0" w:color="auto"/>
                <w:bottom w:val="none" w:sz="0" w:space="0" w:color="auto"/>
                <w:right w:val="none" w:sz="0" w:space="0" w:color="auto"/>
              </w:divBdr>
              <w:divsChild>
                <w:div w:id="173299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886799">
      <w:bodyDiv w:val="1"/>
      <w:marLeft w:val="0"/>
      <w:marRight w:val="0"/>
      <w:marTop w:val="0"/>
      <w:marBottom w:val="0"/>
      <w:divBdr>
        <w:top w:val="none" w:sz="0" w:space="0" w:color="auto"/>
        <w:left w:val="none" w:sz="0" w:space="0" w:color="auto"/>
        <w:bottom w:val="none" w:sz="0" w:space="0" w:color="auto"/>
        <w:right w:val="none" w:sz="0" w:space="0" w:color="auto"/>
      </w:divBdr>
      <w:divsChild>
        <w:div w:id="1766729690">
          <w:marLeft w:val="0"/>
          <w:marRight w:val="0"/>
          <w:marTop w:val="0"/>
          <w:marBottom w:val="0"/>
          <w:divBdr>
            <w:top w:val="none" w:sz="0" w:space="0" w:color="auto"/>
            <w:left w:val="none" w:sz="0" w:space="0" w:color="auto"/>
            <w:bottom w:val="none" w:sz="0" w:space="0" w:color="auto"/>
            <w:right w:val="none" w:sz="0" w:space="0" w:color="auto"/>
          </w:divBdr>
          <w:divsChild>
            <w:div w:id="716783490">
              <w:marLeft w:val="0"/>
              <w:marRight w:val="0"/>
              <w:marTop w:val="0"/>
              <w:marBottom w:val="0"/>
              <w:divBdr>
                <w:top w:val="none" w:sz="0" w:space="0" w:color="auto"/>
                <w:left w:val="none" w:sz="0" w:space="0" w:color="auto"/>
                <w:bottom w:val="none" w:sz="0" w:space="0" w:color="auto"/>
                <w:right w:val="none" w:sz="0" w:space="0" w:color="auto"/>
              </w:divBdr>
              <w:divsChild>
                <w:div w:id="122264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089073">
      <w:bodyDiv w:val="1"/>
      <w:marLeft w:val="0"/>
      <w:marRight w:val="0"/>
      <w:marTop w:val="0"/>
      <w:marBottom w:val="0"/>
      <w:divBdr>
        <w:top w:val="none" w:sz="0" w:space="0" w:color="auto"/>
        <w:left w:val="none" w:sz="0" w:space="0" w:color="auto"/>
        <w:bottom w:val="none" w:sz="0" w:space="0" w:color="auto"/>
        <w:right w:val="none" w:sz="0" w:space="0" w:color="auto"/>
      </w:divBdr>
    </w:div>
    <w:div w:id="1588076432">
      <w:bodyDiv w:val="1"/>
      <w:marLeft w:val="0"/>
      <w:marRight w:val="0"/>
      <w:marTop w:val="0"/>
      <w:marBottom w:val="0"/>
      <w:divBdr>
        <w:top w:val="none" w:sz="0" w:space="0" w:color="auto"/>
        <w:left w:val="none" w:sz="0" w:space="0" w:color="auto"/>
        <w:bottom w:val="none" w:sz="0" w:space="0" w:color="auto"/>
        <w:right w:val="none" w:sz="0" w:space="0" w:color="auto"/>
      </w:divBdr>
      <w:divsChild>
        <w:div w:id="848450595">
          <w:marLeft w:val="0"/>
          <w:marRight w:val="0"/>
          <w:marTop w:val="0"/>
          <w:marBottom w:val="0"/>
          <w:divBdr>
            <w:top w:val="none" w:sz="0" w:space="0" w:color="auto"/>
            <w:left w:val="none" w:sz="0" w:space="0" w:color="auto"/>
            <w:bottom w:val="none" w:sz="0" w:space="0" w:color="auto"/>
            <w:right w:val="none" w:sz="0" w:space="0" w:color="auto"/>
          </w:divBdr>
          <w:divsChild>
            <w:div w:id="171990024">
              <w:marLeft w:val="0"/>
              <w:marRight w:val="0"/>
              <w:marTop w:val="0"/>
              <w:marBottom w:val="0"/>
              <w:divBdr>
                <w:top w:val="none" w:sz="0" w:space="0" w:color="auto"/>
                <w:left w:val="none" w:sz="0" w:space="0" w:color="auto"/>
                <w:bottom w:val="none" w:sz="0" w:space="0" w:color="auto"/>
                <w:right w:val="none" w:sz="0" w:space="0" w:color="auto"/>
              </w:divBdr>
              <w:divsChild>
                <w:div w:id="80527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749275">
      <w:bodyDiv w:val="1"/>
      <w:marLeft w:val="0"/>
      <w:marRight w:val="0"/>
      <w:marTop w:val="0"/>
      <w:marBottom w:val="0"/>
      <w:divBdr>
        <w:top w:val="none" w:sz="0" w:space="0" w:color="auto"/>
        <w:left w:val="none" w:sz="0" w:space="0" w:color="auto"/>
        <w:bottom w:val="none" w:sz="0" w:space="0" w:color="auto"/>
        <w:right w:val="none" w:sz="0" w:space="0" w:color="auto"/>
      </w:divBdr>
      <w:divsChild>
        <w:div w:id="244537426">
          <w:marLeft w:val="0"/>
          <w:marRight w:val="0"/>
          <w:marTop w:val="0"/>
          <w:marBottom w:val="0"/>
          <w:divBdr>
            <w:top w:val="none" w:sz="0" w:space="0" w:color="auto"/>
            <w:left w:val="none" w:sz="0" w:space="0" w:color="auto"/>
            <w:bottom w:val="none" w:sz="0" w:space="0" w:color="auto"/>
            <w:right w:val="none" w:sz="0" w:space="0" w:color="auto"/>
          </w:divBdr>
          <w:divsChild>
            <w:div w:id="901331906">
              <w:marLeft w:val="0"/>
              <w:marRight w:val="0"/>
              <w:marTop w:val="0"/>
              <w:marBottom w:val="0"/>
              <w:divBdr>
                <w:top w:val="none" w:sz="0" w:space="0" w:color="auto"/>
                <w:left w:val="none" w:sz="0" w:space="0" w:color="auto"/>
                <w:bottom w:val="none" w:sz="0" w:space="0" w:color="auto"/>
                <w:right w:val="none" w:sz="0" w:space="0" w:color="auto"/>
              </w:divBdr>
              <w:divsChild>
                <w:div w:id="53696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298468">
      <w:bodyDiv w:val="1"/>
      <w:marLeft w:val="0"/>
      <w:marRight w:val="0"/>
      <w:marTop w:val="0"/>
      <w:marBottom w:val="0"/>
      <w:divBdr>
        <w:top w:val="none" w:sz="0" w:space="0" w:color="auto"/>
        <w:left w:val="none" w:sz="0" w:space="0" w:color="auto"/>
        <w:bottom w:val="none" w:sz="0" w:space="0" w:color="auto"/>
        <w:right w:val="none" w:sz="0" w:space="0" w:color="auto"/>
      </w:divBdr>
      <w:divsChild>
        <w:div w:id="2124375657">
          <w:marLeft w:val="0"/>
          <w:marRight w:val="0"/>
          <w:marTop w:val="0"/>
          <w:marBottom w:val="0"/>
          <w:divBdr>
            <w:top w:val="none" w:sz="0" w:space="0" w:color="auto"/>
            <w:left w:val="none" w:sz="0" w:space="0" w:color="auto"/>
            <w:bottom w:val="none" w:sz="0" w:space="0" w:color="auto"/>
            <w:right w:val="none" w:sz="0" w:space="0" w:color="auto"/>
          </w:divBdr>
          <w:divsChild>
            <w:div w:id="1079791635">
              <w:marLeft w:val="0"/>
              <w:marRight w:val="0"/>
              <w:marTop w:val="0"/>
              <w:marBottom w:val="0"/>
              <w:divBdr>
                <w:top w:val="none" w:sz="0" w:space="0" w:color="auto"/>
                <w:left w:val="none" w:sz="0" w:space="0" w:color="auto"/>
                <w:bottom w:val="none" w:sz="0" w:space="0" w:color="auto"/>
                <w:right w:val="none" w:sz="0" w:space="0" w:color="auto"/>
              </w:divBdr>
              <w:divsChild>
                <w:div w:id="92723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386624">
      <w:bodyDiv w:val="1"/>
      <w:marLeft w:val="0"/>
      <w:marRight w:val="0"/>
      <w:marTop w:val="0"/>
      <w:marBottom w:val="0"/>
      <w:divBdr>
        <w:top w:val="none" w:sz="0" w:space="0" w:color="auto"/>
        <w:left w:val="none" w:sz="0" w:space="0" w:color="auto"/>
        <w:bottom w:val="none" w:sz="0" w:space="0" w:color="auto"/>
        <w:right w:val="none" w:sz="0" w:space="0" w:color="auto"/>
      </w:divBdr>
      <w:divsChild>
        <w:div w:id="405764317">
          <w:marLeft w:val="0"/>
          <w:marRight w:val="0"/>
          <w:marTop w:val="0"/>
          <w:marBottom w:val="0"/>
          <w:divBdr>
            <w:top w:val="none" w:sz="0" w:space="0" w:color="auto"/>
            <w:left w:val="none" w:sz="0" w:space="0" w:color="auto"/>
            <w:bottom w:val="none" w:sz="0" w:space="0" w:color="auto"/>
            <w:right w:val="none" w:sz="0" w:space="0" w:color="auto"/>
          </w:divBdr>
          <w:divsChild>
            <w:div w:id="1968274294">
              <w:marLeft w:val="0"/>
              <w:marRight w:val="0"/>
              <w:marTop w:val="0"/>
              <w:marBottom w:val="0"/>
              <w:divBdr>
                <w:top w:val="none" w:sz="0" w:space="0" w:color="auto"/>
                <w:left w:val="none" w:sz="0" w:space="0" w:color="auto"/>
                <w:bottom w:val="none" w:sz="0" w:space="0" w:color="auto"/>
                <w:right w:val="none" w:sz="0" w:space="0" w:color="auto"/>
              </w:divBdr>
              <w:divsChild>
                <w:div w:id="188934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852396">
      <w:bodyDiv w:val="1"/>
      <w:marLeft w:val="0"/>
      <w:marRight w:val="0"/>
      <w:marTop w:val="0"/>
      <w:marBottom w:val="0"/>
      <w:divBdr>
        <w:top w:val="none" w:sz="0" w:space="0" w:color="auto"/>
        <w:left w:val="none" w:sz="0" w:space="0" w:color="auto"/>
        <w:bottom w:val="none" w:sz="0" w:space="0" w:color="auto"/>
        <w:right w:val="none" w:sz="0" w:space="0" w:color="auto"/>
      </w:divBdr>
      <w:divsChild>
        <w:div w:id="1933927587">
          <w:marLeft w:val="0"/>
          <w:marRight w:val="0"/>
          <w:marTop w:val="0"/>
          <w:marBottom w:val="0"/>
          <w:divBdr>
            <w:top w:val="none" w:sz="0" w:space="0" w:color="auto"/>
            <w:left w:val="none" w:sz="0" w:space="0" w:color="auto"/>
            <w:bottom w:val="none" w:sz="0" w:space="0" w:color="auto"/>
            <w:right w:val="none" w:sz="0" w:space="0" w:color="auto"/>
          </w:divBdr>
          <w:divsChild>
            <w:div w:id="888110632">
              <w:marLeft w:val="0"/>
              <w:marRight w:val="0"/>
              <w:marTop w:val="0"/>
              <w:marBottom w:val="0"/>
              <w:divBdr>
                <w:top w:val="none" w:sz="0" w:space="0" w:color="auto"/>
                <w:left w:val="none" w:sz="0" w:space="0" w:color="auto"/>
                <w:bottom w:val="none" w:sz="0" w:space="0" w:color="auto"/>
                <w:right w:val="none" w:sz="0" w:space="0" w:color="auto"/>
              </w:divBdr>
              <w:divsChild>
                <w:div w:id="62870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465962">
      <w:bodyDiv w:val="1"/>
      <w:marLeft w:val="0"/>
      <w:marRight w:val="0"/>
      <w:marTop w:val="0"/>
      <w:marBottom w:val="0"/>
      <w:divBdr>
        <w:top w:val="none" w:sz="0" w:space="0" w:color="auto"/>
        <w:left w:val="none" w:sz="0" w:space="0" w:color="auto"/>
        <w:bottom w:val="none" w:sz="0" w:space="0" w:color="auto"/>
        <w:right w:val="none" w:sz="0" w:space="0" w:color="auto"/>
      </w:divBdr>
      <w:divsChild>
        <w:div w:id="1545094578">
          <w:marLeft w:val="0"/>
          <w:marRight w:val="0"/>
          <w:marTop w:val="0"/>
          <w:marBottom w:val="0"/>
          <w:divBdr>
            <w:top w:val="none" w:sz="0" w:space="0" w:color="auto"/>
            <w:left w:val="none" w:sz="0" w:space="0" w:color="auto"/>
            <w:bottom w:val="none" w:sz="0" w:space="0" w:color="auto"/>
            <w:right w:val="none" w:sz="0" w:space="0" w:color="auto"/>
          </w:divBdr>
          <w:divsChild>
            <w:div w:id="979336350">
              <w:marLeft w:val="0"/>
              <w:marRight w:val="0"/>
              <w:marTop w:val="0"/>
              <w:marBottom w:val="0"/>
              <w:divBdr>
                <w:top w:val="none" w:sz="0" w:space="0" w:color="auto"/>
                <w:left w:val="none" w:sz="0" w:space="0" w:color="auto"/>
                <w:bottom w:val="none" w:sz="0" w:space="0" w:color="auto"/>
                <w:right w:val="none" w:sz="0" w:space="0" w:color="auto"/>
              </w:divBdr>
              <w:divsChild>
                <w:div w:id="103261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546516">
      <w:bodyDiv w:val="1"/>
      <w:marLeft w:val="0"/>
      <w:marRight w:val="0"/>
      <w:marTop w:val="0"/>
      <w:marBottom w:val="0"/>
      <w:divBdr>
        <w:top w:val="none" w:sz="0" w:space="0" w:color="auto"/>
        <w:left w:val="none" w:sz="0" w:space="0" w:color="auto"/>
        <w:bottom w:val="none" w:sz="0" w:space="0" w:color="auto"/>
        <w:right w:val="none" w:sz="0" w:space="0" w:color="auto"/>
      </w:divBdr>
    </w:div>
    <w:div w:id="1784879014">
      <w:bodyDiv w:val="1"/>
      <w:marLeft w:val="0"/>
      <w:marRight w:val="0"/>
      <w:marTop w:val="0"/>
      <w:marBottom w:val="0"/>
      <w:divBdr>
        <w:top w:val="none" w:sz="0" w:space="0" w:color="auto"/>
        <w:left w:val="none" w:sz="0" w:space="0" w:color="auto"/>
        <w:bottom w:val="none" w:sz="0" w:space="0" w:color="auto"/>
        <w:right w:val="none" w:sz="0" w:space="0" w:color="auto"/>
      </w:divBdr>
      <w:divsChild>
        <w:div w:id="1904413940">
          <w:marLeft w:val="0"/>
          <w:marRight w:val="0"/>
          <w:marTop w:val="0"/>
          <w:marBottom w:val="0"/>
          <w:divBdr>
            <w:top w:val="none" w:sz="0" w:space="0" w:color="auto"/>
            <w:left w:val="none" w:sz="0" w:space="0" w:color="auto"/>
            <w:bottom w:val="none" w:sz="0" w:space="0" w:color="auto"/>
            <w:right w:val="none" w:sz="0" w:space="0" w:color="auto"/>
          </w:divBdr>
          <w:divsChild>
            <w:div w:id="2065442808">
              <w:marLeft w:val="0"/>
              <w:marRight w:val="0"/>
              <w:marTop w:val="0"/>
              <w:marBottom w:val="0"/>
              <w:divBdr>
                <w:top w:val="none" w:sz="0" w:space="0" w:color="auto"/>
                <w:left w:val="none" w:sz="0" w:space="0" w:color="auto"/>
                <w:bottom w:val="none" w:sz="0" w:space="0" w:color="auto"/>
                <w:right w:val="none" w:sz="0" w:space="0" w:color="auto"/>
              </w:divBdr>
              <w:divsChild>
                <w:div w:id="127671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403613">
      <w:bodyDiv w:val="1"/>
      <w:marLeft w:val="0"/>
      <w:marRight w:val="0"/>
      <w:marTop w:val="0"/>
      <w:marBottom w:val="0"/>
      <w:divBdr>
        <w:top w:val="none" w:sz="0" w:space="0" w:color="auto"/>
        <w:left w:val="none" w:sz="0" w:space="0" w:color="auto"/>
        <w:bottom w:val="none" w:sz="0" w:space="0" w:color="auto"/>
        <w:right w:val="none" w:sz="0" w:space="0" w:color="auto"/>
      </w:divBdr>
      <w:divsChild>
        <w:div w:id="127940828">
          <w:marLeft w:val="0"/>
          <w:marRight w:val="0"/>
          <w:marTop w:val="0"/>
          <w:marBottom w:val="0"/>
          <w:divBdr>
            <w:top w:val="none" w:sz="0" w:space="0" w:color="auto"/>
            <w:left w:val="none" w:sz="0" w:space="0" w:color="auto"/>
            <w:bottom w:val="none" w:sz="0" w:space="0" w:color="auto"/>
            <w:right w:val="none" w:sz="0" w:space="0" w:color="auto"/>
          </w:divBdr>
          <w:divsChild>
            <w:div w:id="1368023938">
              <w:marLeft w:val="0"/>
              <w:marRight w:val="0"/>
              <w:marTop w:val="0"/>
              <w:marBottom w:val="0"/>
              <w:divBdr>
                <w:top w:val="none" w:sz="0" w:space="0" w:color="auto"/>
                <w:left w:val="none" w:sz="0" w:space="0" w:color="auto"/>
                <w:bottom w:val="none" w:sz="0" w:space="0" w:color="auto"/>
                <w:right w:val="none" w:sz="0" w:space="0" w:color="auto"/>
              </w:divBdr>
              <w:divsChild>
                <w:div w:id="123142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309469">
      <w:bodyDiv w:val="1"/>
      <w:marLeft w:val="0"/>
      <w:marRight w:val="0"/>
      <w:marTop w:val="0"/>
      <w:marBottom w:val="0"/>
      <w:divBdr>
        <w:top w:val="none" w:sz="0" w:space="0" w:color="auto"/>
        <w:left w:val="none" w:sz="0" w:space="0" w:color="auto"/>
        <w:bottom w:val="none" w:sz="0" w:space="0" w:color="auto"/>
        <w:right w:val="none" w:sz="0" w:space="0" w:color="auto"/>
      </w:divBdr>
      <w:divsChild>
        <w:div w:id="1951551840">
          <w:marLeft w:val="0"/>
          <w:marRight w:val="0"/>
          <w:marTop w:val="0"/>
          <w:marBottom w:val="0"/>
          <w:divBdr>
            <w:top w:val="none" w:sz="0" w:space="0" w:color="auto"/>
            <w:left w:val="none" w:sz="0" w:space="0" w:color="auto"/>
            <w:bottom w:val="none" w:sz="0" w:space="0" w:color="auto"/>
            <w:right w:val="none" w:sz="0" w:space="0" w:color="auto"/>
          </w:divBdr>
          <w:divsChild>
            <w:div w:id="311760423">
              <w:marLeft w:val="0"/>
              <w:marRight w:val="0"/>
              <w:marTop w:val="0"/>
              <w:marBottom w:val="0"/>
              <w:divBdr>
                <w:top w:val="none" w:sz="0" w:space="0" w:color="auto"/>
                <w:left w:val="none" w:sz="0" w:space="0" w:color="auto"/>
                <w:bottom w:val="none" w:sz="0" w:space="0" w:color="auto"/>
                <w:right w:val="none" w:sz="0" w:space="0" w:color="auto"/>
              </w:divBdr>
              <w:divsChild>
                <w:div w:id="1047412641">
                  <w:marLeft w:val="0"/>
                  <w:marRight w:val="0"/>
                  <w:marTop w:val="0"/>
                  <w:marBottom w:val="0"/>
                  <w:divBdr>
                    <w:top w:val="none" w:sz="0" w:space="0" w:color="auto"/>
                    <w:left w:val="none" w:sz="0" w:space="0" w:color="auto"/>
                    <w:bottom w:val="none" w:sz="0" w:space="0" w:color="auto"/>
                    <w:right w:val="none" w:sz="0" w:space="0" w:color="auto"/>
                  </w:divBdr>
                  <w:divsChild>
                    <w:div w:id="141971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688312">
      <w:bodyDiv w:val="1"/>
      <w:marLeft w:val="0"/>
      <w:marRight w:val="0"/>
      <w:marTop w:val="0"/>
      <w:marBottom w:val="0"/>
      <w:divBdr>
        <w:top w:val="none" w:sz="0" w:space="0" w:color="auto"/>
        <w:left w:val="none" w:sz="0" w:space="0" w:color="auto"/>
        <w:bottom w:val="none" w:sz="0" w:space="0" w:color="auto"/>
        <w:right w:val="none" w:sz="0" w:space="0" w:color="auto"/>
      </w:divBdr>
      <w:divsChild>
        <w:div w:id="25061446">
          <w:marLeft w:val="0"/>
          <w:marRight w:val="0"/>
          <w:marTop w:val="0"/>
          <w:marBottom w:val="0"/>
          <w:divBdr>
            <w:top w:val="none" w:sz="0" w:space="0" w:color="auto"/>
            <w:left w:val="none" w:sz="0" w:space="0" w:color="auto"/>
            <w:bottom w:val="none" w:sz="0" w:space="0" w:color="auto"/>
            <w:right w:val="none" w:sz="0" w:space="0" w:color="auto"/>
          </w:divBdr>
          <w:divsChild>
            <w:div w:id="614870293">
              <w:marLeft w:val="0"/>
              <w:marRight w:val="0"/>
              <w:marTop w:val="0"/>
              <w:marBottom w:val="0"/>
              <w:divBdr>
                <w:top w:val="none" w:sz="0" w:space="0" w:color="auto"/>
                <w:left w:val="none" w:sz="0" w:space="0" w:color="auto"/>
                <w:bottom w:val="none" w:sz="0" w:space="0" w:color="auto"/>
                <w:right w:val="none" w:sz="0" w:space="0" w:color="auto"/>
              </w:divBdr>
              <w:divsChild>
                <w:div w:id="64331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970120">
      <w:bodyDiv w:val="1"/>
      <w:marLeft w:val="0"/>
      <w:marRight w:val="0"/>
      <w:marTop w:val="0"/>
      <w:marBottom w:val="0"/>
      <w:divBdr>
        <w:top w:val="none" w:sz="0" w:space="0" w:color="auto"/>
        <w:left w:val="none" w:sz="0" w:space="0" w:color="auto"/>
        <w:bottom w:val="none" w:sz="0" w:space="0" w:color="auto"/>
        <w:right w:val="none" w:sz="0" w:space="0" w:color="auto"/>
      </w:divBdr>
      <w:divsChild>
        <w:div w:id="1714426387">
          <w:marLeft w:val="0"/>
          <w:marRight w:val="0"/>
          <w:marTop w:val="0"/>
          <w:marBottom w:val="0"/>
          <w:divBdr>
            <w:top w:val="none" w:sz="0" w:space="0" w:color="auto"/>
            <w:left w:val="none" w:sz="0" w:space="0" w:color="auto"/>
            <w:bottom w:val="none" w:sz="0" w:space="0" w:color="auto"/>
            <w:right w:val="none" w:sz="0" w:space="0" w:color="auto"/>
          </w:divBdr>
          <w:divsChild>
            <w:div w:id="951204494">
              <w:marLeft w:val="0"/>
              <w:marRight w:val="0"/>
              <w:marTop w:val="0"/>
              <w:marBottom w:val="0"/>
              <w:divBdr>
                <w:top w:val="none" w:sz="0" w:space="0" w:color="auto"/>
                <w:left w:val="none" w:sz="0" w:space="0" w:color="auto"/>
                <w:bottom w:val="none" w:sz="0" w:space="0" w:color="auto"/>
                <w:right w:val="none" w:sz="0" w:space="0" w:color="auto"/>
              </w:divBdr>
              <w:divsChild>
                <w:div w:id="43190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102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esquisa.apps.tcu.gov.br/documento/acordao-completo/%2522desenvolvimento%2520sustent%25C3%25A1vel%2522%2522/%2520/DTRELEVANCIA%2520desc%252C%2520NUMACORDAOINT%2520desc/2" TargetMode="External"/><Relationship Id="rId18" Type="http://schemas.openxmlformats.org/officeDocument/2006/relationships/image" Target="media/image2.png"/><Relationship Id="rId26" Type="http://schemas.openxmlformats.org/officeDocument/2006/relationships/hyperlink" Target="http://www1.tce.pr.gov.br/conteudo/boletim-de-jurisprudencia-internacional/316601/area/249" TargetMode="External"/><Relationship Id="rId3" Type="http://schemas.openxmlformats.org/officeDocument/2006/relationships/customXml" Target="../customXml/item3.xml"/><Relationship Id="rId21" Type="http://schemas.openxmlformats.org/officeDocument/2006/relationships/hyperlink" Target="http://www1.tce.pr.gov.br/conteudo/boletim-de-jurisprudencia-internacional/316601/area/249"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scon.stj.jus.br/SCON/GetInteiroTeorDoAcordao?num_registro=202003215737&amp;dt_publicacao=04/12/2024" TargetMode="External"/><Relationship Id="rId25" Type="http://schemas.openxmlformats.org/officeDocument/2006/relationships/hyperlink" Target="http://www1.tce.pr.gov.br/conteudo/boletim-informativo-de-jurisprudencia/280400/area/249" TargetMode="External"/><Relationship Id="rId2" Type="http://schemas.openxmlformats.org/officeDocument/2006/relationships/customXml" Target="../customXml/item2.xml"/><Relationship Id="rId16" Type="http://schemas.openxmlformats.org/officeDocument/2006/relationships/hyperlink" Target="https://redir.stf.jus.br/paginadorpub/paginador.jsp?docTP=TP&amp;docID=783203015" TargetMode="External"/><Relationship Id="rId20" Type="http://schemas.openxmlformats.org/officeDocument/2006/relationships/hyperlink" Target="http://www1.tce.pr.gov.br/conteudo/boletim-informativo-de-jurisprudencia/280400/area/249"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1.tce.pr.gov.br/conteudo/pesquisas-prontas/308475/area/249"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busca.tc.df.gov.br/" TargetMode="External"/><Relationship Id="rId23" Type="http://schemas.openxmlformats.org/officeDocument/2006/relationships/hyperlink" Target="http://www1.tce.pr.gov.br/conteudo/sumulas-selecionadas/316602/area/249" TargetMode="External"/><Relationship Id="rId28" Type="http://schemas.openxmlformats.org/officeDocument/2006/relationships/hyperlink" Target="http://www1.tce.pr.gov.br/conteudo/sumulas-selecionadas/316602/area/249" TargetMode="External"/><Relationship Id="rId10" Type="http://schemas.openxmlformats.org/officeDocument/2006/relationships/footnotes" Target="footnotes.xml"/><Relationship Id="rId19" Type="http://schemas.openxmlformats.org/officeDocument/2006/relationships/hyperlink" Target="http://www1.tce.pr.gov.br/conteudo/pesquisas-prontas/308475/area/249"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1.tce.pr.gov.br/multimidia/2024/10/pdf/00390197.pdf" TargetMode="External"/><Relationship Id="rId22" Type="http://schemas.openxmlformats.org/officeDocument/2006/relationships/hyperlink" Target="http://www1.tce.pr.gov.br/conteudo/repercussao-geral-no-stf-e-os-tribunais-de-contas/307026/area/249" TargetMode="External"/><Relationship Id="rId27" Type="http://schemas.openxmlformats.org/officeDocument/2006/relationships/hyperlink" Target="http://www1.tce.pr.gov.br/conteudo/repercussao-geral-no-stf-e-os-tribunais-de-contas/307026/area/249"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Arial"/>
        <a:cs typeface="Arial"/>
      </a:majorFont>
      <a:minorFont>
        <a:latin typeface="Calibri"/>
        <a:ea typeface="Arial"/>
        <a:cs typeface="Arial"/>
      </a:minorFont>
    </a:fontScheme>
    <a:fmtScheme name="Escritório">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
</file>

<file path=customXml/item2.xml><?xml version="1.0" encoding="utf-8"?>
<p:properties xmlns:p="http://schemas.microsoft.com/office/2006/metadata/properties" xmlns:xsi="http://www.w3.org/2001/XMLSchema-instance" xmlns:pc="http://schemas.microsoft.com/office/infopath/2007/PartnerControls">
  <documentManagement>
    <_activity xmlns="f62ec606-c254-4dd7-8666-aa6c12b2173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o" ma:contentTypeID="0x01010053C3D453B89BB34EA0245CEF24B22626" ma:contentTypeVersion="12" ma:contentTypeDescription="Crie um novo documento." ma:contentTypeScope="" ma:versionID="53fc663f462a8b33a68b45d843c357c8">
  <xsd:schema xmlns:xsd="http://www.w3.org/2001/XMLSchema" xmlns:xs="http://www.w3.org/2001/XMLSchema" xmlns:p="http://schemas.microsoft.com/office/2006/metadata/properties" xmlns:ns3="3db64fec-8ace-4545-b67f-b7c88dee3c09" xmlns:ns4="f62ec606-c254-4dd7-8666-aa6c12b21731" targetNamespace="http://schemas.microsoft.com/office/2006/metadata/properties" ma:root="true" ma:fieldsID="7d0d5796d0394b21ec05b1ac7f859df7" ns3:_="" ns4:_="">
    <xsd:import namespace="3db64fec-8ace-4545-b67f-b7c88dee3c09"/>
    <xsd:import namespace="f62ec606-c254-4dd7-8666-aa6c12b2173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b64fec-8ace-4545-b67f-b7c88dee3c09" elementFormDefault="qualified">
    <xsd:import namespace="http://schemas.microsoft.com/office/2006/documentManagement/types"/>
    <xsd:import namespace="http://schemas.microsoft.com/office/infopath/2007/PartnerControls"/>
    <xsd:element name="SharedWithUsers" ma:index="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hes de Compartilhado Com" ma:internalName="SharedWithDetails" ma:readOnly="true">
      <xsd:simpleType>
        <xsd:restriction base="dms:Note">
          <xsd:maxLength value="255"/>
        </xsd:restriction>
      </xsd:simpleType>
    </xsd:element>
    <xsd:element name="SharingHintHash" ma:index="10" nillable="true" ma:displayName="Hash de Dica de Compartilhamento"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2ec606-c254-4dd7-8666-aa6c12b2173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74D022-C9B6-4C98-8292-5C7868A5971E}"/>
</file>

<file path=customXml/itemProps2.xml><?xml version="1.0" encoding="utf-8"?>
<ds:datastoreItem xmlns:ds="http://schemas.openxmlformats.org/officeDocument/2006/customXml" ds:itemID="{F4EA0CB4-8DE3-4A76-84C4-B02782AF33BC}">
  <ds:schemaRefs>
    <ds:schemaRef ds:uri="http://schemas.microsoft.com/office/2006/metadata/properties"/>
    <ds:schemaRef ds:uri="http://schemas.microsoft.com/office/infopath/2007/PartnerControls"/>
    <ds:schemaRef ds:uri="f62ec606-c254-4dd7-8666-aa6c12b21731"/>
  </ds:schemaRefs>
</ds:datastoreItem>
</file>

<file path=customXml/itemProps3.xml><?xml version="1.0" encoding="utf-8"?>
<ds:datastoreItem xmlns:ds="http://schemas.openxmlformats.org/officeDocument/2006/customXml" ds:itemID="{BB224B9F-0E89-674C-99DC-A99D9A7896FC}">
  <ds:schemaRefs>
    <ds:schemaRef ds:uri="http://schemas.openxmlformats.org/officeDocument/2006/bibliography"/>
  </ds:schemaRefs>
</ds:datastoreItem>
</file>

<file path=customXml/itemProps4.xml><?xml version="1.0" encoding="utf-8"?>
<ds:datastoreItem xmlns:ds="http://schemas.openxmlformats.org/officeDocument/2006/customXml" ds:itemID="{65C50CFC-5930-4374-B00C-E7CFBCF858CF}">
  <ds:schemaRefs>
    <ds:schemaRef ds:uri="http://schemas.microsoft.com/sharepoint/v3/contenttype/forms"/>
  </ds:schemaRefs>
</ds:datastoreItem>
</file>

<file path=customXml/itemProps5.xml><?xml version="1.0" encoding="utf-8"?>
<ds:datastoreItem xmlns:ds="http://schemas.openxmlformats.org/officeDocument/2006/customXml" ds:itemID="{590E71E5-FE82-4C3C-BDD1-F035CA590C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b64fec-8ace-4545-b67f-b7c88dee3c09"/>
    <ds:schemaRef ds:uri="f62ec606-c254-4dd7-8666-aa6c12b217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4308</Words>
  <Characters>23265</Characters>
  <Application>Microsoft Office Word</Application>
  <DocSecurity>0</DocSecurity>
  <Lines>193</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Vitória Ferreira</dc:creator>
  <cp:keywords/>
  <dc:description/>
  <cp:lastModifiedBy>Fernando Barros</cp:lastModifiedBy>
  <cp:revision>3</cp:revision>
  <cp:lastPrinted>2025-01-27T19:49:00Z</cp:lastPrinted>
  <dcterms:created xsi:type="dcterms:W3CDTF">2025-01-27T19:49:00Z</dcterms:created>
  <dcterms:modified xsi:type="dcterms:W3CDTF">2025-01-27T19:55:00Z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-2002783954</vt:i4>
  </property>
  <property fmtid="{D5CDD505-2E9C-101B-9397-08002B2CF9AE}" pid="3" name="ContentTypeId">
    <vt:lpwstr>0x01010053C3D453B89BB34EA0245CEF24B22626</vt:lpwstr>
  </property>
</Properties>
</file>