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3.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bealho"/>
        <w:spacing w:lineRule="auto" w:line="276"/>
        <w:jc w:val="center"/>
        <w:rPr>
          <w:rFonts w:ascii="Arial" w:hAnsi="Arial" w:cs="Arial"/>
          <w:sz w:val="28"/>
          <w:szCs w:val="28"/>
        </w:rPr>
      </w:pPr>
      <w:r>
        <w:rPr>
          <w:rFonts w:cs="Arial" w:ascii="Arial" w:hAnsi="Arial"/>
          <w:b/>
          <w:sz w:val="28"/>
          <w:szCs w:val="28"/>
        </w:rPr>
        <w:t>TESES AMBIENTAIS</w:t>
      </w:r>
      <w:r>
        <w:rPr>
          <w:rFonts w:cs="Arial" w:ascii="Arial" w:hAnsi="Arial"/>
          <w:sz w:val="28"/>
          <w:szCs w:val="28"/>
        </w:rPr>
        <w:t xml:space="preserve"> </w:t>
      </w:r>
    </w:p>
    <w:p>
      <w:pPr>
        <w:pStyle w:val="Normal"/>
        <w:jc w:val="center"/>
        <w:rPr>
          <w:rFonts w:ascii="Arial" w:hAnsi="Arial" w:cs="Arial"/>
          <w:b/>
          <w:b/>
          <w:sz w:val="20"/>
          <w:szCs w:val="20"/>
        </w:rPr>
      </w:pPr>
      <w:r>
        <w:rPr>
          <w:rFonts w:cs="Arial" w:ascii="Arial" w:hAnsi="Arial"/>
          <w:b/>
          <w:sz w:val="20"/>
          <w:szCs w:val="20"/>
        </w:rPr>
      </w:r>
    </w:p>
    <w:p>
      <w:pPr>
        <w:pStyle w:val="Normal"/>
        <w:jc w:val="center"/>
        <w:rPr>
          <w:rFonts w:ascii="Arial" w:hAnsi="Arial" w:cs="Arial"/>
          <w:b/>
          <w:b/>
        </w:rPr>
      </w:pPr>
      <w:r>
        <w:rPr>
          <w:rFonts w:cs="Arial" w:ascii="Arial" w:hAnsi="Arial"/>
          <w:b/>
        </w:rPr>
        <w:t>Número 32</w:t>
      </w:r>
    </w:p>
    <w:p>
      <w:pPr>
        <w:pStyle w:val="Normal"/>
        <w:jc w:val="center"/>
        <w:rPr>
          <w:rFonts w:ascii="Arial" w:hAnsi="Arial" w:cs="Arial"/>
          <w:b/>
          <w:b/>
          <w:sz w:val="20"/>
          <w:szCs w:val="20"/>
        </w:rPr>
      </w:pPr>
      <w:r>
        <w:rPr>
          <w:rFonts w:cs="Arial" w:ascii="Arial" w:hAnsi="Arial"/>
          <w:b/>
          <w:sz w:val="20"/>
          <w:szCs w:val="20"/>
        </w:rPr>
      </w:r>
    </w:p>
    <w:p>
      <w:pPr>
        <w:pStyle w:val="Normal"/>
        <w:jc w:val="both"/>
        <w:rPr>
          <w:rFonts w:ascii="Arial" w:hAnsi="Arial" w:cs="Arial"/>
          <w:sz w:val="20"/>
          <w:szCs w:val="20"/>
        </w:rPr>
      </w:pPr>
      <w:r>
        <w:rPr>
          <w:rFonts w:cs="Arial" w:ascii="Arial" w:hAnsi="Arial"/>
          <w:sz w:val="20"/>
          <w:szCs w:val="20"/>
        </w:rPr>
        <w:t>Este Boletim de periodicidade bimestral contém informações sintéticas de julgados relacionados ao Direito Ambiental proferidas pelo Supremo Tribunal Federal - STF, Superior Tribunal de Justiça - STJ, Tribunal de Contas da União - TCU e do Tribunal de Contas do Paraná - TCEPR, bem como de outros Tribunais de Contas Estaduais e Municipais sobre temas relacionados ao controle externo, evidenciando o valor da sustentabilidade.</w:t>
      </w:r>
    </w:p>
    <w:p>
      <w:pPr>
        <w:pStyle w:val="Normal"/>
        <w:jc w:val="both"/>
        <w:rPr>
          <w:rFonts w:ascii="Arial" w:hAnsi="Arial" w:cs="Arial"/>
          <w:sz w:val="20"/>
          <w:szCs w:val="20"/>
        </w:rPr>
      </w:pPr>
      <w:r>
        <w:rPr>
          <w:rFonts w:cs="Arial" w:ascii="Arial" w:hAnsi="Arial"/>
          <w:sz w:val="20"/>
          <w:szCs w:val="20"/>
        </w:rPr>
        <w:t xml:space="preserve"> </w:t>
      </w:r>
    </w:p>
    <w:p>
      <w:pPr>
        <w:pStyle w:val="Normal"/>
        <w:jc w:val="both"/>
        <w:rPr>
          <w:rFonts w:ascii="Arial" w:hAnsi="Arial" w:cs="Arial"/>
          <w:sz w:val="20"/>
          <w:szCs w:val="20"/>
        </w:rPr>
      </w:pPr>
      <w:r>
        <w:rPr>
          <w:rFonts w:cs="Arial" w:ascii="Arial" w:hAnsi="Arial"/>
          <w:sz w:val="20"/>
          <w:szCs w:val="20"/>
        </w:rPr>
        <w:t>A seleção das decisões leva em consideração os aspectos de gestão ambiental eficiente, transparente e propositiva. Para aprofundamento, o leitor pode acessar o inteiro teor das deliberações por meio dos links disponíveis.</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Lembramos, por fim, que este informativo não representa um repositório oficial de jurisprudência.</w:t>
      </w:r>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mc:AlternateContent>
          <mc:Choice Requires="wps">
            <w:drawing>
              <wp:anchor behindDoc="0" distT="0" distB="38100" distL="0" distR="12700" simplePos="0" locked="0" layoutInCell="0" allowOverlap="1" relativeHeight="17" wp14:anchorId="3510D793">
                <wp:simplePos x="0" y="0"/>
                <wp:positionH relativeFrom="margin">
                  <wp:posOffset>-635</wp:posOffset>
                </wp:positionH>
                <wp:positionV relativeFrom="paragraph">
                  <wp:posOffset>29210</wp:posOffset>
                </wp:positionV>
                <wp:extent cx="5397500" cy="635"/>
                <wp:effectExtent l="13335" t="12700" r="12700" b="33020"/>
                <wp:wrapNone/>
                <wp:docPr id="1" name="Conector reto 2"/>
                <a:graphic xmlns:a="http://schemas.openxmlformats.org/drawingml/2006/main">
                  <a:graphicData uri="http://schemas.microsoft.com/office/word/2010/wordprocessingShape">
                    <wps:wsp>
                      <wps:cNvSpPr/>
                      <wps:spPr>
                        <a:xfrm>
                          <a:off x="0" y="0"/>
                          <a:ext cx="5397480" cy="720"/>
                        </a:xfrm>
                        <a:prstGeom prst="line">
                          <a:avLst/>
                        </a:prstGeom>
                        <a:ln w="25400">
                          <a:solidFill>
                            <a:srgbClr val="000000">
                              <a:lumMod val="100000"/>
                              <a:lumOff val="0"/>
                            </a:srgbClr>
                          </a:solidFill>
                          <a:round/>
                        </a:ln>
                      </wps:spPr>
                      <wps:style>
                        <a:lnRef idx="0"/>
                        <a:fillRef idx="0"/>
                        <a:effectRef idx="0"/>
                        <a:fontRef idx="minor"/>
                      </wps:style>
                      <wps:bodyPr/>
                    </wps:wsp>
                  </a:graphicData>
                </a:graphic>
              </wp:anchor>
            </w:drawing>
          </mc:Choice>
          <mc:Fallback>
            <w:pict>
              <v:line id="shape_0" from="-0.05pt,2.3pt" to="424.9pt,2.3pt" ID="Conector reto 2" stroked="t" o:allowincell="f" style="position:absolute;mso-position-horizontal-relative:margin" wp14:anchorId="3510D793">
                <v:stroke color="black" weight="25560" joinstyle="round" endcap="flat"/>
                <v:fill o:detectmouseclick="t" on="false"/>
                <v:shadow on="t" obscured="f" color="black"/>
                <w10:wrap type="none"/>
              </v:line>
            </w:pict>
          </mc:Fallback>
        </mc:AlternateContent>
      </w:r>
    </w:p>
    <w:p>
      <w:pPr>
        <w:pStyle w:val="Normal"/>
        <w:shd w:val="clear" w:color="EEECE1" w:themeColor="background2" w:fill="EEECE1" w:themeFill="background2"/>
        <w:spacing w:lineRule="auto" w:line="276"/>
        <w:jc w:val="center"/>
        <w:rPr>
          <w:rFonts w:ascii="Arial" w:hAnsi="Arial" w:eastAsia="Arial" w:cs="Arial"/>
          <w:b/>
          <w:b/>
          <w:sz w:val="20"/>
          <w:szCs w:val="20"/>
        </w:rPr>
      </w:pPr>
      <w:r>
        <w:rPr>
          <w:rFonts w:eastAsia="Arial" w:cs="Arial" w:ascii="Arial" w:hAnsi="Arial"/>
          <w:b/>
          <w:sz w:val="20"/>
          <w:szCs w:val="20"/>
        </w:rPr>
        <w:t>SUMÁRIO</w:t>
      </w:r>
    </w:p>
    <w:sdt>
      <w:sdtPr>
        <w:docPartObj>
          <w:docPartGallery w:val="Table of Contents"/>
          <w:docPartUnique w:val="true"/>
        </w:docPartObj>
      </w:sdtPr>
      <w:sdtContent>
        <w:p>
          <w:pPr>
            <w:pStyle w:val="Sumrio1"/>
            <w:tabs>
              <w:tab w:val="clear" w:pos="708"/>
              <w:tab w:val="right" w:pos="8494" w:leader="dot"/>
            </w:tabs>
            <w:jc w:val="both"/>
            <w:rPr>
              <w:rFonts w:eastAsia="Arial" w:cs="Arial" w:cstheme="minorBidi" w:eastAsiaTheme="minorEastAsia"/>
              <w:b w:val="false"/>
              <w:b w:val="false"/>
              <w:bCs w:val="false"/>
              <w:caps w:val="false"/>
              <w:smallCaps w:val="false"/>
              <w:kern w:val="2"/>
              <w:sz w:val="24"/>
              <w:szCs w:val="24"/>
              <w14:ligatures w14:val="standardContextual"/>
            </w:rPr>
          </w:pPr>
          <w:r>
            <w:fldChar w:fldCharType="begin"/>
          </w:r>
          <w:r>
            <w:rPr>
              <w:webHidden/>
              <w:rStyle w:val="Vnculodendice"/>
            </w:rPr>
            <w:instrText xml:space="preserve"> TOC \z \o "1-1" \u </w:instrText>
          </w:r>
          <w:r>
            <w:rPr>
              <w:webHidden/>
              <w:rStyle w:val="Vnculodendice"/>
            </w:rPr>
            <w:fldChar w:fldCharType="separate"/>
          </w:r>
          <w:hyperlink w:anchor="_Toc160618861">
            <w:r>
              <w:rPr>
                <w:webHidden/>
                <w:rStyle w:val="Vnculodendice"/>
              </w:rPr>
              <w:t>1. LEVANTAMENTO DE AUDITORIA. POLÍTICA NACIONAL DE DESENVOLVIMENTO URBANO (PNDU) E PROMOÇÃO DE CIDADES INTELIGENTES. IDENTIFICAÇÃO DE RISCOS PARA O ALCANCE DOS OBJETIVOS. DETERMINAÇÃO PARA QUE SE REALIZE ACOMPANHAMENTO. ARQUIVAMENTO.</w:t>
            </w:r>
            <w:r>
              <w:rPr>
                <w:webHidden/>
              </w:rPr>
              <w:fldChar w:fldCharType="begin"/>
            </w:r>
            <w:r>
              <w:rPr>
                <w:webHidden/>
              </w:rPr>
              <w:instrText xml:space="preserve">PAGEREF _Toc160618861 \h</w:instrText>
            </w:r>
            <w:r>
              <w:rPr>
                <w:webHidden/>
              </w:rPr>
              <w:fldChar w:fldCharType="separate"/>
            </w:r>
            <w:r>
              <w:rPr>
                <w:rStyle w:val="Vnculodendice"/>
                <w:vanish w:val="false"/>
              </w:rPr>
              <w:tab/>
              <w:t>2</w:t>
            </w:r>
            <w:r>
              <w:rPr>
                <w:webHidden/>
              </w:rPr>
              <w:fldChar w:fldCharType="end"/>
            </w:r>
          </w:hyperlink>
        </w:p>
        <w:p>
          <w:pPr>
            <w:pStyle w:val="Sumrio1"/>
            <w:tabs>
              <w:tab w:val="clear" w:pos="708"/>
              <w:tab w:val="right" w:pos="8494" w:leader="dot"/>
            </w:tabs>
            <w:jc w:val="both"/>
            <w:rPr>
              <w:rFonts w:eastAsia="Arial" w:cs="Arial" w:cstheme="minorBidi" w:eastAsiaTheme="minorEastAsia"/>
              <w:b w:val="false"/>
              <w:b w:val="false"/>
              <w:bCs w:val="false"/>
              <w:caps w:val="false"/>
              <w:smallCaps w:val="false"/>
              <w:kern w:val="2"/>
              <w:sz w:val="24"/>
              <w:szCs w:val="24"/>
              <w14:ligatures w14:val="standardContextual"/>
            </w:rPr>
          </w:pPr>
          <w:hyperlink w:anchor="_Toc160618862">
            <w:r>
              <w:rPr>
                <w:webHidden/>
                <w:rStyle w:val="Vnculodendice"/>
              </w:rPr>
              <w:t>2. CONSULTA. INSTALAÇÃO DE SISTEMA DE GERAÇÃO DE ENERGIA SOLAR EM MUNICÍPIO. UTILIZAÇÃO DE RECURSOS ORIUNDOS DA CONTRIBUIÇÃO PARA O CUSTEIO DO SERVIÇO DE ILUMINAÇÃO PÚBLICA (COSIP). MELHORIA DO SERVIÇO. POSSIBILIDADE. CONHECIMENTO E RESPOSTA.</w:t>
            </w:r>
            <w:r>
              <w:rPr>
                <w:webHidden/>
              </w:rPr>
              <w:fldChar w:fldCharType="begin"/>
            </w:r>
            <w:r>
              <w:rPr>
                <w:webHidden/>
              </w:rPr>
              <w:instrText xml:space="preserve">PAGEREF _Toc160618862 \h</w:instrText>
            </w:r>
            <w:r>
              <w:rPr>
                <w:webHidden/>
              </w:rPr>
              <w:fldChar w:fldCharType="separate"/>
            </w:r>
            <w:r>
              <w:rPr>
                <w:rStyle w:val="Vnculodendice"/>
                <w:vanish w:val="false"/>
              </w:rPr>
              <w:tab/>
              <w:t>4</w:t>
            </w:r>
            <w:r>
              <w:rPr>
                <w:webHidden/>
              </w:rPr>
              <w:fldChar w:fldCharType="end"/>
            </w:r>
          </w:hyperlink>
        </w:p>
        <w:p>
          <w:pPr>
            <w:pStyle w:val="Sumrio1"/>
            <w:tabs>
              <w:tab w:val="clear" w:pos="708"/>
              <w:tab w:val="right" w:pos="8494" w:leader="dot"/>
            </w:tabs>
            <w:jc w:val="both"/>
            <w:rPr>
              <w:rFonts w:eastAsia="Arial" w:cs="Arial" w:cstheme="minorBidi" w:eastAsiaTheme="minorEastAsia"/>
              <w:b w:val="false"/>
              <w:b w:val="false"/>
              <w:bCs w:val="false"/>
              <w:caps w:val="false"/>
              <w:smallCaps w:val="false"/>
              <w:kern w:val="2"/>
              <w:sz w:val="24"/>
              <w:szCs w:val="24"/>
              <w14:ligatures w14:val="standardContextual"/>
            </w:rPr>
          </w:pPr>
          <w:hyperlink w:anchor="_Toc160618867">
            <w:r>
              <w:rPr>
                <w:webHidden/>
                <w:rStyle w:val="Vnculodendice"/>
              </w:rPr>
              <w:t>3. LICITAÇÃO. QUALIFICAÇÃO TÉCNICA. CADASTRO TÉCNICO FEDERAL DE ATIVIDADES POTENCIALMENTE POLUIDORAS OU UTILIZADORAS DE RECURSOS AMBIENTAIS.</w:t>
            </w:r>
            <w:r>
              <w:rPr>
                <w:webHidden/>
              </w:rPr>
              <w:fldChar w:fldCharType="begin"/>
            </w:r>
            <w:r>
              <w:rPr>
                <w:webHidden/>
              </w:rPr>
              <w:instrText xml:space="preserve">PAGEREF _Toc160618867 \h</w:instrText>
            </w:r>
            <w:r>
              <w:rPr>
                <w:webHidden/>
              </w:rPr>
              <w:fldChar w:fldCharType="separate"/>
            </w:r>
            <w:r>
              <w:rPr>
                <w:rStyle w:val="Vnculodendice"/>
                <w:vanish w:val="false"/>
              </w:rPr>
              <w:tab/>
              <w:t>4</w:t>
            </w:r>
            <w:r>
              <w:rPr>
                <w:webHidden/>
              </w:rPr>
              <w:fldChar w:fldCharType="end"/>
            </w:r>
          </w:hyperlink>
        </w:p>
        <w:p>
          <w:pPr>
            <w:pStyle w:val="Sumrio1"/>
            <w:tabs>
              <w:tab w:val="clear" w:pos="708"/>
              <w:tab w:val="right" w:pos="8494" w:leader="dot"/>
            </w:tabs>
            <w:jc w:val="both"/>
            <w:rPr>
              <w:rFonts w:eastAsia="Arial" w:cs="Arial" w:cstheme="minorBidi" w:eastAsiaTheme="minorEastAsia"/>
              <w:b w:val="false"/>
              <w:b w:val="false"/>
              <w:bCs w:val="false"/>
              <w:caps w:val="false"/>
              <w:smallCaps w:val="false"/>
              <w:kern w:val="2"/>
              <w:sz w:val="24"/>
              <w:szCs w:val="24"/>
              <w14:ligatures w14:val="standardContextual"/>
            </w:rPr>
          </w:pPr>
          <w:hyperlink w:anchor="_Toc160618868">
            <w:r>
              <w:rPr>
                <w:webHidden/>
                <w:rStyle w:val="Vnculodendice"/>
              </w:rPr>
              <w:t>4. AGRAVO REGIMENTAL NO RECURSO ORDINÁRIO EM MANDADO DE SEGURANÇA. CRIME AMBIENTAL. PESSOA JURÍDICA. MANDADO DE SEGURANÇA COMO SUBSTITUTIVO DE HABEAS CORPUS. ATO EMANADO DE TRIBUNAL DE JUSTIÇA. IMPETRAÇÃO NO SUPERIOR TRIBUNAL DE JUSTIÇA. INCOMPETÊNCIA DECLARADA PELA CORTE SUPERIOR. ART. 105, INC. I, AL. “B”, DA CRFB. ROL TAXATIVO.</w:t>
            </w:r>
            <w:r>
              <w:rPr>
                <w:webHidden/>
              </w:rPr>
              <w:fldChar w:fldCharType="begin"/>
            </w:r>
            <w:r>
              <w:rPr>
                <w:webHidden/>
              </w:rPr>
              <w:instrText xml:space="preserve">PAGEREF _Toc160618868 \h</w:instrText>
            </w:r>
            <w:r>
              <w:rPr>
                <w:webHidden/>
              </w:rPr>
              <w:fldChar w:fldCharType="separate"/>
            </w:r>
            <w:r>
              <w:rPr>
                <w:rStyle w:val="Vnculodendice"/>
                <w:vanish w:val="false"/>
              </w:rPr>
              <w:tab/>
              <w:t>5</w:t>
            </w:r>
            <w:r>
              <w:rPr>
                <w:webHidden/>
              </w:rPr>
              <w:fldChar w:fldCharType="end"/>
            </w:r>
          </w:hyperlink>
        </w:p>
        <w:p>
          <w:pPr>
            <w:pStyle w:val="Sumrio1"/>
            <w:tabs>
              <w:tab w:val="clear" w:pos="708"/>
              <w:tab w:val="right" w:pos="8494" w:leader="dot"/>
            </w:tabs>
            <w:jc w:val="both"/>
            <w:rPr>
              <w:rFonts w:eastAsia="Arial" w:cs="Arial" w:cstheme="minorBidi" w:eastAsiaTheme="minorEastAsia"/>
              <w:b w:val="false"/>
              <w:b w:val="false"/>
              <w:bCs w:val="false"/>
              <w:caps w:val="false"/>
              <w:smallCaps w:val="false"/>
              <w:kern w:val="2"/>
              <w:sz w:val="24"/>
              <w:szCs w:val="24"/>
              <w14:ligatures w14:val="standardContextual"/>
            </w:rPr>
          </w:pPr>
          <w:hyperlink w:anchor="_Toc160618871">
            <w:r>
              <w:rPr>
                <w:webHidden/>
                <w:rStyle w:val="Vnculodendice"/>
              </w:rPr>
              <w:t>5. PROCESSUAL CIVIL. ADMINISTRATIVO. RESPONSABILIDADE CIVIL DO ESTADO. CONFLITO DE COMPETÊNCIA. APLICABILIDADE. ART. 52, PARÁGRAFO ÚNICO, DO CÓDIGO DE PROCESSO CIVIL. REGRA DE COMPETÊNCIA. RESTRIÇÃO. COMARCAS DOS LIMITES TERRITORIAIS DO ENTE DEMANDADO JUDICIALMENTE. JUÍZO DE RETRATAÇÃO. ADI N. 5.492/DF. ACÓRDÃO REFORMADO.</w:t>
            </w:r>
            <w:r>
              <w:rPr>
                <w:webHidden/>
              </w:rPr>
              <w:fldChar w:fldCharType="begin"/>
            </w:r>
            <w:r>
              <w:rPr>
                <w:webHidden/>
              </w:rPr>
              <w:instrText xml:space="preserve">PAGEREF _Toc160618871 \h</w:instrText>
            </w:r>
            <w:r>
              <w:rPr>
                <w:webHidden/>
              </w:rPr>
              <w:fldChar w:fldCharType="separate"/>
            </w:r>
            <w:r>
              <w:rPr>
                <w:rStyle w:val="Vnculodendice"/>
                <w:vanish w:val="false"/>
              </w:rPr>
              <w:tab/>
              <w:t>5</w:t>
            </w:r>
            <w:r>
              <w:rPr>
                <w:webHidden/>
              </w:rPr>
              <w:fldChar w:fldCharType="end"/>
            </w:r>
          </w:hyperlink>
          <w:r>
            <w:rPr>
              <w:rStyle w:val="Vnculodendice"/>
              <w:vanish w:val="false"/>
            </w:rPr>
            <w:fldChar w:fldCharType="end"/>
          </w:r>
        </w:p>
      </w:sdtContent>
    </w:sdt>
    <w:p>
      <w:pPr>
        <w:pStyle w:val="Normal"/>
        <w:jc w:val="both"/>
        <w:rPr/>
      </w:pPr>
      <w:r>
        <w:rPr/>
      </w:r>
    </w:p>
    <w:p>
      <w:pPr>
        <w:pStyle w:val="Normal"/>
        <w:shd w:val="clear" w:color="EEECE1" w:themeColor="background2" w:fill="EEECE1" w:themeFill="background2"/>
        <w:jc w:val="center"/>
        <w:rPr>
          <w:rFonts w:ascii="Arial" w:hAnsi="Arial" w:eastAsia="Arial" w:cs="Arial"/>
          <w:b/>
          <w:b/>
          <w:sz w:val="20"/>
          <w:szCs w:val="20"/>
        </w:rPr>
      </w:pPr>
      <w:r>
        <w:rPr>
          <w:rFonts w:eastAsia="Arial" w:cs="Arial" w:ascii="Arial" w:hAnsi="Arial"/>
          <w:b/>
          <w:sz w:val="20"/>
          <w:szCs w:val="20"/>
        </w:rPr>
        <w:t xml:space="preserve">TRIBUNAL DE CONTAS DA UNIÃO </w:t>
      </w:r>
    </w:p>
    <w:p>
      <w:pPr>
        <w:pStyle w:val="Ttulo1"/>
        <w:spacing w:before="120" w:after="120"/>
        <w:ind w:right="-1" w:hanging="0"/>
        <w:rPr/>
      </w:pPr>
      <w:bookmarkStart w:id="0" w:name="_Toc160618861"/>
      <w:r>
        <w:rPr>
          <w:lang w:val="pt-BR"/>
        </w:rPr>
        <w:t xml:space="preserve">1. LEVANTAMENTO DE AUDITORIA. POLÍTICA NACIONAL DE DESENVOLVIMENTO URBANO (PNDU) E PROMOÇÃO DE CIDADES INTELIGENTES. IDENTIFICAÇÃO DE RISCOS PARA O ALCANCE DOS OBJETIVOS. DETERMINAÇÃO PARA QUE SE REALIZE ACOMPANHAMENTO. </w:t>
      </w:r>
      <w:r>
        <w:rPr/>
        <w:t>ARQUIVAMENTO.</w:t>
      </w:r>
      <w:bookmarkEnd w:id="0"/>
      <w:r>
        <w:rPr/>
        <w:t xml:space="preserve"> </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A Constituição Federal de 1988 distribuiu as competências administrativas e legislativas afetas às políticas urbanas da seguinte maneira: a) à União, recai a atribuição de instituir diretrizes para o desenvolvimento urbano (art. 21, inciso XX) ; aos estados, fica a competência de instituir regiões metropolitanas (art. 25, § 3º) ; e c) aos municípios, cabe legislar sobre assuntos de interesse local e promover o adequado ordenamento territorial (art. 30, incisos I e VIII) .</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Aos municípios, compete, portanto, promover as ações imediatas de suporte ao adequado crescimento da cidade, haja vista que cada localidade possui peculiaridades, e é localmente que as prioridades devem ser conhecidas, especialmente considerando as dimensões do território brasileiro e a enorme quantidade de entes federados.</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No arcabouço infraconstitucional, cabe destaque ao </w:t>
      </w:r>
      <w:r>
        <w:rPr>
          <w:rFonts w:eastAsia="Calibri" w:cs="Arial" w:ascii="Arial" w:hAnsi="Arial" w:eastAsiaTheme="minorHAnsi"/>
          <w:b/>
          <w:bCs/>
          <w:sz w:val="20"/>
          <w:szCs w:val="20"/>
          <w:lang w:eastAsia="en-US"/>
        </w:rPr>
        <w:t>Estatuto das Cidades</w:t>
      </w:r>
      <w:r>
        <w:rPr>
          <w:rFonts w:eastAsia="Calibri" w:cs="Arial" w:ascii="Arial" w:hAnsi="Arial" w:eastAsiaTheme="minorHAnsi"/>
          <w:sz w:val="20"/>
          <w:szCs w:val="20"/>
          <w:lang w:eastAsia="en-US"/>
        </w:rPr>
        <w:t> - Lei 10.257/2001 -, que reafirma a função social da cidade e da propriedade e define como diretriz o direito a cidades sustentáveis. O estatuto destaca a elaboração dos </w:t>
      </w:r>
      <w:r>
        <w:rPr>
          <w:rFonts w:eastAsia="Calibri" w:cs="Arial" w:ascii="Arial" w:hAnsi="Arial" w:eastAsiaTheme="minorHAnsi"/>
          <w:b/>
          <w:bCs/>
          <w:sz w:val="20"/>
          <w:szCs w:val="20"/>
          <w:lang w:eastAsia="en-US"/>
        </w:rPr>
        <w:t>planos diretores municipais</w:t>
      </w:r>
      <w:r>
        <w:rPr>
          <w:rFonts w:eastAsia="Calibri" w:cs="Arial" w:ascii="Arial" w:hAnsi="Arial" w:eastAsiaTheme="minorHAnsi"/>
          <w:sz w:val="20"/>
          <w:szCs w:val="20"/>
          <w:lang w:eastAsia="en-US"/>
        </w:rPr>
        <w:t> como o instrumento para o sucesso da política urbana, nos quais deve-se traçar as diretrizes para a elaboração das políticas setoriais de desenvolvimento urbano da habitação, do saneamento básico, da mobilidade urbana e de outros. </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A partir da inclusão da política urbana como capítulo na Constituição Federal e com o advento do Estatuto das Cidades, foi criado, em 2003, o Ministério das Cidades, para a execução das ações da União em apoio a estados e municípios. De 2019 a 2022 a pasta atuou de forma conjunta com o Ministério da Integração Nacional, dando origem ao Ministério do Desenvolvimento Regional. </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Em 2023, houve o retorno ao </w:t>
      </w:r>
      <w:r>
        <w:rPr>
          <w:rFonts w:eastAsia="Calibri" w:cs="Arial" w:ascii="Arial" w:hAnsi="Arial" w:eastAsiaTheme="minorHAnsi"/>
          <w:i/>
          <w:iCs/>
          <w:sz w:val="20"/>
          <w:szCs w:val="20"/>
          <w:lang w:eastAsia="en-US"/>
        </w:rPr>
        <w:t>status</w:t>
      </w:r>
      <w:r>
        <w:rPr>
          <w:rFonts w:eastAsia="Calibri" w:cs="Arial" w:ascii="Arial" w:hAnsi="Arial" w:eastAsiaTheme="minorHAnsi"/>
          <w:sz w:val="20"/>
          <w:szCs w:val="20"/>
          <w:lang w:eastAsia="en-US"/>
        </w:rPr>
        <w:t> de </w:t>
      </w:r>
      <w:r>
        <w:rPr>
          <w:rFonts w:eastAsia="Calibri" w:cs="Arial" w:ascii="Arial" w:hAnsi="Arial" w:eastAsiaTheme="minorHAnsi"/>
          <w:b/>
          <w:bCs/>
          <w:sz w:val="20"/>
          <w:szCs w:val="20"/>
          <w:lang w:eastAsia="en-US"/>
        </w:rPr>
        <w:t>Ministério das Cidades</w:t>
      </w:r>
      <w:r>
        <w:rPr>
          <w:rFonts w:eastAsia="Calibri" w:cs="Arial" w:ascii="Arial" w:hAnsi="Arial" w:eastAsiaTheme="minorHAnsi"/>
          <w:sz w:val="20"/>
          <w:szCs w:val="20"/>
          <w:lang w:eastAsia="en-US"/>
        </w:rPr>
        <w:t>, composto por cinco secretarias finalísticas: de Desenvolvimento Urbano e Metropolitano; de Habitação; de Mobilidade Urbana; de Periferias; e de Saneamento Ambiental.</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A política nacional de desenvolvimento urbano visa ser um guia para as políticas setoriais (de habitação, mobilidade urbana, saneamento básico e outras) , de modo a impedir a criação e a adoção de soluções desconciliadas ou até mesmo antagônicas. A ausência de interação entre esses instrumentos de planejamento contribui para a ocupação irregular do solo, em áreas inviáveis para o recebimento de infraestrutura para o tráfego de veículos e o saneamento básico, além da realização de investimentos de baixa efetividade.</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A concentração populacional, sem a correspondente oferta de infraestrutura física e social, leva parte da população a viver em condições precárias, onde se prolifera a pobreza, o crime organizado e a degradação ambiental.</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Não é difícil concluir que, se as políticas setoriais correrem desconectadas, sem uma visão estruturante de conjunto, os investimentos públicos serão ineficazes para qualificar o território e melhorar as condições de vida de seus cidadãos. Nesse contexto, a PNDU deve ser um instrumento facilitador de convergências de ações no nível local, indutor da eficiência dos investimentos públicos e consequentemente da melhoria da qualidade de vida nas cidades.</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Talvez um dos maiores riscos e de mais difícil tratamento é a baixa governança dos municípios. Há consideráveis diferenças nas capacidades das 5.570 administrações municipais brasileiras em relação a seus recursos financeiros, adoção de instrumentos de planejamento e presença de pessoal qualificado para a execução de políticas públicas:</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i/>
          <w:iCs/>
          <w:sz w:val="20"/>
          <w:szCs w:val="20"/>
          <w:lang w:eastAsia="en-US"/>
        </w:rPr>
        <w:t>"São conhecidas as limitações de gestão e qualificação dos quadros locais da maioria dos municípios brasileiros, sobretudo os mais pobres e com menor IDHM. As dificuldades que isso impõe às tarefas de coordenação institucional, por exemplo, são enormes, uma vez que o desenho e a implementação da PNDU dependem dessas capacidades para se tornarem efetivas. Considerando essas limitações, acreditamos que um dos objetivos da PNDU seja qualificar as equipes locais e fortalecer as burocracias municipais, para poderem participar ativamente da PNDU, e não apenas como executores de uma política instituída verticalmente. Nesse sentido, a alternativa de </w:t>
      </w:r>
      <w:r>
        <w:rPr>
          <w:rFonts w:eastAsia="Calibri" w:cs="Arial" w:ascii="Arial" w:hAnsi="Arial" w:eastAsiaTheme="minorHAnsi"/>
          <w:b/>
          <w:bCs/>
          <w:i/>
          <w:iCs/>
          <w:sz w:val="20"/>
          <w:szCs w:val="20"/>
          <w:lang w:eastAsia="en-US"/>
        </w:rPr>
        <w:t>consórcios públicos para o desenvolvimento de capacidades institucionais no âmbito municipal poderia ser um caminho</w:t>
      </w:r>
      <w:r>
        <w:rPr>
          <w:rFonts w:eastAsia="Calibri" w:cs="Arial" w:ascii="Arial" w:hAnsi="Arial" w:eastAsiaTheme="minorHAnsi"/>
          <w:i/>
          <w:iCs/>
          <w:sz w:val="20"/>
          <w:szCs w:val="20"/>
          <w:lang w:eastAsia="en-US"/>
        </w:rPr>
        <w:t>. Em qualquer caso, tais capacidades não podem ser consideradas um pressuposto da PNDU." (Peça 26, p. 31, destaquei) .</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O território brasileiro é formado por municípios que vão de pequenos vilarejos com poucas centenas de habitantes até grandes metrópoles com milhões de moradores. A divisão de um número tão alto e díspar de entes em grupos com perfis semelhantes é um enorme desafio, mas, ao mesmo tempo, uma necessidade metodológica para permitir a elaboração de propostas direcionadas a cada um desses agrupamentos.</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Dadas essas circunstâncias, há elevada probabilidade de, por melhor que seja o agrupamento final a ser adotado, em alguma medida a PNDU não conseguir abarcar de modo satisfatório toda a gama de situações e diversidade de problemas dos milhares de municípios brasileiros. </w:t>
      </w:r>
    </w:p>
    <w:p>
      <w:pPr>
        <w:pStyle w:val="Normal"/>
        <w:numPr>
          <w:ilvl w:val="1"/>
          <w:numId w:val="1"/>
        </w:numPr>
        <w:tabs>
          <w:tab w:val="clear" w:pos="708"/>
          <w:tab w:val="left" w:pos="1134" w:leader="none"/>
        </w:tabs>
        <w:spacing w:before="0" w:after="120"/>
        <w:jc w:val="both"/>
        <w:rPr>
          <w:rFonts w:ascii="Arial" w:hAnsi="Arial" w:eastAsia="Calibri" w:cs="Arial" w:eastAsiaTheme="minorHAnsi"/>
          <w:sz w:val="20"/>
          <w:szCs w:val="20"/>
          <w:lang w:eastAsia="en-US"/>
        </w:rPr>
      </w:pPr>
      <w:r>
        <w:rPr>
          <w:rFonts w:eastAsia="Calibri" w:cs="Arial" w:ascii="Arial" w:hAnsi="Arial" w:eastAsiaTheme="minorHAnsi"/>
          <w:sz w:val="20"/>
          <w:szCs w:val="20"/>
          <w:lang w:eastAsia="en-US"/>
        </w:rPr>
        <w:t>Deve-se buscar, portanto, que o documento final da política seja robusto o suficiente para orientar soluções para os problemas urbanos mais prementes e de maior impacto na população.</w:t>
      </w:r>
    </w:p>
    <w:p>
      <w:pPr>
        <w:pStyle w:val="Default"/>
        <w:spacing w:before="0" w:after="240"/>
        <w:jc w:val="both"/>
        <w:rPr>
          <w:rFonts w:eastAsia="Arial"/>
          <w:sz w:val="20"/>
          <w:szCs w:val="20"/>
        </w:rPr>
      </w:pPr>
      <w:r>
        <w:rPr>
          <w:rFonts w:eastAsia="Arial"/>
          <w:sz w:val="20"/>
          <w:szCs w:val="20"/>
        </w:rPr>
        <w:t xml:space="preserve">(TCU, 029.481/2022-8, </w:t>
      </w:r>
      <w:hyperlink r:id="rId2">
        <w:r>
          <w:rPr>
            <w:rStyle w:val="LinkdaInternet"/>
            <w:rFonts w:eastAsia="Arial"/>
            <w:sz w:val="20"/>
            <w:szCs w:val="20"/>
          </w:rPr>
          <w:t>Acórdão n.º 256/2024</w:t>
        </w:r>
      </w:hyperlink>
      <w:r>
        <w:rPr>
          <w:rFonts w:eastAsia="Arial"/>
          <w:sz w:val="20"/>
          <w:szCs w:val="20"/>
        </w:rPr>
        <w:t>, Plenário, Rel. Jorge Oliveira, Plenário, julgado em 13/09/2023)</w:t>
      </w:r>
    </w:p>
    <w:p>
      <w:pPr>
        <w:pStyle w:val="Normal"/>
        <w:shd w:val="clear" w:color="EEECE1" w:themeColor="background2" w:fill="EEECE1" w:themeFill="background2"/>
        <w:spacing w:lineRule="auto" w:line="276"/>
        <w:jc w:val="center"/>
        <w:rPr>
          <w:rFonts w:ascii="Arial" w:hAnsi="Arial" w:eastAsia="Arial" w:cs="Arial"/>
          <w:b/>
          <w:b/>
          <w:sz w:val="20"/>
          <w:szCs w:val="20"/>
        </w:rPr>
      </w:pPr>
      <w:r>
        <w:rPr>
          <w:rFonts w:eastAsia="Arial" w:cs="Arial" w:ascii="Arial" w:hAnsi="Arial"/>
          <w:b/>
          <w:sz w:val="20"/>
          <w:szCs w:val="20"/>
        </w:rPr>
        <w:t xml:space="preserve">TRIBUNAL DE CONTAS DO ESTADO DO PARANÁ </w:t>
      </w:r>
    </w:p>
    <w:p>
      <w:pPr>
        <w:pStyle w:val="Ttulo1"/>
        <w:spacing w:before="120" w:after="120"/>
        <w:ind w:right="0" w:hanging="0"/>
        <w:rPr>
          <w:lang w:val="pt-BR"/>
        </w:rPr>
      </w:pPr>
      <w:bookmarkStart w:id="1" w:name="_Toc160618862"/>
      <w:r>
        <w:rPr>
          <w:lang w:val="pt-BR"/>
        </w:rPr>
        <w:t xml:space="preserve">2. </w:t>
      </w:r>
      <w:bookmarkStart w:id="2" w:name="_Toc156301771"/>
      <w:r>
        <w:rPr>
          <w:lang w:val="pt-BR"/>
        </w:rPr>
        <w:t>CONSULTA. INSTALAÇÃO DE SISTEMA DE GERAÇÃO DE ENERGIA SOLAR EM MUNICÍPIO. UTILIZAÇÃO DE RECURSOS ORIUNDOS DA CONTRIBUIÇÃO PARA O CUSTEIO DO SERVIÇO DE ILUMINAÇÃO PÚBLICA (COSIP). MELHORIA DO SERVIÇO. POSSIBILIDADE. CONHECIMENTO E RESPOSTA.</w:t>
      </w:r>
      <w:bookmarkEnd w:id="1"/>
      <w:r>
        <w:rPr>
          <w:lang w:val="pt-BR"/>
        </w:rPr>
        <w:t xml:space="preserve"> </w:t>
      </w:r>
    </w:p>
    <w:p>
      <w:pPr>
        <w:pStyle w:val="Ttulo1"/>
        <w:spacing w:before="120" w:after="120"/>
        <w:ind w:right="-1" w:hanging="0"/>
        <w:rPr>
          <w:b w:val="false"/>
          <w:b w:val="false"/>
          <w:bCs w:val="false"/>
          <w:lang w:val="pt-BR"/>
        </w:rPr>
      </w:pPr>
      <w:bookmarkStart w:id="3" w:name="_Toc156301773"/>
      <w:bookmarkStart w:id="4" w:name="_Toc160618863"/>
      <w:bookmarkStart w:id="5" w:name="_Toc160617706"/>
      <w:bookmarkEnd w:id="2"/>
      <w:r>
        <w:rPr>
          <w:b w:val="false"/>
          <w:bCs w:val="false"/>
          <w:lang w:val="pt-BR"/>
        </w:rPr>
        <w:t>(...)</w:t>
      </w:r>
      <w:bookmarkEnd w:id="4"/>
      <w:bookmarkEnd w:id="5"/>
    </w:p>
    <w:p>
      <w:pPr>
        <w:pStyle w:val="Ttulo1"/>
        <w:spacing w:before="120" w:after="120"/>
        <w:ind w:right="-1" w:hanging="0"/>
        <w:rPr>
          <w:b w:val="false"/>
          <w:b w:val="false"/>
          <w:bCs w:val="false"/>
          <w:lang w:val="pt-BR"/>
        </w:rPr>
      </w:pPr>
      <w:bookmarkStart w:id="6" w:name="_Toc156301773"/>
      <w:bookmarkStart w:id="7" w:name="_Toc160618864"/>
      <w:bookmarkStart w:id="8" w:name="_Toc160617707"/>
      <w:r>
        <w:rPr>
          <w:b w:val="false"/>
          <w:bCs w:val="false"/>
          <w:lang w:val="pt-BR"/>
        </w:rPr>
        <w:t>Os sistemas de geração de energia elétrica a partir da captação de energia solar (fotovoltaica) são passíveis de financiamento por meio dos recursos oriundos da arrecadação da Contribuição para o Custeio do Serviço de Iluminação Pública (Cosip), desde que autorizado pela legislação municipal.</w:t>
      </w:r>
      <w:bookmarkEnd w:id="6"/>
      <w:bookmarkEnd w:id="7"/>
      <w:bookmarkEnd w:id="8"/>
    </w:p>
    <w:p>
      <w:pPr>
        <w:pStyle w:val="Ttulo1"/>
        <w:spacing w:before="120" w:after="120"/>
        <w:ind w:right="0" w:hanging="0"/>
        <w:rPr>
          <w:rFonts w:eastAsia="Arial" w:cs="Arial"/>
          <w:b w:val="false"/>
          <w:b w:val="false"/>
          <w:bCs w:val="false"/>
          <w:szCs w:val="20"/>
          <w:lang w:val="pt-BR"/>
        </w:rPr>
      </w:pPr>
      <w:bookmarkStart w:id="9" w:name="OLE_LINK1"/>
      <w:bookmarkStart w:id="10" w:name="_Toc156301775"/>
      <w:bookmarkStart w:id="11" w:name="_Toc160618865"/>
      <w:bookmarkStart w:id="12" w:name="_Toc160617708"/>
      <w:r>
        <w:rPr>
          <w:rFonts w:eastAsia="Arial" w:cs="Arial"/>
          <w:b w:val="false"/>
          <w:bCs w:val="false"/>
          <w:szCs w:val="20"/>
          <w:lang w:val="pt-BR"/>
        </w:rPr>
        <w:t>(...)</w:t>
      </w:r>
      <w:bookmarkEnd w:id="11"/>
      <w:bookmarkEnd w:id="12"/>
    </w:p>
    <w:p>
      <w:pPr>
        <w:pStyle w:val="Ttulo1"/>
        <w:spacing w:before="120" w:after="240"/>
        <w:ind w:right="0" w:hanging="0"/>
        <w:rPr>
          <w:rFonts w:eastAsia="Arial" w:cs="Arial"/>
          <w:b w:val="false"/>
          <w:b w:val="false"/>
          <w:bCs w:val="false"/>
          <w:lang w:val="pt-BR"/>
        </w:rPr>
      </w:pPr>
      <w:bookmarkStart w:id="13" w:name="_Toc160618866"/>
      <w:bookmarkStart w:id="14" w:name="_Toc160617709"/>
      <w:r>
        <w:rPr>
          <w:rFonts w:eastAsia="Arial" w:cs="Arial"/>
          <w:b w:val="false"/>
          <w:bCs w:val="false"/>
          <w:szCs w:val="20"/>
          <w:lang w:val="pt-BR"/>
        </w:rPr>
        <w:t xml:space="preserve">(TCE-PR, Processo n.º </w:t>
      </w:r>
      <w:r>
        <w:rPr>
          <w:rFonts w:eastAsia="Arial" w:cs="Arial"/>
          <w:b w:val="false"/>
          <w:bCs w:val="false"/>
          <w:lang w:val="pt-BR"/>
        </w:rPr>
        <w:t xml:space="preserve">748237/22. </w:t>
      </w:r>
      <w:hyperlink r:id="rId3">
        <w:r>
          <w:rPr>
            <w:rStyle w:val="LinkdaInternet"/>
            <w:rFonts w:eastAsia="Arial" w:cs="Arial"/>
            <w:b w:val="false"/>
            <w:bCs w:val="false"/>
            <w:lang w:val="pt-BR"/>
          </w:rPr>
          <w:t>Acórdão n.º 329/24</w:t>
        </w:r>
      </w:hyperlink>
      <w:r>
        <w:rPr>
          <w:rFonts w:eastAsia="Arial" w:cs="Arial"/>
          <w:b w:val="false"/>
          <w:bCs w:val="false"/>
          <w:szCs w:val="20"/>
          <w:lang w:val="pt-BR"/>
        </w:rPr>
        <w:t xml:space="preserve">, Tribunal Pleno, Rel. </w:t>
      </w:r>
      <w:r>
        <w:rPr>
          <w:rFonts w:cs="Arial"/>
          <w:b w:val="false"/>
          <w:bCs w:val="false"/>
          <w:szCs w:val="20"/>
          <w:lang w:val="pt-BR"/>
        </w:rPr>
        <w:t>Ivan Lelis Bonilha, julgado em 21/2/2024 e veiculado em 26/2/2024</w:t>
      </w:r>
      <w:r>
        <w:rPr>
          <w:rFonts w:eastAsia="Arial" w:cs="Arial"/>
          <w:b w:val="false"/>
          <w:bCs w:val="false"/>
          <w:lang w:val="pt-BR"/>
        </w:rPr>
        <w:t>)</w:t>
      </w:r>
      <w:bookmarkEnd w:id="9"/>
      <w:bookmarkEnd w:id="10"/>
      <w:bookmarkEnd w:id="13"/>
      <w:bookmarkEnd w:id="14"/>
    </w:p>
    <w:p>
      <w:pPr>
        <w:pStyle w:val="Normal"/>
        <w:shd w:val="clear" w:color="EEECE1" w:themeColor="background2" w:fill="EEECE1" w:themeFill="background2"/>
        <w:spacing w:lineRule="auto" w:line="276"/>
        <w:jc w:val="center"/>
        <w:rPr>
          <w:rFonts w:ascii="Arial" w:hAnsi="Arial" w:eastAsia="Arial" w:cs="Arial"/>
          <w:b/>
          <w:b/>
          <w:sz w:val="20"/>
          <w:szCs w:val="20"/>
        </w:rPr>
      </w:pPr>
      <w:r>
        <w:rPr>
          <w:rFonts w:eastAsia="Arial" w:cs="Arial" w:ascii="Arial" w:hAnsi="Arial"/>
          <w:b/>
          <w:sz w:val="20"/>
          <w:szCs w:val="20"/>
        </w:rPr>
        <w:t>TRIBUNAL DE CONTAS DO ESTADO DO ESPÍRITO SANTO</w:t>
      </w:r>
    </w:p>
    <w:p>
      <w:pPr>
        <w:pStyle w:val="Ttulo1"/>
        <w:spacing w:before="120" w:after="0"/>
        <w:ind w:right="-1" w:hanging="0"/>
        <w:rPr>
          <w:lang w:val="pt-BR"/>
        </w:rPr>
      </w:pPr>
      <w:bookmarkStart w:id="15" w:name="_Toc160618867"/>
      <w:r>
        <w:rPr>
          <w:lang w:val="pt-BR"/>
        </w:rPr>
        <w:t>3. LICITAÇÃO. QUALIFICAÇÃO TÉCNICA. CADASTRO TÉCNICO FEDERAL DE ATIVIDADES POTENCIALMENTE POLUIDORAS OU UTILIZADORAS DE RECURSOS AMBIENTAIS.</w:t>
      </w:r>
      <w:bookmarkEnd w:id="15"/>
    </w:p>
    <w:p>
      <w:pPr>
        <w:pStyle w:val="Normal"/>
        <w:spacing w:before="120" w:after="240"/>
        <w:jc w:val="both"/>
        <w:rPr>
          <w:rFonts w:ascii="Arial" w:hAnsi="Arial" w:eastAsia="Arial" w:cs="Arial"/>
          <w:bCs/>
          <w:sz w:val="20"/>
        </w:rPr>
      </w:pPr>
      <w:r>
        <w:rPr>
          <w:rFonts w:eastAsia="Arial" w:cs="Arial" w:ascii="Arial" w:hAnsi="Arial"/>
          <w:bCs/>
          <w:sz w:val="20"/>
        </w:rPr>
        <w:t>Tratam os autos de REPRESENTAÇÃO COM PEDIDO DE CONCESSÃO DE MEDIDA CAUTELAR, (...), em face da Prefeitura do Município de Serra, alegando irregularidades no Edital de Concorrência Pública nº 016/2023 (Processo Administrativo nº 53.672/2021), objetivando a contratação de empresa de engenharia especializada na prestação de serviços continuados de manutenção de áreas verdes, (...).</w:t>
      </w:r>
    </w:p>
    <w:p>
      <w:pPr>
        <w:pStyle w:val="Normal"/>
        <w:jc w:val="both"/>
        <w:rPr>
          <w:rFonts w:ascii="Arial" w:hAnsi="Arial" w:eastAsia="Arial" w:cs="Arial"/>
          <w:bCs/>
          <w:sz w:val="20"/>
        </w:rPr>
      </w:pPr>
      <w:r>
        <w:rPr>
          <w:rFonts w:eastAsia="Arial" w:cs="Arial" w:ascii="Arial" w:hAnsi="Arial"/>
          <w:bCs/>
          <w:sz w:val="20"/>
        </w:rPr>
        <w:t xml:space="preserve">(...) 2.4 CADASTRO TÉCNICO FEDERAL DE ATIVIDADES POTENCIALMENTE POLUIDORAS UTILIZADORAS DE RECURSOS </w:t>
      </w:r>
      <w:r>
        <w:rPr>
          <w:rFonts w:eastAsia="Arial" w:cs="Arial" w:ascii="Arial" w:hAnsi="Arial"/>
          <w:b/>
          <w:bCs/>
          <w:sz w:val="20"/>
        </w:rPr>
        <w:t>AMBIENTAIS</w:t>
      </w:r>
      <w:r>
        <w:rPr>
          <w:rFonts w:eastAsia="Arial" w:cs="Arial" w:ascii="Arial" w:hAnsi="Arial"/>
          <w:bCs/>
          <w:sz w:val="20"/>
        </w:rPr>
        <w:t xml:space="preserve"> (CTF/APP)</w:t>
      </w:r>
    </w:p>
    <w:p>
      <w:pPr>
        <w:pStyle w:val="Normal"/>
        <w:jc w:val="both"/>
        <w:rPr>
          <w:rFonts w:ascii="Arial" w:hAnsi="Arial" w:eastAsia="Arial" w:cs="Arial"/>
          <w:bCs/>
          <w:sz w:val="20"/>
        </w:rPr>
      </w:pPr>
      <w:r>
        <w:rPr>
          <w:rFonts w:eastAsia="Arial" w:cs="Arial" w:ascii="Arial" w:hAnsi="Arial"/>
          <w:bCs/>
          <w:sz w:val="20"/>
        </w:rPr>
        <w:t>(...) De fato, encontra-se previsto no item 12.9.4 do edital da Concorrência Pública 16/2023 a exigência de CTF/APP, em seu trecho referente à qualificação técnica dos licitantes: (...).</w:t>
      </w:r>
    </w:p>
    <w:p>
      <w:pPr>
        <w:pStyle w:val="Normal"/>
        <w:jc w:val="both"/>
        <w:rPr>
          <w:rFonts w:ascii="Arial" w:hAnsi="Arial" w:eastAsia="Arial" w:cs="Arial"/>
          <w:bCs/>
          <w:sz w:val="20"/>
        </w:rPr>
      </w:pPr>
      <w:r>
        <w:rPr>
          <w:rFonts w:eastAsia="Arial" w:cs="Arial" w:ascii="Arial" w:hAnsi="Arial"/>
          <w:bCs/>
          <w:sz w:val="20"/>
        </w:rPr>
        <w:t xml:space="preserve">(...) De todo modo, conforme as justificativas apresentadas pelos agentes notificados, tal exigência encontra amparo na Instrução Normativa 13/2021 do Instituto Brasileiro do </w:t>
      </w:r>
      <w:r>
        <w:rPr>
          <w:rFonts w:eastAsia="Arial" w:cs="Arial" w:ascii="Arial" w:hAnsi="Arial"/>
          <w:b/>
          <w:bCs/>
          <w:sz w:val="20"/>
        </w:rPr>
        <w:t>Meio</w:t>
      </w:r>
      <w:r>
        <w:rPr>
          <w:rFonts w:eastAsia="Arial" w:cs="Arial" w:ascii="Arial" w:hAnsi="Arial"/>
          <w:bCs/>
          <w:sz w:val="20"/>
        </w:rPr>
        <w:t xml:space="preserve"> </w:t>
      </w:r>
      <w:r>
        <w:rPr>
          <w:rFonts w:eastAsia="Arial" w:cs="Arial" w:ascii="Arial" w:hAnsi="Arial"/>
          <w:b/>
          <w:bCs/>
          <w:sz w:val="20"/>
        </w:rPr>
        <w:t>Ambiente</w:t>
      </w:r>
      <w:r>
        <w:rPr>
          <w:rFonts w:eastAsia="Arial" w:cs="Arial" w:ascii="Arial" w:hAnsi="Arial"/>
          <w:bCs/>
          <w:sz w:val="20"/>
        </w:rPr>
        <w:t xml:space="preserve"> e dos Recursos Naturais Renováveis: (...).</w:t>
      </w:r>
    </w:p>
    <w:p>
      <w:pPr>
        <w:pStyle w:val="Normal"/>
        <w:jc w:val="both"/>
        <w:rPr>
          <w:rFonts w:ascii="Arial" w:hAnsi="Arial" w:eastAsia="Arial" w:cs="Arial"/>
          <w:bCs/>
          <w:sz w:val="20"/>
        </w:rPr>
      </w:pPr>
      <w:r>
        <w:rPr>
          <w:rFonts w:eastAsia="Arial" w:cs="Arial" w:ascii="Arial" w:hAnsi="Arial"/>
          <w:bCs/>
          <w:sz w:val="20"/>
        </w:rPr>
        <w:t>(...) Sendo assim, verificamos que a irregularidade narrada na inicial não possui plausibilidade jurídica.</w:t>
      </w:r>
    </w:p>
    <w:p>
      <w:pPr>
        <w:pStyle w:val="Normal"/>
        <w:spacing w:before="120" w:after="240"/>
        <w:jc w:val="both"/>
        <w:rPr>
          <w:rFonts w:ascii="Arial" w:hAnsi="Arial" w:eastAsia="Arial" w:cs="Arial"/>
          <w:sz w:val="20"/>
        </w:rPr>
      </w:pPr>
      <w:r>
        <w:rPr>
          <w:rFonts w:eastAsia="Arial" w:cs="Arial" w:ascii="Arial" w:hAnsi="Arial"/>
          <w:sz w:val="20"/>
          <w:szCs w:val="20"/>
        </w:rPr>
        <w:t xml:space="preserve">(TCE-ES, </w:t>
      </w:r>
      <w:hyperlink r:id="rId4">
        <w:r>
          <w:rPr>
            <w:rStyle w:val="LinkdaInternet"/>
            <w:rFonts w:eastAsia="Arial" w:cs="Arial" w:ascii="Arial" w:hAnsi="Arial"/>
            <w:sz w:val="20"/>
          </w:rPr>
          <w:t>Acórdão n.º 00840/2023-7</w:t>
        </w:r>
      </w:hyperlink>
      <w:r>
        <w:rPr>
          <w:rFonts w:eastAsia="Arial" w:cs="Arial" w:ascii="Arial" w:hAnsi="Arial"/>
          <w:sz w:val="20"/>
        </w:rPr>
        <w:t xml:space="preserve">, </w:t>
      </w:r>
      <w:r>
        <w:rPr>
          <w:rFonts w:eastAsia="Arial" w:cs="Arial" w:ascii="Arial" w:hAnsi="Arial"/>
          <w:sz w:val="20"/>
          <w:szCs w:val="20"/>
        </w:rPr>
        <w:t>Rel. Luiz Carlos Ciciliotti</w:t>
      </w:r>
      <w:r>
        <w:rPr>
          <w:rFonts w:eastAsia="Arial" w:cs="Arial" w:ascii="Arial" w:hAnsi="Arial"/>
          <w:sz w:val="20"/>
        </w:rPr>
        <w:t>, julgado em 21/9/2023)</w:t>
      </w:r>
    </w:p>
    <w:p>
      <w:pPr>
        <w:pStyle w:val="Normal"/>
        <w:shd w:val="clear" w:color="EEECE1" w:themeColor="background2" w:fill="EEECE1" w:themeFill="background2"/>
        <w:spacing w:lineRule="auto" w:line="276"/>
        <w:jc w:val="center"/>
        <w:rPr>
          <w:rFonts w:ascii="Arial" w:hAnsi="Arial" w:eastAsia="Arial" w:cs="Arial"/>
          <w:b/>
          <w:b/>
          <w:sz w:val="20"/>
          <w:szCs w:val="20"/>
        </w:rPr>
      </w:pPr>
      <w:r>
        <w:rPr>
          <w:rFonts w:eastAsia="Arial" w:cs="Arial" w:ascii="Arial" w:hAnsi="Arial"/>
          <w:b/>
          <w:sz w:val="20"/>
          <w:szCs w:val="20"/>
        </w:rPr>
        <w:t>SUPREMO TRIBUNAL FEDERAL</w:t>
      </w:r>
    </w:p>
    <w:p>
      <w:pPr>
        <w:pStyle w:val="Normal"/>
        <w:spacing w:before="120" w:after="120"/>
        <w:jc w:val="both"/>
        <w:rPr>
          <w:rStyle w:val="Ttulo1Char"/>
          <w:lang w:val="pt-BR"/>
        </w:rPr>
      </w:pPr>
      <w:bookmarkStart w:id="16" w:name="_Toc160618868"/>
      <w:r>
        <w:rPr>
          <w:rStyle w:val="Ttulo1Char"/>
          <w:lang w:val="pt-BR"/>
        </w:rPr>
        <w:t xml:space="preserve">4. </w:t>
      </w:r>
      <w:bookmarkStart w:id="17" w:name="_Toc156301778"/>
      <w:r>
        <w:rPr>
          <w:rStyle w:val="Ttulo1Char"/>
          <w:lang w:val="pt-BR"/>
        </w:rPr>
        <w:t>AGRAVO REGIMENTAL NO RECURSO ORDINÁRIO EM MANDADO DE SEGURANÇA. CRIME AMBIENTAL. PESSOA JURÍDICA. MANDADO DE SEGURANÇA COMO SUBSTITUTIVO DE HABEAS CORPUS. ATO EMANADO DE TRIBUNAL DE JUSTIÇA. IMPETRAÇÃO NO SUPERIOR TRIBUNAL DE JUSTIÇA. INCOMPETÊNCIA DECLARADA PELA CORTE SUPERIOR. ART. 105, INC. I, AL. “B”, DA CRFB. ROL TAXATIVO.</w:t>
      </w:r>
      <w:bookmarkEnd w:id="16"/>
    </w:p>
    <w:p>
      <w:pPr>
        <w:pStyle w:val="Normal"/>
        <w:spacing w:before="120" w:after="120"/>
        <w:jc w:val="both"/>
        <w:rPr>
          <w:rStyle w:val="Ttulo1Char"/>
          <w:b w:val="false"/>
          <w:b w:val="false"/>
          <w:bCs w:val="false"/>
          <w:lang w:val="pt-BR"/>
        </w:rPr>
      </w:pPr>
      <w:bookmarkStart w:id="18" w:name="_Toc160618869"/>
      <w:bookmarkStart w:id="19" w:name="_Toc160617712"/>
      <w:r>
        <w:rPr>
          <w:rStyle w:val="Ttulo1Char"/>
          <w:b w:val="false"/>
          <w:bCs w:val="false"/>
          <w:lang w:val="pt-BR"/>
        </w:rPr>
        <w:t>1. O Superior Tribunal de Justiça declarou-se absolutamente incompetente para processar e julgar mandado de segurança impetrado naquela Corte contra ato da 1ª Câmara Criminal do Tribunal de Justiça do Estado de Mato Grosso do Sul, pelo qual mantida a responsabilização da pessoa jurídica ora agravante por crime ambiental. 2. Não podendo a pessoa jurídica lançar mão do habeas corpus, instrumento processual destinado à tutela da liberdade de locomoção, o remédio constitucional subsidiariamente cabível para fazer cessar lesão ou ameaça de lesão a direito por parte do Poder Público, inclusive em sede de ação penal por crime ambiental, é o mandado de segurança. 3. As hipóteses de impetração do mandado de segurança no âmbito do Superior Tribunal de Justiça estão definidas, numerus clausus, no art. 105, inc. I, al. “b” da CRFB, não sendo aquela Corte competente para julgar mandado de segurança impetrado contra atos emanados de outros tribunais. Precedentes. 4. O direito da pessoa jurídica à impetração de mandado de segurança como substitutivo do habeas corpus não dispensa a observância das regras de repartição de competência jurisdicional constitucionalmente fixadas. 5. Agravo regimental ao qual se nega provimento, mantendo-se a decisão de não provimento do recurso ordinário em mandado de segurança.</w:t>
      </w:r>
      <w:bookmarkStart w:id="20" w:name="_Toc160618870"/>
      <w:bookmarkStart w:id="21" w:name="_Toc160617713"/>
      <w:bookmarkEnd w:id="17"/>
      <w:bookmarkEnd w:id="18"/>
      <w:bookmarkEnd w:id="19"/>
      <w:bookmarkEnd w:id="20"/>
      <w:bookmarkEnd w:id="21"/>
    </w:p>
    <w:p>
      <w:pPr>
        <w:pStyle w:val="Normal"/>
        <w:spacing w:before="0" w:after="240"/>
        <w:jc w:val="both"/>
        <w:rPr>
          <w:rFonts w:ascii="Arial" w:hAnsi="Arial" w:eastAsia="Arial" w:cs="Arial"/>
          <w:color w:val="000000"/>
          <w:sz w:val="20"/>
          <w:szCs w:val="20"/>
        </w:rPr>
      </w:pPr>
      <w:r>
        <w:rPr>
          <w:rFonts w:eastAsia="Arial" w:cs="Arial" w:ascii="Arial" w:hAnsi="Arial"/>
          <w:color w:val="000000"/>
          <w:sz w:val="20"/>
          <w:szCs w:val="20"/>
        </w:rPr>
        <w:t xml:space="preserve">(STF, </w:t>
      </w:r>
      <w:hyperlink r:id="rId5">
        <w:r>
          <w:rPr>
            <w:rStyle w:val="LinkdaInternet"/>
            <w:rFonts w:eastAsia="Arial" w:cs="Arial" w:ascii="Arial" w:hAnsi="Arial"/>
            <w:sz w:val="20"/>
            <w:szCs w:val="20"/>
          </w:rPr>
          <w:t>RMS 39028</w:t>
        </w:r>
      </w:hyperlink>
      <w:r>
        <w:rPr>
          <w:rFonts w:eastAsia="Arial" w:cs="Arial" w:ascii="Arial" w:hAnsi="Arial"/>
          <w:color w:val="000000"/>
          <w:sz w:val="20"/>
          <w:szCs w:val="20"/>
        </w:rPr>
        <w:t>, relator Min. André Mendonça, Segunda Turma, julgado em 21/11/2023, veiculado em 5/12/2023 e publicado em 6/12/2023)</w:t>
      </w:r>
    </w:p>
    <w:p>
      <w:pPr>
        <w:pStyle w:val="Normal"/>
        <w:shd w:val="clear" w:color="EEECE1" w:themeColor="background2" w:fill="EEECE1" w:themeFill="background2"/>
        <w:spacing w:lineRule="auto" w:line="276"/>
        <w:jc w:val="center"/>
        <w:rPr>
          <w:rFonts w:ascii="Arial" w:hAnsi="Arial" w:eastAsia="Arial" w:cs="Arial"/>
          <w:b/>
          <w:b/>
          <w:sz w:val="20"/>
        </w:rPr>
      </w:pPr>
      <w:r>
        <w:rPr>
          <w:rFonts w:eastAsia="Arial" w:cs="Arial" w:ascii="Arial" w:hAnsi="Arial"/>
          <w:b/>
          <w:sz w:val="20"/>
          <w:szCs w:val="20"/>
        </w:rPr>
        <w:t>SUPERIOR TRIBUNAL DE JUSTIÇA</w:t>
      </w:r>
    </w:p>
    <w:p>
      <w:pPr>
        <w:pStyle w:val="Ttulo1"/>
        <w:spacing w:before="120" w:after="120"/>
        <w:ind w:right="-1" w:hanging="0"/>
        <w:rPr>
          <w:lang w:val="pt-BR"/>
        </w:rPr>
      </w:pPr>
      <w:bookmarkStart w:id="22" w:name="_Toc160618871"/>
      <w:bookmarkStart w:id="23" w:name="_Toc156301779"/>
      <w:r>
        <w:rPr>
          <w:lang w:val="pt-BR"/>
        </w:rPr>
        <w:t xml:space="preserve">5. </w:t>
      </w:r>
      <w:bookmarkStart w:id="24" w:name="_Toc156301780"/>
      <w:bookmarkEnd w:id="23"/>
      <w:r>
        <w:rPr>
          <w:lang w:val="pt-BR"/>
        </w:rPr>
        <w:t>PROCESSUAL CIVIL. ADMINISTRATIVO. RESPONSABILIDADE CIVIL DO ESTADO. CONFLITO DE COMPETÊNCIA. APLICABILIDADE. ART. 52, PARÁGRAFO ÚNICO, DO CÓDIGO DE PROCESSO CIVIL. REGRA DE COMPETÊNCIA. RESTRIÇÃO. COMARCAS DOS LIMITES TERRITORIAIS DO ENTE DEMANDADO JUDICIALMENTE. JUÍZO DE RETRATAÇÃO. ADI N. 5.492/DF. ACÓRDÃO REFORMADO.</w:t>
      </w:r>
      <w:bookmarkEnd w:id="22"/>
    </w:p>
    <w:p>
      <w:pPr>
        <w:pStyle w:val="Ttulo1"/>
        <w:ind w:right="0" w:hanging="0"/>
        <w:rPr>
          <w:b w:val="false"/>
          <w:b w:val="false"/>
          <w:bCs w:val="false"/>
          <w:lang w:val="pt-BR"/>
        </w:rPr>
      </w:pPr>
      <w:bookmarkStart w:id="25" w:name="_Toc160618872"/>
      <w:bookmarkStart w:id="26" w:name="_Toc160617715"/>
      <w:r>
        <w:rPr>
          <w:b w:val="false"/>
          <w:bCs w:val="false"/>
          <w:lang w:val="pt-BR"/>
        </w:rPr>
        <w:t>I - Consoante o decidido pelo Plenário desta Corte na sessão realizada em 09.03.2016, o regime recursal será determinado pela data da publicação do provimento jurisdicional impugnado. In casu, aplica-se o Código de Processo Civil de 2015.</w:t>
      </w:r>
      <w:bookmarkEnd w:id="25"/>
      <w:bookmarkEnd w:id="26"/>
    </w:p>
    <w:p>
      <w:pPr>
        <w:pStyle w:val="Ttulo1"/>
        <w:ind w:right="0" w:hanging="0"/>
        <w:rPr>
          <w:b w:val="false"/>
          <w:b w:val="false"/>
          <w:bCs w:val="false"/>
          <w:lang w:val="pt-BR"/>
        </w:rPr>
      </w:pPr>
      <w:bookmarkStart w:id="27" w:name="_Toc160618873"/>
      <w:bookmarkStart w:id="28" w:name="_Toc160617716"/>
      <w:r>
        <w:rPr>
          <w:b w:val="false"/>
          <w:bCs w:val="false"/>
          <w:lang w:val="pt-BR"/>
        </w:rPr>
        <w:t>II - Trata-se de Ação de Indenização por Danos Morais proposta por Lucia Helena Rodrigues Barbosa em face do Estado do Espirito Santo e do Hospital e Maternidade Antônio Bezerra de Faria no foro de seu domicílio, a Comarca de Campos do Goytacazes/RJ. Por entender que um Estado da Federação não pode julgar atos praticados por outro, o Juízo da 1ª Vara Cível da Comarca de Campos dos Goytacazes/RJ declinou da competência.</w:t>
      </w:r>
      <w:bookmarkEnd w:id="27"/>
      <w:bookmarkEnd w:id="28"/>
    </w:p>
    <w:p>
      <w:pPr>
        <w:pStyle w:val="Ttulo1"/>
        <w:ind w:right="0" w:hanging="0"/>
        <w:rPr>
          <w:b w:val="false"/>
          <w:b w:val="false"/>
          <w:bCs w:val="false"/>
          <w:lang w:val="pt-BR"/>
        </w:rPr>
      </w:pPr>
      <w:bookmarkStart w:id="29" w:name="_Toc160618874"/>
      <w:bookmarkStart w:id="30" w:name="_Toc160617717"/>
      <w:r>
        <w:rPr>
          <w:b w:val="false"/>
          <w:bCs w:val="false"/>
          <w:lang w:val="pt-BR"/>
        </w:rPr>
        <w:t>III - Em sede de controle concentrado de constitucionalidade, o Supremo Tribunal Federal decidiu pela inconstitucionalidade do art. 52, parágrafo único, do Código de Processo Civil que autorizava os Estados e o Distrito Federal a responder ações judicias em qualquer comarca do país. A partir desse julgado, é necessário restringir a regra de competência às comarcas dos limites territoriais do ente demandado judicialmente.</w:t>
      </w:r>
      <w:bookmarkEnd w:id="29"/>
      <w:bookmarkEnd w:id="30"/>
    </w:p>
    <w:p>
      <w:pPr>
        <w:pStyle w:val="Ttulo1"/>
        <w:ind w:right="0" w:hanging="0"/>
        <w:rPr>
          <w:b w:val="false"/>
          <w:b w:val="false"/>
          <w:bCs w:val="false"/>
          <w:lang w:val="pt-BR"/>
        </w:rPr>
      </w:pPr>
      <w:bookmarkStart w:id="31" w:name="_Toc160618875"/>
      <w:bookmarkStart w:id="32" w:name="_Toc160617718"/>
      <w:r>
        <w:rPr>
          <w:b w:val="false"/>
          <w:bCs w:val="false"/>
          <w:lang w:val="pt-BR"/>
        </w:rPr>
        <w:t>IV - Juízo de retratação acolhido. Conflito de competência conhecido, para aplicação de tese fixada, declarando competente o juízo suscitante, o Juízo de Direito da Vara da Fazenda Pública Estadual, Registros Públicos e Meio Ambiente de Vila Velha/ES.</w:t>
      </w:r>
      <w:bookmarkEnd w:id="24"/>
      <w:bookmarkEnd w:id="31"/>
      <w:bookmarkEnd w:id="32"/>
    </w:p>
    <w:p>
      <w:pPr>
        <w:pStyle w:val="Default"/>
        <w:spacing w:before="120" w:after="240"/>
        <w:jc w:val="both"/>
        <w:rPr>
          <w:rFonts w:eastAsia="Arial"/>
          <w:sz w:val="20"/>
          <w:szCs w:val="20"/>
        </w:rPr>
      </w:pPr>
      <w:r>
        <w:rPr>
          <w:rFonts w:eastAsia="Arial"/>
          <w:sz w:val="20"/>
          <w:szCs w:val="20"/>
        </w:rPr>
        <w:t xml:space="preserve">(STJ, </w:t>
      </w:r>
      <w:hyperlink r:id="rId6">
        <w:r>
          <w:rPr>
            <w:rStyle w:val="LinkdaInternet"/>
            <w:rFonts w:eastAsia="Arial"/>
            <w:sz w:val="20"/>
            <w:szCs w:val="20"/>
          </w:rPr>
          <w:t>AgInt no CONFLITO DE COMPETÊNCIA n.º 165.119/ES</w:t>
        </w:r>
      </w:hyperlink>
      <w:r>
        <w:rPr>
          <w:rFonts w:eastAsia="Arial"/>
          <w:sz w:val="20"/>
          <w:szCs w:val="20"/>
        </w:rPr>
        <w:t>, relator Min. Regina Helena Costa, Primeira Seção, julgado em 28/2/2024, Dje 1/3/2024)</w:t>
      </w:r>
    </w:p>
    <w:p>
      <w:pPr>
        <w:pStyle w:val="Default"/>
        <w:spacing w:lineRule="auto" w:line="276"/>
        <w:jc w:val="center"/>
        <w:rPr>
          <w:rStyle w:val="LinkdaInternet"/>
          <w:sz w:val="20"/>
          <w:szCs w:val="20"/>
        </w:rPr>
      </w:pPr>
      <w:hyperlink r:id="rId7" w:tgtFrame="http://www1.tce.pr.gov.br/conteudo/pesquisas-prontas/308475/area/249">
        <w:r>
          <w:rPr>
            <w:rStyle w:val="LinkdaInternet"/>
            <w:b/>
            <w:sz w:val="20"/>
            <w:szCs w:val="20"/>
          </w:rPr>
          <w:t>Pesquisas Prontas</w:t>
        </w:r>
      </w:hyperlink>
    </w:p>
    <w:p>
      <w:pPr>
        <w:pStyle w:val="Default"/>
        <w:spacing w:lineRule="auto" w:line="276"/>
        <w:jc w:val="center"/>
        <w:rPr>
          <w:rStyle w:val="LinkdaInternet"/>
          <w:b/>
          <w:b/>
          <w:sz w:val="20"/>
          <w:szCs w:val="20"/>
        </w:rPr>
      </w:pPr>
      <w:r>
        <w:rPr>
          <w:b/>
          <w:sz w:val="20"/>
          <w:szCs w:val="20"/>
        </w:rPr>
      </w:r>
    </w:p>
    <w:p>
      <w:pPr>
        <w:pStyle w:val="Default"/>
        <w:spacing w:lineRule="auto" w:line="276"/>
        <w:jc w:val="center"/>
        <w:rPr>
          <w:rStyle w:val="LinkdaInternet"/>
          <w:b/>
          <w:b/>
          <w:sz w:val="20"/>
          <w:szCs w:val="20"/>
        </w:rPr>
      </w:pPr>
      <w:hyperlink r:id="rId8" w:tgtFrame="http://www1.tce.pr.gov.br/conteudo/boletim-informativo-de-jurisprudencia/280400/area/249">
        <w:r>
          <w:rPr>
            <w:rStyle w:val="LinkdaInternet"/>
            <w:b/>
            <w:sz w:val="20"/>
            <w:szCs w:val="20"/>
          </w:rPr>
          <w:t>Boletim Informativo de Jurisprudência</w:t>
        </w:r>
      </w:hyperlink>
    </w:p>
    <w:p>
      <w:pPr>
        <w:pStyle w:val="Default"/>
        <w:spacing w:lineRule="auto" w:line="276"/>
        <w:jc w:val="center"/>
        <w:rPr>
          <w:rStyle w:val="LinkdaInternet"/>
          <w:b/>
          <w:b/>
          <w:sz w:val="20"/>
          <w:szCs w:val="20"/>
        </w:rPr>
      </w:pPr>
      <w:r>
        <w:rPr>
          <w:b/>
          <w:sz w:val="20"/>
          <w:szCs w:val="20"/>
        </w:rPr>
      </w:r>
    </w:p>
    <w:p>
      <w:pPr>
        <w:pStyle w:val="Default"/>
        <w:spacing w:lineRule="auto" w:line="276"/>
        <w:jc w:val="center"/>
        <w:rPr>
          <w:sz w:val="20"/>
          <w:szCs w:val="20"/>
        </w:rPr>
      </w:pPr>
      <w:hyperlink r:id="rId9" w:tgtFrame="http://www1.tce.pr.gov.br/conteudo/boletim-de-jurisprudencia-internacional/316601/area/249">
        <w:r>
          <w:rPr>
            <w:rStyle w:val="LinkdaInternet"/>
            <w:b/>
            <w:sz w:val="20"/>
            <w:szCs w:val="20"/>
          </w:rPr>
          <w:t>Interjuris</w:t>
        </w:r>
      </w:hyperlink>
    </w:p>
    <w:p>
      <w:pPr>
        <w:pStyle w:val="Default"/>
        <w:spacing w:lineRule="auto" w:line="276"/>
        <w:jc w:val="center"/>
        <w:rPr>
          <w:sz w:val="20"/>
          <w:szCs w:val="20"/>
        </w:rPr>
      </w:pPr>
      <w:r>
        <w:rPr>
          <w:sz w:val="20"/>
          <w:szCs w:val="20"/>
        </w:rPr>
      </w:r>
    </w:p>
    <w:p>
      <w:pPr>
        <w:pStyle w:val="Default"/>
        <w:spacing w:lineRule="auto" w:line="276"/>
        <w:jc w:val="center"/>
        <w:rPr>
          <w:rStyle w:val="LinkdaInternet"/>
          <w:b/>
          <w:b/>
          <w:sz w:val="20"/>
          <w:szCs w:val="20"/>
        </w:rPr>
      </w:pPr>
      <w:hyperlink r:id="rId10" w:tgtFrame="http://www1.tce.pr.gov.br/conteudo/repercussao-geral-no-stf-e-os-tribunais-de-contas/307026/area/249">
        <w:r>
          <w:rPr>
            <w:rStyle w:val="LinkdaInternet"/>
            <w:b/>
            <w:sz w:val="20"/>
            <w:szCs w:val="20"/>
          </w:rPr>
          <w:t>Repercussão Geral do Supremo Tribunal Federal - STF e os Tribunais de Contas</w:t>
        </w:r>
      </w:hyperlink>
    </w:p>
    <w:p>
      <w:pPr>
        <w:pStyle w:val="Default"/>
        <w:spacing w:lineRule="auto" w:line="276"/>
        <w:jc w:val="center"/>
        <w:rPr>
          <w:rStyle w:val="LinkdaInternet"/>
          <w:b/>
          <w:b/>
          <w:sz w:val="20"/>
          <w:szCs w:val="20"/>
        </w:rPr>
      </w:pPr>
      <w:r>
        <w:rPr>
          <w:b/>
          <w:sz w:val="20"/>
          <w:szCs w:val="20"/>
        </w:rPr>
      </w:r>
    </w:p>
    <w:p>
      <w:pPr>
        <w:pStyle w:val="Default"/>
        <w:spacing w:lineRule="auto" w:line="276"/>
        <w:jc w:val="center"/>
        <w:rPr>
          <w:rStyle w:val="LinkdaInternet"/>
          <w:b/>
          <w:b/>
          <w:sz w:val="20"/>
          <w:szCs w:val="20"/>
        </w:rPr>
      </w:pPr>
      <w:hyperlink r:id="rId11" w:tgtFrame="http://www1.tce.pr.gov.br/conteudo/sumulas-selecionadas/316602/area/249">
        <w:r>
          <w:rPr>
            <w:rStyle w:val="LinkdaInternet"/>
            <w:b/>
            <w:sz w:val="20"/>
            <w:szCs w:val="20"/>
          </w:rPr>
          <w:t>Súmulas Selecionadas</w:t>
        </w:r>
      </w:hyperlink>
    </w:p>
    <w:p>
      <w:pPr>
        <w:pStyle w:val="TCUEpgrafe"/>
        <w:spacing w:lineRule="auto" w:line="276"/>
        <w:ind w:left="0" w:hanging="0"/>
        <w:rPr>
          <w:rFonts w:ascii="Arial" w:hAnsi="Arial" w:cs="Arial"/>
          <w:sz w:val="20"/>
        </w:rPr>
      </w:pPr>
      <w:r>
        <w:rPr>
          <w:rFonts w:cs="Arial" w:ascii="Arial" w:hAnsi="Arial"/>
          <w:sz w:val="20"/>
        </w:rPr>
        <mc:AlternateContent>
          <mc:Choice Requires="wps">
            <w:drawing>
              <wp:anchor behindDoc="0" distT="0" distB="38100" distL="0" distR="6350" simplePos="0" locked="0" layoutInCell="0" allowOverlap="1" relativeHeight="18" wp14:anchorId="47CDA93D">
                <wp:simplePos x="0" y="0"/>
                <wp:positionH relativeFrom="margin">
                  <wp:posOffset>-18415</wp:posOffset>
                </wp:positionH>
                <wp:positionV relativeFrom="paragraph">
                  <wp:posOffset>117475</wp:posOffset>
                </wp:positionV>
                <wp:extent cx="5518150" cy="0"/>
                <wp:effectExtent l="12700" t="13335" r="12700" b="33655"/>
                <wp:wrapNone/>
                <wp:docPr id="2" name="Conector reto 1"/>
                <a:graphic xmlns:a="http://schemas.openxmlformats.org/drawingml/2006/main">
                  <a:graphicData uri="http://schemas.microsoft.com/office/word/2010/wordprocessingShape">
                    <wps:wsp>
                      <wps:cNvSpPr/>
                      <wps:spPr>
                        <a:xfrm>
                          <a:off x="0" y="0"/>
                          <a:ext cx="5518080" cy="0"/>
                        </a:xfrm>
                        <a:prstGeom prst="line">
                          <a:avLst/>
                        </a:prstGeom>
                        <a:ln w="25400">
                          <a:solidFill>
                            <a:srgbClr val="000000">
                              <a:lumMod val="100000"/>
                              <a:lumOff val="0"/>
                            </a:srgbClr>
                          </a:solidFill>
                          <a:round/>
                        </a:ln>
                      </wps:spPr>
                      <wps:style>
                        <a:lnRef idx="0"/>
                        <a:fillRef idx="0"/>
                        <a:effectRef idx="0"/>
                        <a:fontRef idx="minor"/>
                      </wps:style>
                      <wps:bodyPr/>
                    </wps:wsp>
                  </a:graphicData>
                </a:graphic>
              </wp:anchor>
            </w:drawing>
          </mc:Choice>
          <mc:Fallback>
            <w:pict>
              <v:line id="shape_0" from="-1.45pt,9.25pt" to="433pt,9.25pt" ID="Conector reto 1" stroked="t" o:allowincell="f" style="position:absolute;mso-position-horizontal-relative:margin" wp14:anchorId="47CDA93D">
                <v:stroke color="black" weight="25560" joinstyle="round" endcap="flat"/>
                <v:fill o:detectmouseclick="t" on="false"/>
                <v:shadow on="t" obscured="f" color="black"/>
                <w10:wrap type="none"/>
              </v:line>
            </w:pict>
          </mc:Fallback>
        </mc:AlternateContent>
      </w:r>
    </w:p>
    <w:p>
      <w:pPr>
        <w:pStyle w:val="Normal"/>
        <w:jc w:val="center"/>
        <w:rPr>
          <w:rStyle w:val="LinkdaInternet"/>
          <w:rFonts w:ascii="Arial" w:hAnsi="Arial" w:cs="Arial"/>
          <w:i/>
          <w:i/>
          <w:color w:val="000000"/>
          <w:sz w:val="20"/>
          <w:szCs w:val="20"/>
          <w:u w:val="none"/>
        </w:rPr>
      </w:pPr>
      <w:r>
        <w:rPr>
          <w:rFonts w:cs="Arial" w:ascii="Arial" w:hAnsi="Arial"/>
          <w:i/>
          <w:color w:val="000000"/>
          <w:sz w:val="20"/>
          <w:szCs w:val="20"/>
          <w:u w:val="none"/>
        </w:rPr>
      </w:r>
    </w:p>
    <w:p>
      <w:pPr>
        <w:pStyle w:val="Normal"/>
        <w:jc w:val="center"/>
        <w:rPr>
          <w:rFonts w:ascii="Arial" w:hAnsi="Arial" w:cs="Arial"/>
          <w:b/>
          <w:b/>
          <w:sz w:val="20"/>
          <w:szCs w:val="20"/>
        </w:rPr>
      </w:pPr>
      <w:r>
        <w:rPr>
          <w:rStyle w:val="LinkdaInternet"/>
          <w:rFonts w:cs="Arial" w:ascii="Arial" w:hAnsi="Arial"/>
          <w:i/>
          <w:color w:val="000000" w:themeColor="text1"/>
          <w:sz w:val="20"/>
          <w:szCs w:val="20"/>
          <w:u w:val="none"/>
        </w:rPr>
        <w:t>Elaboração: Escola de Gestão Pública - Jurisprudência</w:t>
      </w:r>
    </w:p>
    <w:sectPr>
      <w:headerReference w:type="default" r:id="rId12"/>
      <w:footerReference w:type="default" r:id="rId13"/>
      <w:type w:val="nextPage"/>
      <w:pgSz w:w="11906" w:h="16838"/>
      <w:pgMar w:left="1701" w:right="1701" w:gutter="0" w:header="708"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Arial Narrow">
    <w:charset w:val="00"/>
    <w:family w:val="roman"/>
    <w:pitch w:val="variable"/>
  </w:font>
  <w:font w:name="Courier New">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sz w:val="16"/>
        <w:szCs w:val="16"/>
      </w:rPr>
    </w:pPr>
    <w:r>
      <w:rPr/>
      <w:drawing>
        <wp:inline distT="0" distB="0" distL="0" distR="0">
          <wp:extent cx="462915" cy="231775"/>
          <wp:effectExtent l="0" t="0" r="0" b="0"/>
          <wp:docPr id="5"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4" descr="Resultado de imagem para EGP TCE"/>
                  <pic:cNvPicPr>
                    <a:picLocks noChangeAspect="1" noChangeArrowheads="1"/>
                  </pic:cNvPicPr>
                </pic:nvPicPr>
                <pic:blipFill>
                  <a:blip r:embed="rId1"/>
                  <a:stretch>
                    <a:fillRect/>
                  </a:stretch>
                </pic:blipFill>
                <pic:spPr bwMode="auto">
                  <a:xfrm>
                    <a:off x="0" y="0"/>
                    <a:ext cx="462915" cy="231775"/>
                  </a:xfrm>
                  <a:prstGeom prst="rect">
                    <a:avLst/>
                  </a:prstGeom>
                </pic:spPr>
              </pic:pic>
            </a:graphicData>
          </a:graphic>
        </wp:inline>
      </w:drawing>
    </w:r>
  </w:p>
  <w:p>
    <w:pPr>
      <w:pStyle w:val="Rodap"/>
      <w:jc w:val="center"/>
      <w:rPr>
        <w:sz w:val="16"/>
        <w:szCs w:val="16"/>
      </w:rPr>
    </w:pPr>
    <w:r>
      <w:rPr/>
      <w:fldChar w:fldCharType="begin"/>
    </w:r>
    <w:r>
      <w:rPr/>
      <w:instrText xml:space="preserve"> PAGE </w:instrText>
    </w:r>
    <w:r>
      <w:rPr/>
      <w:fldChar w:fldCharType="separate"/>
    </w:r>
    <w:r>
      <w:rPr/>
      <w:t>5</w:t>
    </w:r>
    <w:r>
      <w:rPr/>
      <w:fldChar w:fldCharType="end"/>
    </w:r>
  </w:p>
  <w:p>
    <w:pPr>
      <w:pStyle w:val="Normal"/>
      <w:rPr/>
    </w:pPr>
    <w:r>
      <w:rPr/>
    </w:r>
  </w:p>
  <w:p>
    <w:pPr>
      <w:pStyle w:val="Normal"/>
      <w:rPr/>
    </w:pPr>
    <w:r>
      <w:rPr/>
    </w:r>
  </w:p>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spacing w:before="0" w:afterAutospacing="1"/>
      <w:jc w:val="center"/>
      <w:rPr>
        <w:b/>
        <w:b/>
      </w:rPr>
    </w:pPr>
    <w:r>
      <w:rPr>
        <w:b/>
      </w:rPr>
    </w:r>
  </w:p>
  <w:p>
    <w:pPr>
      <w:pStyle w:val="Cabealho"/>
      <w:spacing w:before="0" w:afterAutospacing="1"/>
      <w:jc w:val="center"/>
      <w:rPr>
        <w:b/>
        <w:b/>
      </w:rPr>
    </w:pPr>
    <w:r>
      <w:rPr/>
      <w:drawing>
        <wp:inline distT="0" distB="0" distL="0" distR="0">
          <wp:extent cx="4073525" cy="873125"/>
          <wp:effectExtent l="0" t="0" r="0" b="0"/>
          <wp:docPr id="3"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52" descr="Resultado de imagem para EGP TCE"/>
                  <pic:cNvPicPr>
                    <a:picLocks noChangeAspect="1" noChangeArrowheads="1"/>
                  </pic:cNvPicPr>
                </pic:nvPicPr>
                <pic:blipFill>
                  <a:blip r:embed="rId1"/>
                  <a:stretch>
                    <a:fillRect/>
                  </a:stretch>
                </pic:blipFill>
                <pic:spPr bwMode="auto">
                  <a:xfrm>
                    <a:off x="0" y="0"/>
                    <a:ext cx="4073525" cy="873125"/>
                  </a:xfrm>
                  <a:prstGeom prst="rect">
                    <a:avLst/>
                  </a:prstGeom>
                </pic:spPr>
              </pic:pic>
            </a:graphicData>
          </a:graphic>
        </wp:inline>
      </w:drawing>
    </w:r>
    <w:r>
      <w:rPr/>
      <w:drawing>
        <wp:inline distT="0" distB="0" distL="0" distR="0">
          <wp:extent cx="1245870" cy="779780"/>
          <wp:effectExtent l="0" t="0" r="0" b="0"/>
          <wp:docPr id="4" name="Imagem 2" descr="C:\Users\tc518280\AppData\Local\Microsoft\Windows\INetCache\Content.Word\Logo-Teses-Ambientais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2" descr="C:\Users\tc518280\AppData\Local\Microsoft\Windows\INetCache\Content.Word\Logo-Teses-Ambientais_2.png"/>
                  <pic:cNvPicPr>
                    <a:picLocks noChangeAspect="1" noChangeArrowheads="1"/>
                  </pic:cNvPicPr>
                </pic:nvPicPr>
                <pic:blipFill>
                  <a:blip r:embed="rId2"/>
                  <a:stretch>
                    <a:fillRect/>
                  </a:stretch>
                </pic:blipFill>
                <pic:spPr bwMode="auto">
                  <a:xfrm>
                    <a:off x="0" y="0"/>
                    <a:ext cx="1245870" cy="77978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5d69"/>
    <w:pPr>
      <w:widowControl/>
      <w:bidi w:val="0"/>
      <w:spacing w:lineRule="auto" w:line="240" w:before="0" w:after="0"/>
      <w:jc w:val="left"/>
    </w:pPr>
    <w:rPr>
      <w:rFonts w:ascii="Times New Roman" w:hAnsi="Times New Roman" w:eastAsia="Times New Roman" w:cs="Times New Roman"/>
      <w:color w:val="auto"/>
      <w:kern w:val="0"/>
      <w:sz w:val="24"/>
      <w:szCs w:val="24"/>
      <w:lang w:eastAsia="pt-BR" w:val="pt-BR" w:bidi="ar-SA"/>
    </w:rPr>
  </w:style>
  <w:style w:type="paragraph" w:styleId="Ttulo1">
    <w:name w:val="Heading 1"/>
    <w:basedOn w:val="Normal"/>
    <w:link w:val="Ttulo1Char"/>
    <w:uiPriority w:val="1"/>
    <w:qFormat/>
    <w:rsid w:val="004b01e8"/>
    <w:pPr>
      <w:widowControl w:val="false"/>
      <w:ind w:right="3120" w:hanging="0"/>
      <w:jc w:val="both"/>
      <w:outlineLvl w:val="0"/>
    </w:pPr>
    <w:rPr>
      <w:rFonts w:ascii="Arial" w:hAnsi="Arial" w:eastAsia="Calibri" w:cs="Calibri"/>
      <w:b/>
      <w:bCs/>
      <w:color w:val="000000" w:themeColor="text1"/>
      <w:sz w:val="20"/>
      <w:szCs w:val="40"/>
      <w:lang w:val="en-US" w:eastAsia="en-US"/>
    </w:rPr>
  </w:style>
  <w:style w:type="paragraph" w:styleId="Ttulo2">
    <w:name w:val="Heading 2"/>
    <w:basedOn w:val="Normal"/>
    <w:link w:val="Ttulo2Char"/>
    <w:uiPriority w:val="1"/>
    <w:qFormat/>
    <w:pPr>
      <w:widowControl w:val="false"/>
      <w:spacing w:before="1" w:after="0"/>
      <w:ind w:left="1824" w:right="322" w:hanging="0"/>
      <w:outlineLvl w:val="1"/>
    </w:pPr>
    <w:rPr>
      <w:rFonts w:ascii="Calibri" w:hAnsi="Calibri" w:eastAsia="Calibri" w:cs="Calibri"/>
      <w:b/>
      <w:bCs/>
      <w:sz w:val="32"/>
      <w:szCs w:val="32"/>
      <w:lang w:val="en-US" w:eastAsia="en-US"/>
    </w:rPr>
  </w:style>
  <w:style w:type="paragraph" w:styleId="Ttulo3">
    <w:name w:val="Heading 3"/>
    <w:basedOn w:val="Normal"/>
    <w:next w:val="Normal"/>
    <w:link w:val="Ttulo3Char"/>
    <w:uiPriority w:val="9"/>
    <w:semiHidden/>
    <w:unhideWhenUsed/>
    <w:qFormat/>
    <w:pPr>
      <w:keepNext w:val="true"/>
      <w:keepLines/>
      <w:spacing w:lineRule="auto" w:line="276" w:before="40" w:after="0"/>
      <w:outlineLvl w:val="2"/>
    </w:pPr>
    <w:rPr>
      <w:rFonts w:ascii="Cambria" w:hAnsi="Cambria" w:eastAsia="Arial" w:cs="Arial" w:asciiTheme="majorHAnsi" w:cstheme="majorBidi" w:eastAsiaTheme="majorEastAsia" w:hAnsiTheme="majorHAnsi"/>
      <w:color w:val="243F60" w:themeColor="accent1" w:themeShade="7f"/>
      <w:lang w:eastAsia="en-US"/>
    </w:rPr>
  </w:style>
  <w:style w:type="paragraph" w:styleId="Ttulo4">
    <w:name w:val="Heading 4"/>
    <w:basedOn w:val="Normal"/>
    <w:next w:val="Normal"/>
    <w:link w:val="Ttulo4Char"/>
    <w:uiPriority w:val="9"/>
    <w:semiHidden/>
    <w:unhideWhenUsed/>
    <w:qFormat/>
    <w:pPr>
      <w:keepNext w:val="true"/>
      <w:keepLines/>
      <w:spacing w:lineRule="auto" w:line="276" w:before="40" w:after="0"/>
      <w:outlineLvl w:val="3"/>
    </w:pPr>
    <w:rPr>
      <w:rFonts w:ascii="Cambria" w:hAnsi="Cambria" w:eastAsia="Arial" w:cs="Arial" w:asciiTheme="majorHAnsi" w:cstheme="majorBidi" w:eastAsiaTheme="majorEastAsia" w:hAnsiTheme="majorHAns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val="true"/>
      <w:keepLines/>
      <w:spacing w:before="320" w:after="200"/>
      <w:outlineLvl w:val="4"/>
    </w:pPr>
    <w:rPr>
      <w:rFonts w:ascii="Arial" w:hAnsi="Arial" w:eastAsia="Arial" w:cs="Arial"/>
      <w:b/>
      <w:bCs/>
    </w:rPr>
  </w:style>
  <w:style w:type="paragraph" w:styleId="Ttulo6">
    <w:name w:val="Heading 6"/>
    <w:basedOn w:val="Normal"/>
    <w:next w:val="Normal"/>
    <w:link w:val="Ttulo6Char"/>
    <w:uiPriority w:val="9"/>
    <w:unhideWhenUsed/>
    <w:qFormat/>
    <w:pPr>
      <w:keepNext w:val="true"/>
      <w:keepLines/>
      <w:spacing w:before="320" w:after="200"/>
      <w:outlineLvl w:val="5"/>
    </w:pPr>
    <w:rPr>
      <w:rFonts w:ascii="Arial" w:hAnsi="Arial" w:eastAsia="Arial" w:cs="Arial"/>
      <w:b/>
      <w:bCs/>
      <w:sz w:val="22"/>
      <w:szCs w:val="22"/>
    </w:rPr>
  </w:style>
  <w:style w:type="paragraph" w:styleId="Ttulo7">
    <w:name w:val="Heading 7"/>
    <w:basedOn w:val="Normal"/>
    <w:next w:val="Normal"/>
    <w:link w:val="Ttulo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Ttulo8">
    <w:name w:val="Heading 8"/>
    <w:basedOn w:val="Normal"/>
    <w:next w:val="Normal"/>
    <w:link w:val="Ttulo8Char"/>
    <w:uiPriority w:val="9"/>
    <w:unhideWhenUsed/>
    <w:qFormat/>
    <w:pPr>
      <w:keepNext w:val="true"/>
      <w:keepLines/>
      <w:spacing w:before="320" w:after="200"/>
      <w:outlineLvl w:val="7"/>
    </w:pPr>
    <w:rPr>
      <w:rFonts w:ascii="Arial" w:hAnsi="Arial" w:eastAsia="Arial" w:cs="Arial"/>
      <w:i/>
      <w:iCs/>
      <w:sz w:val="22"/>
      <w:szCs w:val="22"/>
    </w:rPr>
  </w:style>
  <w:style w:type="paragraph" w:styleId="Ttulo9">
    <w:name w:val="Heading 9"/>
    <w:basedOn w:val="Normal"/>
    <w:next w:val="Normal"/>
    <w:link w:val="Ttulo9Char"/>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Ttulo5Char" w:customStyle="1">
    <w:name w:val="Título 5 Char"/>
    <w:basedOn w:val="DefaultParagraphFont"/>
    <w:uiPriority w:val="9"/>
    <w:qFormat/>
    <w:rPr>
      <w:rFonts w:ascii="Arial" w:hAnsi="Arial" w:eastAsia="Arial" w:cs="Arial"/>
      <w:b/>
      <w:bCs/>
      <w:sz w:val="24"/>
      <w:szCs w:val="24"/>
    </w:rPr>
  </w:style>
  <w:style w:type="character" w:styleId="Ttulo6Char" w:customStyle="1">
    <w:name w:val="Título 6 Char"/>
    <w:basedOn w:val="DefaultParagraphFont"/>
    <w:uiPriority w:val="9"/>
    <w:qFormat/>
    <w:rPr>
      <w:rFonts w:ascii="Arial" w:hAnsi="Arial" w:eastAsia="Arial" w:cs="Arial"/>
      <w:b/>
      <w:bCs/>
      <w:sz w:val="22"/>
      <w:szCs w:val="22"/>
    </w:rPr>
  </w:style>
  <w:style w:type="character" w:styleId="Ttulo7Char" w:customStyle="1">
    <w:name w:val="Título 7 Char"/>
    <w:basedOn w:val="DefaultParagraphFont"/>
    <w:uiPriority w:val="9"/>
    <w:qFormat/>
    <w:rPr>
      <w:rFonts w:ascii="Arial" w:hAnsi="Arial" w:eastAsia="Arial" w:cs="Arial"/>
      <w:b/>
      <w:bCs/>
      <w:i/>
      <w:iCs/>
      <w:sz w:val="22"/>
      <w:szCs w:val="22"/>
    </w:rPr>
  </w:style>
  <w:style w:type="character" w:styleId="Ttulo8Char" w:customStyle="1">
    <w:name w:val="Título 8 Char"/>
    <w:basedOn w:val="DefaultParagraphFont"/>
    <w:uiPriority w:val="9"/>
    <w:qFormat/>
    <w:rPr>
      <w:rFonts w:ascii="Arial" w:hAnsi="Arial" w:eastAsia="Arial" w:cs="Arial"/>
      <w:i/>
      <w:iCs/>
      <w:sz w:val="22"/>
      <w:szCs w:val="22"/>
    </w:rPr>
  </w:style>
  <w:style w:type="character" w:styleId="Ttulo9Char" w:customStyle="1">
    <w:name w:val="Título 9 Char"/>
    <w:basedOn w:val="DefaultParagraphFont"/>
    <w:uiPriority w:val="9"/>
    <w:qFormat/>
    <w:rPr>
      <w:rFonts w:ascii="Arial" w:hAnsi="Arial" w:eastAsia="Arial" w:cs="Arial"/>
      <w:i/>
      <w:iCs/>
      <w:sz w:val="21"/>
      <w:szCs w:val="21"/>
    </w:rPr>
  </w:style>
  <w:style w:type="character" w:styleId="TtuloChar" w:customStyle="1">
    <w:name w:val="Título Char"/>
    <w:basedOn w:val="DefaultParagraphFont"/>
    <w:uiPriority w:val="10"/>
    <w:qFormat/>
    <w:rPr>
      <w:sz w:val="48"/>
      <w:szCs w:val="48"/>
    </w:rPr>
  </w:style>
  <w:style w:type="character" w:styleId="SubttuloChar" w:customStyle="1">
    <w:name w:val="Subtítulo Char"/>
    <w:basedOn w:val="DefaultParagraphFont"/>
    <w:uiPriority w:val="11"/>
    <w:qFormat/>
    <w:rPr>
      <w:sz w:val="24"/>
      <w:szCs w:val="24"/>
    </w:rPr>
  </w:style>
  <w:style w:type="character" w:styleId="CitaoChar" w:customStyle="1">
    <w:name w:val="Citação Char"/>
    <w:link w:val="Quote"/>
    <w:uiPriority w:val="29"/>
    <w:qFormat/>
    <w:rPr>
      <w:i/>
    </w:rPr>
  </w:style>
  <w:style w:type="character" w:styleId="CitaoIntensaChar" w:customStyle="1">
    <w:name w:val="Citação Intensa Char"/>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TextodenotadefimChar" w:customStyle="1">
    <w:name w:val="Texto de nota de fim Char"/>
    <w:uiPriority w:val="99"/>
    <w:qFormat/>
    <w:rPr>
      <w:sz w:val="20"/>
    </w:rPr>
  </w:style>
  <w:style w:type="character" w:styleId="Ncoradanotadefim">
    <w:name w:val="Âncora da nota de fim"/>
    <w:rPr>
      <w:vertAlign w:val="superscript"/>
    </w:rPr>
  </w:style>
  <w:style w:type="character" w:styleId="EndnoteCharacters">
    <w:name w:val="Endnote Characters"/>
    <w:basedOn w:val="DefaultParagraphFont"/>
    <w:uiPriority w:val="99"/>
    <w:semiHidden/>
    <w:unhideWhenUsed/>
    <w:qFormat/>
    <w:rPr>
      <w:vertAlign w:val="superscript"/>
    </w:rPr>
  </w:style>
  <w:style w:type="character" w:styleId="LinkdaInternet">
    <w:name w:val="Link da Internet"/>
    <w:basedOn w:val="DefaultParagraphFont"/>
    <w:uiPriority w:val="99"/>
    <w:unhideWhenUsed/>
    <w:rPr>
      <w:color w:val="0000FF"/>
      <w:u w:val="single"/>
    </w:rPr>
  </w:style>
  <w:style w:type="character" w:styleId="TextodenotaderodapChar" w:customStyle="1">
    <w:name w:val="Texto de nota de rodapé Char"/>
    <w:basedOn w:val="DefaultParagraphFont"/>
    <w:qFormat/>
    <w:rPr>
      <w:rFonts w:ascii="Times New Roman" w:hAnsi="Times New Roman" w:eastAsia="Times New Roman" w:cs="Times New Roman"/>
      <w:sz w:val="20"/>
      <w:szCs w:val="20"/>
      <w:lang w:eastAsia="pt-BR"/>
    </w:rPr>
  </w:style>
  <w:style w:type="character" w:styleId="Ncoradanotaderodap">
    <w:name w:val="Âncora da nota de rodapé"/>
    <w:rPr>
      <w:vertAlign w:val="superscript"/>
    </w:rPr>
  </w:style>
  <w:style w:type="character" w:styleId="FootnoteCharacters">
    <w:name w:val="Footnote Characters"/>
    <w:qFormat/>
    <w:rPr>
      <w:vertAlign w:val="superscript"/>
    </w:rPr>
  </w:style>
  <w:style w:type="character" w:styleId="Linkdainternetvisitado">
    <w:name w:val="Link da internet visitado"/>
    <w:basedOn w:val="DefaultParagraphFont"/>
    <w:uiPriority w:val="99"/>
    <w:semiHidden/>
    <w:unhideWhenUsed/>
    <w:rPr>
      <w:color w:val="800080" w:themeColor="followedHyperlink"/>
      <w:u w:val="single"/>
    </w:rPr>
  </w:style>
  <w:style w:type="character" w:styleId="TextodebaloChar" w:customStyle="1">
    <w:name w:val="Texto de balão Char"/>
    <w:basedOn w:val="DefaultParagraphFont"/>
    <w:link w:val="BalloonText"/>
    <w:uiPriority w:val="99"/>
    <w:semiHidden/>
    <w:qFormat/>
    <w:rPr>
      <w:rFonts w:ascii="Tahoma" w:hAnsi="Tahoma" w:cs="Tahoma"/>
      <w:sz w:val="16"/>
      <w:szCs w:val="16"/>
    </w:rPr>
  </w:style>
  <w:style w:type="character" w:styleId="CorpodetextoChar" w:customStyle="1">
    <w:name w:val="Corpo de texto Char"/>
    <w:basedOn w:val="DefaultParagraphFont"/>
    <w:uiPriority w:val="1"/>
    <w:qFormat/>
    <w:rPr>
      <w:rFonts w:ascii="Arial Narrow" w:hAnsi="Arial Narrow" w:eastAsia="Arial Narrow" w:cs="Arial Narrow"/>
      <w:sz w:val="26"/>
      <w:szCs w:val="26"/>
      <w:lang w:val="en-US"/>
    </w:rPr>
  </w:style>
  <w:style w:type="character" w:styleId="Ttulo1Char" w:customStyle="1">
    <w:name w:val="Título 1 Char"/>
    <w:basedOn w:val="DefaultParagraphFont"/>
    <w:uiPriority w:val="1"/>
    <w:qFormat/>
    <w:rsid w:val="004b01e8"/>
    <w:rPr>
      <w:rFonts w:ascii="Arial" w:hAnsi="Arial" w:eastAsia="Calibri" w:cs="Calibri"/>
      <w:b/>
      <w:bCs/>
      <w:color w:val="000000" w:themeColor="text1"/>
      <w:sz w:val="20"/>
      <w:szCs w:val="40"/>
      <w:lang w:val="en-US"/>
    </w:rPr>
  </w:style>
  <w:style w:type="character" w:styleId="Ttulo2Char" w:customStyle="1">
    <w:name w:val="Título 2 Char"/>
    <w:basedOn w:val="DefaultParagraphFont"/>
    <w:uiPriority w:val="1"/>
    <w:qFormat/>
    <w:rPr>
      <w:rFonts w:ascii="Calibri" w:hAnsi="Calibri" w:eastAsia="Calibri" w:cs="Calibri"/>
      <w:b/>
      <w:bCs/>
      <w:sz w:val="32"/>
      <w:szCs w:val="32"/>
      <w:lang w:val="en-US"/>
    </w:rPr>
  </w:style>
  <w:style w:type="character" w:styleId="CabealhoChar" w:customStyle="1">
    <w:name w:val="Cabeçalho Char"/>
    <w:basedOn w:val="DefaultParagraphFont"/>
    <w:uiPriority w:val="99"/>
    <w:qFormat/>
    <w:rPr>
      <w:rFonts w:ascii="Times New Roman" w:hAnsi="Times New Roman" w:eastAsia="Times New Roman" w:cs="Times New Roman"/>
      <w:sz w:val="24"/>
    </w:rPr>
  </w:style>
  <w:style w:type="character" w:styleId="RodapChar" w:customStyle="1">
    <w:name w:val="Rodapé Char"/>
    <w:basedOn w:val="DefaultParagraphFont"/>
    <w:uiPriority w:val="99"/>
    <w:qFormat/>
    <w:rPr>
      <w:rFonts w:ascii="Times New Roman" w:hAnsi="Times New Roman" w:eastAsia="Times New Roman" w:cs="Times New Roman"/>
      <w:sz w:val="24"/>
    </w:rPr>
  </w:style>
  <w:style w:type="character" w:styleId="Appleconvertedspace" w:customStyle="1">
    <w:name w:val="apple-converted-space"/>
    <w:basedOn w:val="DefaultParagraphFont"/>
    <w:qFormat/>
    <w:rPr/>
  </w:style>
  <w:style w:type="character" w:styleId="Body10Char" w:customStyle="1">
    <w:name w:val="body10 Char"/>
    <w:basedOn w:val="DefaultParagraphFont"/>
    <w:link w:val="Body10"/>
    <w:qFormat/>
    <w:rPr>
      <w:rFonts w:ascii="Times New Roman" w:hAnsi="Times New Roman" w:eastAsia="Times New Roman" w:cs="Times New Roman"/>
      <w:sz w:val="20"/>
      <w:szCs w:val="20"/>
      <w:lang w:eastAsia="pt-BR"/>
    </w:rPr>
  </w:style>
  <w:style w:type="character" w:styleId="Strong">
    <w:name w:val="Strong"/>
    <w:basedOn w:val="DefaultParagraphFont"/>
    <w:uiPriority w:val="22"/>
    <w:qFormat/>
    <w:rPr>
      <w:b/>
      <w:bCs/>
    </w:rPr>
  </w:style>
  <w:style w:type="character" w:styleId="Nfase">
    <w:name w:val="Ênfase"/>
    <w:basedOn w:val="DefaultParagraphFont"/>
    <w:uiPriority w:val="20"/>
    <w:qFormat/>
    <w:rPr>
      <w:i/>
      <w:iCs/>
    </w:rPr>
  </w:style>
  <w:style w:type="character" w:styleId="Meno1" w:customStyle="1">
    <w:name w:val="Menção1"/>
    <w:basedOn w:val="DefaultParagraphFont"/>
    <w:uiPriority w:val="99"/>
    <w:semiHidden/>
    <w:unhideWhenUsed/>
    <w:qFormat/>
    <w:rPr>
      <w:color w:val="2B579A"/>
      <w:shd w:fill="E6E6E6" w:val="clear"/>
    </w:rPr>
  </w:style>
  <w:style w:type="character" w:styleId="MenoPendente1" w:customStyle="1">
    <w:name w:val="Menção Pendente1"/>
    <w:basedOn w:val="DefaultParagraphFont"/>
    <w:uiPriority w:val="99"/>
    <w:semiHidden/>
    <w:unhideWhenUsed/>
    <w:qFormat/>
    <w:rPr>
      <w:color w:val="808080"/>
      <w:shd w:fill="E6E6E6" w:val="clear"/>
    </w:rPr>
  </w:style>
  <w:style w:type="character" w:styleId="Annotationreference">
    <w:name w:val="annotation reference"/>
    <w:basedOn w:val="DefaultParagraphFont"/>
    <w:uiPriority w:val="99"/>
    <w:semiHidden/>
    <w:unhideWhenUsed/>
    <w:qFormat/>
    <w:rPr>
      <w:sz w:val="16"/>
      <w:szCs w:val="16"/>
    </w:rPr>
  </w:style>
  <w:style w:type="character" w:styleId="TextodecomentrioChar" w:customStyle="1">
    <w:name w:val="Texto de comentário Char"/>
    <w:basedOn w:val="DefaultParagraphFont"/>
    <w:link w:val="Annotationtext"/>
    <w:uiPriority w:val="99"/>
    <w:semiHidden/>
    <w:qFormat/>
    <w:rPr>
      <w:rFonts w:ascii="Calibri" w:hAnsi="Calibri" w:cs="Times New Roman"/>
      <w:sz w:val="20"/>
      <w:szCs w:val="20"/>
    </w:rPr>
  </w:style>
  <w:style w:type="character" w:styleId="AssuntodocomentrioChar" w:customStyle="1">
    <w:name w:val="Assunto do comentário Char"/>
    <w:basedOn w:val="TextodecomentrioChar"/>
    <w:link w:val="Annotationsubject"/>
    <w:uiPriority w:val="99"/>
    <w:semiHidden/>
    <w:qFormat/>
    <w:rPr>
      <w:rFonts w:ascii="Calibri" w:hAnsi="Calibri" w:cs="Times New Roman"/>
      <w:b/>
      <w:bCs/>
      <w:sz w:val="20"/>
      <w:szCs w:val="20"/>
    </w:rPr>
  </w:style>
  <w:style w:type="character" w:styleId="Ttulo3Char" w:customStyle="1">
    <w:name w:val="Título 3 Char"/>
    <w:basedOn w:val="DefaultParagraphFont"/>
    <w:uiPriority w:val="9"/>
    <w:semiHidden/>
    <w:qFormat/>
    <w:rPr>
      <w:rFonts w:ascii="Cambria" w:hAnsi="Cambria" w:eastAsia="Arial" w:cs="Arial" w:asciiTheme="majorHAnsi" w:cstheme="majorBidi" w:eastAsiaTheme="majorEastAsia" w:hAnsiTheme="majorHAnsi"/>
      <w:color w:val="243F60" w:themeColor="accent1" w:themeShade="7f"/>
      <w:sz w:val="24"/>
      <w:szCs w:val="24"/>
    </w:rPr>
  </w:style>
  <w:style w:type="character" w:styleId="PrformataoHTMLChar" w:customStyle="1">
    <w:name w:val="Pré-formatação HTML Char"/>
    <w:basedOn w:val="DefaultParagraphFont"/>
    <w:link w:val="HTMLPreformatted"/>
    <w:uiPriority w:val="99"/>
    <w:qFormat/>
    <w:rPr>
      <w:rFonts w:ascii="Courier New" w:hAnsi="Courier New" w:eastAsia="Times New Roman" w:cs="Courier New"/>
      <w:sz w:val="20"/>
      <w:szCs w:val="20"/>
      <w:lang w:eastAsia="pt-BR"/>
    </w:rPr>
  </w:style>
  <w:style w:type="character" w:styleId="Highlightbrs" w:customStyle="1">
    <w:name w:val="highlightbrs"/>
    <w:basedOn w:val="DefaultParagraphFont"/>
    <w:qFormat/>
    <w:rPr/>
  </w:style>
  <w:style w:type="character" w:styleId="Ttulo4Char" w:customStyle="1">
    <w:name w:val="Título 4 Char"/>
    <w:basedOn w:val="DefaultParagraphFont"/>
    <w:uiPriority w:val="9"/>
    <w:semiHidden/>
    <w:qFormat/>
    <w:rPr>
      <w:rFonts w:ascii="Cambria" w:hAnsi="Cambria" w:eastAsia="Arial" w:cs="Arial" w:asciiTheme="majorHAnsi" w:cstheme="majorBidi" w:eastAsiaTheme="majorEastAsia" w:hAnsiTheme="majorHAnsi"/>
      <w:i/>
      <w:iCs/>
      <w:color w:val="365F91" w:themeColor="accent1" w:themeShade="bf"/>
    </w:rPr>
  </w:style>
  <w:style w:type="character" w:styleId="Listaresultadotitulo" w:customStyle="1">
    <w:name w:val="lista-resultado__titulo"/>
    <w:basedOn w:val="DefaultParagraphFont"/>
    <w:qFormat/>
    <w:rPr/>
  </w:style>
  <w:style w:type="character" w:styleId="Blueinfo" w:customStyle="1">
    <w:name w:val="blue-info"/>
    <w:basedOn w:val="DefaultParagraphFont"/>
    <w:qFormat/>
    <w:rPr/>
  </w:style>
  <w:style w:type="character" w:styleId="Notification" w:customStyle="1">
    <w:name w:val="notification"/>
    <w:basedOn w:val="DefaultParagraphFont"/>
    <w:qFormat/>
    <w:rPr/>
  </w:style>
  <w:style w:type="character" w:styleId="MenoPendente2" w:customStyle="1">
    <w:name w:val="Menção Pendente2"/>
    <w:basedOn w:val="DefaultParagraphFont"/>
    <w:uiPriority w:val="99"/>
    <w:semiHidden/>
    <w:unhideWhenUsed/>
    <w:qFormat/>
    <w:rPr>
      <w:color w:val="605E5C"/>
      <w:shd w:fill="E1DFDD" w:val="clear"/>
    </w:rPr>
  </w:style>
  <w:style w:type="character" w:styleId="Listaresultadoinfodescricao" w:customStyle="1">
    <w:name w:val="lista-resultado__info-descricao"/>
    <w:basedOn w:val="DefaultParagraphFont"/>
    <w:qFormat/>
    <w:rPr/>
  </w:style>
  <w:style w:type="character" w:styleId="Matbuttonwrapper" w:customStyle="1">
    <w:name w:val="mat-button-wrapper"/>
    <w:basedOn w:val="DefaultParagraphFont"/>
    <w:qFormat/>
    <w:rPr/>
  </w:style>
  <w:style w:type="character" w:styleId="UnresolvedMention">
    <w:name w:val="Unresolved Mention"/>
    <w:basedOn w:val="DefaultParagraphFont"/>
    <w:uiPriority w:val="99"/>
    <w:semiHidden/>
    <w:unhideWhenUsed/>
    <w:qFormat/>
    <w:rPr>
      <w:color w:val="605E5C"/>
      <w:shd w:fill="E1DFDD" w:val="clear"/>
    </w:rPr>
  </w:style>
  <w:style w:type="character" w:styleId="Highlightbrs2" w:customStyle="1">
    <w:name w:val="highlightbrs2"/>
    <w:basedOn w:val="DefaultParagraphFont"/>
    <w:qFormat/>
    <w:rPr>
      <w:b/>
      <w:bCs/>
      <w:color w:val="CE2424"/>
    </w:rPr>
  </w:style>
  <w:style w:type="character" w:styleId="Vnculodendice">
    <w:name w:val="Vínculo de índice"/>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1"/>
    <w:qFormat/>
    <w:pPr>
      <w:widowControl w:val="false"/>
    </w:pPr>
    <w:rPr>
      <w:rFonts w:ascii="Arial Narrow" w:hAnsi="Arial Narrow" w:eastAsia="Arial Narrow" w:cs="Arial Narrow"/>
      <w:sz w:val="26"/>
      <w:szCs w:val="26"/>
      <w:lang w:val="en-US" w:eastAsia="en-US"/>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Spacing">
    <w:name w:val="No Spacing"/>
    <w:uiPriority w:val="1"/>
    <w:qFormat/>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pt-BR" w:eastAsia="en-US" w:bidi="ar-SA"/>
    </w:rPr>
  </w:style>
  <w:style w:type="paragraph" w:styleId="Ttulododocumento">
    <w:name w:val="Title"/>
    <w:basedOn w:val="Normal"/>
    <w:next w:val="Normal"/>
    <w:link w:val="TtuloChar"/>
    <w:uiPriority w:val="10"/>
    <w:qFormat/>
    <w:pPr>
      <w:spacing w:before="300" w:after="200"/>
      <w:contextualSpacing/>
    </w:pPr>
    <w:rPr>
      <w:sz w:val="48"/>
      <w:szCs w:val="48"/>
    </w:rPr>
  </w:style>
  <w:style w:type="paragraph" w:styleId="Subttulo">
    <w:name w:val="Subtitle"/>
    <w:basedOn w:val="Normal"/>
    <w:next w:val="Normal"/>
    <w:link w:val="SubttuloChar"/>
    <w:uiPriority w:val="11"/>
    <w:qFormat/>
    <w:pPr>
      <w:spacing w:before="200" w:after="200"/>
    </w:pPr>
    <w:rPr/>
  </w:style>
  <w:style w:type="paragraph" w:styleId="Quote">
    <w:name w:val="Quote"/>
    <w:basedOn w:val="Normal"/>
    <w:next w:val="Normal"/>
    <w:link w:val="CitaoChar"/>
    <w:uiPriority w:val="29"/>
    <w:qFormat/>
    <w:pPr>
      <w:ind w:left="720" w:right="720" w:hanging="0"/>
    </w:pPr>
    <w:rPr>
      <w:i/>
    </w:rPr>
  </w:style>
  <w:style w:type="paragraph" w:styleId="IntenseQuote">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Caption">
    <w:name w:val="caption"/>
    <w:basedOn w:val="Normal"/>
    <w:next w:val="Normal"/>
    <w:uiPriority w:val="35"/>
    <w:semiHidden/>
    <w:unhideWhenUsed/>
    <w:qFormat/>
    <w:pPr>
      <w:spacing w:lineRule="auto" w:line="276"/>
    </w:pPr>
    <w:rPr>
      <w:b/>
      <w:bCs/>
      <w:color w:val="4F81BD" w:themeColor="accent1"/>
      <w:sz w:val="18"/>
      <w:szCs w:val="18"/>
    </w:rPr>
  </w:style>
  <w:style w:type="paragraph" w:styleId="Notadefim">
    <w:name w:val="Endnote Text"/>
    <w:basedOn w:val="Normal"/>
    <w:link w:val="TextodenotadefimChar"/>
    <w:uiPriority w:val="99"/>
    <w:semiHidden/>
    <w:unhideWhenUsed/>
    <w:pPr/>
    <w:rPr>
      <w:sz w:val="20"/>
    </w:rPr>
  </w:style>
  <w:style w:type="paragraph" w:styleId="Sumrio3">
    <w:name w:val="TOC 3"/>
    <w:basedOn w:val="Normal"/>
    <w:next w:val="Normal"/>
    <w:uiPriority w:val="39"/>
    <w:unhideWhenUsed/>
    <w:pPr>
      <w:ind w:left="480" w:hanging="0"/>
    </w:pPr>
    <w:rPr>
      <w:rFonts w:ascii="Calibri" w:hAnsi="Calibri" w:cs="Calibri" w:asciiTheme="minorHAnsi" w:cstheme="minorHAnsi" w:hAnsiTheme="minorHAnsi"/>
      <w:i/>
      <w:iCs/>
      <w:sz w:val="20"/>
      <w:szCs w:val="20"/>
    </w:rPr>
  </w:style>
  <w:style w:type="paragraph" w:styleId="Sumrio4">
    <w:name w:val="TOC 4"/>
    <w:basedOn w:val="Normal"/>
    <w:next w:val="Normal"/>
    <w:uiPriority w:val="39"/>
    <w:unhideWhenUsed/>
    <w:pPr>
      <w:ind w:left="720" w:hanging="0"/>
    </w:pPr>
    <w:rPr>
      <w:rFonts w:ascii="Calibri" w:hAnsi="Calibri" w:cs="Calibri" w:asciiTheme="minorHAnsi" w:cstheme="minorHAnsi" w:hAnsiTheme="minorHAnsi"/>
      <w:sz w:val="18"/>
      <w:szCs w:val="18"/>
    </w:rPr>
  </w:style>
  <w:style w:type="paragraph" w:styleId="Sumrio5">
    <w:name w:val="TOC 5"/>
    <w:basedOn w:val="Normal"/>
    <w:next w:val="Normal"/>
    <w:uiPriority w:val="39"/>
    <w:unhideWhenUsed/>
    <w:pPr>
      <w:ind w:left="960" w:hanging="0"/>
    </w:pPr>
    <w:rPr>
      <w:rFonts w:ascii="Calibri" w:hAnsi="Calibri" w:cs="Calibri" w:asciiTheme="minorHAnsi" w:cstheme="minorHAnsi" w:hAnsiTheme="minorHAnsi"/>
      <w:sz w:val="18"/>
      <w:szCs w:val="18"/>
    </w:rPr>
  </w:style>
  <w:style w:type="paragraph" w:styleId="Sumrio6">
    <w:name w:val="TOC 6"/>
    <w:basedOn w:val="Normal"/>
    <w:next w:val="Normal"/>
    <w:uiPriority w:val="39"/>
    <w:unhideWhenUsed/>
    <w:pPr>
      <w:ind w:left="1200" w:hanging="0"/>
    </w:pPr>
    <w:rPr>
      <w:rFonts w:ascii="Calibri" w:hAnsi="Calibri" w:cs="Calibri" w:asciiTheme="minorHAnsi" w:cstheme="minorHAnsi" w:hAnsiTheme="minorHAnsi"/>
      <w:sz w:val="18"/>
      <w:szCs w:val="18"/>
    </w:rPr>
  </w:style>
  <w:style w:type="paragraph" w:styleId="Sumrio7">
    <w:name w:val="TOC 7"/>
    <w:basedOn w:val="Normal"/>
    <w:next w:val="Normal"/>
    <w:uiPriority w:val="39"/>
    <w:unhideWhenUsed/>
    <w:pPr>
      <w:ind w:left="1440" w:hanging="0"/>
    </w:pPr>
    <w:rPr>
      <w:rFonts w:ascii="Calibri" w:hAnsi="Calibri" w:cs="Calibri" w:asciiTheme="minorHAnsi" w:cstheme="minorHAnsi" w:hAnsiTheme="minorHAnsi"/>
      <w:sz w:val="18"/>
      <w:szCs w:val="18"/>
    </w:rPr>
  </w:style>
  <w:style w:type="paragraph" w:styleId="Sumrio8">
    <w:name w:val="TOC 8"/>
    <w:basedOn w:val="Normal"/>
    <w:next w:val="Normal"/>
    <w:uiPriority w:val="39"/>
    <w:unhideWhenUsed/>
    <w:pPr>
      <w:ind w:left="1680" w:hanging="0"/>
    </w:pPr>
    <w:rPr>
      <w:rFonts w:ascii="Calibri" w:hAnsi="Calibri" w:cs="Calibri" w:asciiTheme="minorHAnsi" w:cstheme="minorHAnsi" w:hAnsiTheme="minorHAnsi"/>
      <w:sz w:val="18"/>
      <w:szCs w:val="18"/>
    </w:rPr>
  </w:style>
  <w:style w:type="paragraph" w:styleId="Sumrio9">
    <w:name w:val="TOC 9"/>
    <w:basedOn w:val="Normal"/>
    <w:next w:val="Normal"/>
    <w:uiPriority w:val="39"/>
    <w:unhideWhenUsed/>
    <w:pPr>
      <w:ind w:left="1920" w:hanging="0"/>
    </w:pPr>
    <w:rPr>
      <w:rFonts w:ascii="Calibri" w:hAnsi="Calibri" w:cs="Calibri" w:asciiTheme="minorHAnsi" w:cstheme="minorHAnsi" w:hAnsiTheme="minorHAnsi"/>
      <w:sz w:val="18"/>
      <w:szCs w:val="18"/>
    </w:rPr>
  </w:style>
  <w:style w:type="paragraph" w:styleId="Ttulodondicealfabtico">
    <w:name w:val="Index Heading"/>
    <w:basedOn w:val="Ttulo"/>
    <w:pPr/>
    <w:rPr/>
  </w:style>
  <w:style w:type="paragraph" w:styleId="Ttulodosumrio">
    <w:name w:val="TOC Heading"/>
    <w:uiPriority w:val="39"/>
    <w:unhideWhenUsed/>
    <w:qFormat/>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pt-BR" w:eastAsia="en-US" w:bidi="ar-SA"/>
    </w:rPr>
  </w:style>
  <w:style w:type="paragraph" w:styleId="Tableoffigures">
    <w:name w:val="table of figures"/>
    <w:basedOn w:val="Normal"/>
    <w:next w:val="Normal"/>
    <w:uiPriority w:val="99"/>
    <w:unhideWhenUsed/>
    <w:qFormat/>
    <w:pPr/>
    <w:rPr/>
  </w:style>
  <w:style w:type="paragraph" w:styleId="Notaderodap">
    <w:name w:val="Footnote Text"/>
    <w:basedOn w:val="Normal"/>
    <w:link w:val="TextodenotaderodapChar"/>
    <w:pPr/>
    <w:rPr>
      <w:sz w:val="20"/>
      <w:szCs w:val="20"/>
    </w:rPr>
  </w:style>
  <w:style w:type="paragraph" w:styleId="BalloonText">
    <w:name w:val="Balloon Text"/>
    <w:basedOn w:val="Normal"/>
    <w:link w:val="TextodebaloChar"/>
    <w:uiPriority w:val="99"/>
    <w:semiHidden/>
    <w:unhideWhenUsed/>
    <w:qFormat/>
    <w:pPr/>
    <w:rPr>
      <w:rFonts w:ascii="Tahoma" w:hAnsi="Tahoma" w:eastAsia="Calibri" w:cs="Tahoma" w:eastAsiaTheme="minorHAnsi"/>
      <w:sz w:val="16"/>
      <w:szCs w:val="16"/>
      <w:lang w:eastAsia="en-US"/>
    </w:rPr>
  </w:style>
  <w:style w:type="paragraph" w:styleId="ListParagraph">
    <w:name w:val="List Paragraph"/>
    <w:basedOn w:val="Normal"/>
    <w:uiPriority w:val="34"/>
    <w:qFormat/>
    <w:pPr>
      <w:spacing w:lineRule="auto" w:line="276" w:before="0" w:after="200"/>
      <w:ind w:left="720" w:hanging="0"/>
      <w:contextualSpacing/>
    </w:pPr>
    <w:rPr>
      <w:rFonts w:ascii="Calibri" w:hAnsi="Calibri" w:eastAsia="Calibri" w:eastAsiaTheme="minorHAnsi"/>
      <w:sz w:val="22"/>
      <w:szCs w:val="22"/>
      <w:lang w:eastAsia="en-US"/>
    </w:rPr>
  </w:style>
  <w:style w:type="paragraph" w:styleId="Sumrio2">
    <w:name w:val="TOC 2"/>
    <w:basedOn w:val="Normal"/>
    <w:uiPriority w:val="1"/>
    <w:qFormat/>
    <w:pPr>
      <w:ind w:left="240" w:hanging="0"/>
    </w:pPr>
    <w:rPr>
      <w:rFonts w:ascii="Calibri" w:hAnsi="Calibri" w:cs="Calibri" w:asciiTheme="minorHAnsi" w:cstheme="minorHAnsi" w:hAnsiTheme="minorHAnsi"/>
      <w:smallCaps/>
      <w:sz w:val="20"/>
      <w:szCs w:val="20"/>
    </w:rPr>
  </w:style>
  <w:style w:type="paragraph" w:styleId="Sumrio1">
    <w:name w:val="TOC 1"/>
    <w:basedOn w:val="Normal"/>
    <w:next w:val="Normal"/>
    <w:uiPriority w:val="39"/>
    <w:unhideWhenUsed/>
    <w:qFormat/>
    <w:rsid w:val="004b01e8"/>
    <w:pPr>
      <w:spacing w:before="120" w:after="120"/>
    </w:pPr>
    <w:rPr>
      <w:rFonts w:ascii="Calibri" w:hAnsi="Calibri" w:cs="Calibri" w:asciiTheme="minorHAnsi" w:cstheme="minorHAnsi" w:hAnsiTheme="minorHAnsi"/>
      <w:b/>
      <w:bCs/>
      <w:caps/>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pPr>
      <w:tabs>
        <w:tab w:val="clear" w:pos="708"/>
        <w:tab w:val="center" w:pos="4252" w:leader="none"/>
        <w:tab w:val="right" w:pos="8504" w:leader="none"/>
      </w:tabs>
    </w:pPr>
    <w:rPr>
      <w:szCs w:val="22"/>
      <w:lang w:eastAsia="en-US"/>
    </w:rPr>
  </w:style>
  <w:style w:type="paragraph" w:styleId="Rodap">
    <w:name w:val="Footer"/>
    <w:basedOn w:val="Normal"/>
    <w:link w:val="RodapChar"/>
    <w:uiPriority w:val="99"/>
    <w:unhideWhenUsed/>
    <w:pPr>
      <w:tabs>
        <w:tab w:val="clear" w:pos="708"/>
        <w:tab w:val="center" w:pos="4252" w:leader="none"/>
        <w:tab w:val="right" w:pos="8504" w:leader="none"/>
      </w:tabs>
    </w:pPr>
    <w:rPr>
      <w:szCs w:val="22"/>
      <w:lang w:eastAsia="en-US"/>
    </w:rPr>
  </w:style>
  <w:style w:type="paragraph" w:styleId="Default" w:customStyle="1">
    <w:name w:val="Default"/>
    <w:qFormat/>
    <w:pPr>
      <w:widowControl/>
      <w:bidi w:val="0"/>
      <w:spacing w:lineRule="auto" w:line="240" w:before="0" w:after="0"/>
      <w:jc w:val="left"/>
    </w:pPr>
    <w:rPr>
      <w:rFonts w:ascii="Arial" w:hAnsi="Arial" w:cs="Arial" w:eastAsia="Calibri"/>
      <w:color w:val="000000"/>
      <w:kern w:val="0"/>
      <w:sz w:val="24"/>
      <w:szCs w:val="24"/>
      <w:lang w:val="pt-BR" w:eastAsia="en-US" w:bidi="ar-SA"/>
    </w:rPr>
  </w:style>
  <w:style w:type="paragraph" w:styleId="Body10" w:customStyle="1">
    <w:name w:val="body10"/>
    <w:link w:val="Body10Char"/>
    <w:qFormat/>
    <w:pPr>
      <w:widowControl/>
      <w:bidi w:val="0"/>
      <w:spacing w:lineRule="atLeast" w:line="220" w:before="0" w:after="0"/>
      <w:ind w:firstLine="454"/>
      <w:jc w:val="both"/>
    </w:pPr>
    <w:rPr>
      <w:rFonts w:ascii="Times New Roman" w:hAnsi="Times New Roman" w:eastAsia="Times New Roman" w:cs="Times New Roman"/>
      <w:color w:val="auto"/>
      <w:kern w:val="0"/>
      <w:sz w:val="20"/>
      <w:szCs w:val="20"/>
      <w:lang w:eastAsia="pt-BR" w:val="pt-BR" w:bidi="ar-SA"/>
    </w:rPr>
  </w:style>
  <w:style w:type="paragraph" w:styleId="TCUEpgrafe" w:customStyle="1">
    <w:name w:val="TCU - Epígrafe"/>
    <w:basedOn w:val="Normal"/>
    <w:qFormat/>
    <w:pPr>
      <w:ind w:left="2835" w:hanging="0"/>
      <w:jc w:val="both"/>
    </w:pPr>
    <w:rPr>
      <w:szCs w:val="20"/>
    </w:rPr>
  </w:style>
  <w:style w:type="paragraph" w:styleId="NormalWeb">
    <w:name w:val="Normal (Web)"/>
    <w:basedOn w:val="Normal"/>
    <w:uiPriority w:val="99"/>
    <w:semiHidden/>
    <w:unhideWhenUsed/>
    <w:qFormat/>
    <w:pPr>
      <w:spacing w:beforeAutospacing="1" w:afterAutospacing="1"/>
    </w:pPr>
    <w:rPr/>
  </w:style>
  <w:style w:type="paragraph" w:styleId="Tcuepgrafe1" w:customStyle="1">
    <w:name w:val="tcu-epgrafe"/>
    <w:basedOn w:val="Normal"/>
    <w:qFormat/>
    <w:pPr>
      <w:spacing w:beforeAutospacing="1" w:afterAutospacing="1"/>
    </w:pPr>
    <w:rPr/>
  </w:style>
  <w:style w:type="paragraph" w:styleId="Annotationtext">
    <w:name w:val="annotation text"/>
    <w:basedOn w:val="Normal"/>
    <w:link w:val="TextodecomentrioChar"/>
    <w:uiPriority w:val="99"/>
    <w:semiHidden/>
    <w:unhideWhenUsed/>
    <w:qFormat/>
    <w:pPr>
      <w:spacing w:before="0" w:after="200"/>
    </w:pPr>
    <w:rPr>
      <w:rFonts w:ascii="Calibri" w:hAnsi="Calibri" w:eastAsia="Calibri" w:eastAsiaTheme="minorHAnsi"/>
      <w:sz w:val="20"/>
      <w:szCs w:val="20"/>
      <w:lang w:eastAsia="en-US"/>
    </w:rPr>
  </w:style>
  <w:style w:type="paragraph" w:styleId="Annotationsubject">
    <w:name w:val="annotation subject"/>
    <w:basedOn w:val="Annotationtext"/>
    <w:next w:val="Annotationtext"/>
    <w:link w:val="AssuntodocomentrioChar"/>
    <w:uiPriority w:val="99"/>
    <w:semiHidden/>
    <w:unhideWhenUsed/>
    <w:qFormat/>
    <w:pPr/>
    <w:rPr>
      <w:b/>
      <w:bCs/>
    </w:rPr>
  </w:style>
  <w:style w:type="paragraph" w:styleId="HTMLPreformatted">
    <w:name w:val="HTML Preformatted"/>
    <w:basedOn w:val="Normal"/>
    <w:link w:val="PrformataoHTMLChar"/>
    <w:uiPriority w:val="99"/>
    <w:unhideWhenUsed/>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Mostratitulonota" w:customStyle="1">
    <w:name w:val="mostratitulonota"/>
    <w:basedOn w:val="Normal"/>
    <w:qFormat/>
    <w:pPr>
      <w:spacing w:beforeAutospacing="1" w:afterAutospacing="1"/>
    </w:pPr>
    <w:rPr/>
  </w:style>
  <w:style w:type="paragraph" w:styleId="Collg2" w:customStyle="1">
    <w:name w:val="col-lg-2"/>
    <w:basedOn w:val="Normal"/>
    <w:qFormat/>
    <w:pPr>
      <w:spacing w:beforeAutospacing="1" w:afterAutospacing="1"/>
    </w:pPr>
    <w:rPr/>
  </w:style>
  <w:style w:type="paragraph" w:styleId="Collg10" w:customStyle="1">
    <w:name w:val="col-lg-10"/>
    <w:basedOn w:val="Normal"/>
    <w:qFormat/>
    <w:pPr>
      <w:spacing w:beforeAutospacing="1" w:afterAutospacing="1"/>
    </w:pPr>
    <w:rPr/>
  </w:style>
  <w:style w:type="paragraph" w:styleId="Collg12" w:customStyle="1">
    <w:name w:val="col-lg-12"/>
    <w:basedOn w:val="Normal"/>
    <w:qFormat/>
    <w:pPr>
      <w:spacing w:beforeAutospacing="1" w:afterAutospacing="1"/>
    </w:pPr>
    <w:rPr/>
  </w:style>
  <w:style w:type="paragraph" w:styleId="TCUAcitem9" w:customStyle="1">
    <w:name w:val="TCU - Ac - item 9 - §§"/>
    <w:basedOn w:val="Normal"/>
    <w:qFormat/>
    <w:pPr>
      <w:ind w:firstLine="1134"/>
      <w:jc w:val="both"/>
    </w:pPr>
    <w:rPr>
      <w:szCs w:val="22"/>
      <w:lang w:eastAsia="en-US"/>
    </w:rPr>
  </w:style>
  <w:style w:type="paragraph" w:styleId="Titulojurisprudencia" w:customStyle="1">
    <w:name w:val="titulojurisprudencia"/>
    <w:basedOn w:val="Normal"/>
    <w:qFormat/>
    <w:pPr>
      <w:spacing w:lineRule="atLeast" w:line="300" w:beforeAutospacing="1" w:after="45"/>
    </w:pPr>
    <w:rPr>
      <w:b/>
      <w:bCs/>
      <w:sz w:val="20"/>
      <w:szCs w:val="20"/>
    </w:rPr>
  </w:style>
  <w:style w:type="paragraph" w:styleId="Tcuacitem91" w:customStyle="1">
    <w:name w:val="tcu_-_ac_-_item_9_-_§§"/>
    <w:basedOn w:val="Normal"/>
    <w:qFormat/>
    <w:pPr>
      <w:spacing w:beforeAutospacing="1" w:afterAutospacing="1"/>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Tabelanorma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SimplesTabela1">
    <w:name w:val="Plain Table 1"/>
    <w:basedOn w:val="Tabelanorma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SimplesTabela2">
    <w:name w:val="Plain Table 2"/>
    <w:basedOn w:val="Tabelanormal"/>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97B4D8"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DA989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D"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95CEDD"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color w:val="404040"/>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color w:val="404040"/>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color w:val="404040"/>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color w:val="404040"/>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5F1" w:fill="DAE5F1" w:themeFill="accent1" w:themeFillTint="34"/>
      </w:tcPr>
    </w:tblStylePr>
    <w:tblStylePr w:type="band1Horz">
      <w:rPr>
        <w:color w:val="404040"/>
        <w:sz w:val="22"/>
      </w:rPr>
      <w:tblPr/>
      <w:tcPr>
        <w:shd w:val="clear" w:color="DAE5F1"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color w:val="FFFFFF"/>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color w:val="404040"/>
      </w:rPr>
      <w:tblPr/>
      <w:tcPr>
        <w:tcBorders>
          <w:top w:val="single" w:color="5D8AC2"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CE6F2" w:fill="DCE6F2" w:themeFill="accent1" w:themeFillTint="32"/>
      </w:tcPr>
    </w:tblStylePr>
    <w:tblStylePr w:type="band1Horz">
      <w:rPr>
        <w:color w:val="404040"/>
        <w:sz w:val="22"/>
      </w:rPr>
      <w:tblPr/>
      <w:tcPr>
        <w:shd w:val="clear" w:color="DCE6F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color w:val="FFFFFF"/>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color w:val="404040"/>
      </w:rPr>
      <w:tblPr/>
      <w:tcPr>
        <w:tcBorders>
          <w:top w:val="single" w:color="D99695"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2DCDC" w:fill="F2DCDC" w:themeFill="accent2" w:themeFillTint="32"/>
      </w:tcPr>
    </w:tblStylePr>
    <w:tblStylePr w:type="band1Horz">
      <w:rPr>
        <w:color w:val="404040"/>
        <w:sz w:val="22"/>
      </w:rPr>
      <w:tblPr/>
      <w:tcPr>
        <w:shd w:val="clear" w:color="F2DCDC"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color w:val="FFFFFF"/>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color w:val="404040"/>
      </w:rPr>
      <w:tblPr/>
      <w:tcPr>
        <w:tcBorders>
          <w:top w:val="single" w:color="9A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AF1DC" w:fill="EAF1DC" w:themeFill="accent3" w:themeFillTint="34"/>
      </w:tcPr>
    </w:tblStylePr>
    <w:tblStylePr w:type="band1Horz">
      <w:rPr>
        <w:color w:val="404040"/>
        <w:sz w:val="22"/>
      </w:rPr>
      <w:tblPr/>
      <w:tcPr>
        <w:shd w:val="clear" w:color="EAF1DC"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color w:val="FFFFFF"/>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color w:val="404040"/>
      </w:rPr>
      <w:tblPr/>
      <w:tcPr>
        <w:tcBorders>
          <w:top w:val="single" w:color="B2A1C6"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5DFEC" w:fill="E5DFEC" w:themeFill="accent4" w:themeFillTint="34"/>
      </w:tcPr>
    </w:tblStylePr>
    <w:tblStylePr w:type="band1Horz">
      <w:rPr>
        <w:color w:val="404040"/>
        <w:sz w:val="22"/>
      </w:rPr>
      <w:tblPr/>
      <w:tcPr>
        <w:shd w:val="clear" w:color="E5DFEC"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AEEF3" w:fill="DAEEF3" w:themeFill="accent5" w:themeFillTint="34"/>
      </w:tcPr>
    </w:tblStylePr>
    <w:tblStylePr w:type="band1Horz">
      <w:rPr>
        <w:color w:val="404040"/>
        <w:sz w:val="22"/>
      </w:rPr>
      <w:tblPr/>
      <w:tcPr>
        <w:shd w:val="clear" w:color="DAEEF3"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DE9D8" w:fill="FDE9D8" w:themeFill="accent6" w:themeFillTint="34"/>
      </w:tcPr>
    </w:tblStylePr>
    <w:tblStylePr w:type="band1Horz">
      <w:rPr>
        <w:color w:val="404040"/>
        <w:sz w:val="22"/>
      </w:rPr>
      <w:tblPr/>
      <w:tcPr>
        <w:shd w:val="clear" w:color="FDE9D8"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F81BD" w:fill="4F81BD" w:themeFill="accent1"/>
      </w:tcPr>
    </w:tblStylePr>
    <w:tblStylePr w:type="lastRow">
      <w:rPr>
        <w:b/>
        <w:color w:val="FFFFFF"/>
        <w:sz w:val="22"/>
      </w:rPr>
      <w:tblPr/>
      <w:tcPr>
        <w:tcBorders>
          <w:top w:val="single" w:color="FFFFFF" w:themeColor="light1" w:sz="4" w:space="0"/>
        </w:tcBorders>
        <w:shd w:val="clear" w:color="4F81BD" w:fill="4F81BD" w:themeFill="accent1"/>
      </w:tcPr>
    </w:tblStylePr>
    <w:tblStylePr w:type="firstCol">
      <w:rPr>
        <w:b/>
        <w:color w:val="FFFFFF"/>
        <w:sz w:val="22"/>
      </w:rPr>
      <w:tblPr/>
      <w:tcPr>
        <w:shd w:val="clear" w:color="4F81BD" w:fill="4F81BD" w:themeFill="accent1"/>
      </w:tcPr>
    </w:tblStylePr>
    <w:tblStylePr w:type="lastCol">
      <w:rPr>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C0504D" w:fill="C0504D" w:themeFill="accent2"/>
      </w:tcPr>
    </w:tblStylePr>
    <w:tblStylePr w:type="lastRow">
      <w:rPr>
        <w:b/>
        <w:color w:val="FFFFFF"/>
        <w:sz w:val="22"/>
      </w:rPr>
      <w:tblPr/>
      <w:tcPr>
        <w:tcBorders>
          <w:top w:val="single" w:color="FFFFFF" w:themeColor="light1" w:sz="4" w:space="0"/>
        </w:tcBorders>
        <w:shd w:val="clear" w:color="C0504D" w:fill="C0504D" w:themeFill="accent2"/>
      </w:tcPr>
    </w:tblStylePr>
    <w:tblStylePr w:type="firstCol">
      <w:rPr>
        <w:b/>
        <w:color w:val="FFFFFF"/>
        <w:sz w:val="22"/>
      </w:rPr>
      <w:tblPr/>
      <w:tcPr>
        <w:shd w:val="clear" w:color="C0504D" w:fill="C0504D" w:themeFill="accent2"/>
      </w:tcPr>
    </w:tblStylePr>
    <w:tblStylePr w:type="lastCol">
      <w:rPr>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9BBB59" w:fill="9BBB59" w:themeFill="accent3"/>
      </w:tcPr>
    </w:tblStylePr>
    <w:tblStylePr w:type="lastRow">
      <w:rPr>
        <w:b/>
        <w:color w:val="FFFFFF"/>
        <w:sz w:val="22"/>
      </w:rPr>
      <w:tblPr/>
      <w:tcPr>
        <w:tcBorders>
          <w:top w:val="single" w:color="FFFFFF" w:themeColor="light1" w:sz="4" w:space="0"/>
        </w:tcBorders>
        <w:shd w:val="clear" w:color="9BBB59" w:fill="9BBB59" w:themeFill="accent3"/>
      </w:tcPr>
    </w:tblStylePr>
    <w:tblStylePr w:type="firstCol">
      <w:rPr>
        <w:b/>
        <w:color w:val="FFFFFF"/>
        <w:sz w:val="22"/>
      </w:rPr>
      <w:tblPr/>
      <w:tcPr>
        <w:shd w:val="clear" w:color="9BBB59" w:fill="9BBB59" w:themeFill="accent3"/>
      </w:tcPr>
    </w:tblStylePr>
    <w:tblStylePr w:type="lastCol">
      <w:rPr>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8064A2" w:fill="8064A2" w:themeFill="accent4"/>
      </w:tcPr>
    </w:tblStylePr>
    <w:tblStylePr w:type="lastRow">
      <w:rPr>
        <w:b/>
        <w:color w:val="FFFFFF"/>
        <w:sz w:val="22"/>
      </w:rPr>
      <w:tblPr/>
      <w:tcPr>
        <w:tcBorders>
          <w:top w:val="single" w:color="FFFFFF" w:themeColor="light1" w:sz="4" w:space="0"/>
        </w:tcBorders>
        <w:shd w:val="clear" w:color="8064A2" w:fill="8064A2" w:themeFill="accent4"/>
      </w:tcPr>
    </w:tblStylePr>
    <w:tblStylePr w:type="firstCol">
      <w:rPr>
        <w:b/>
        <w:color w:val="FFFFFF"/>
        <w:sz w:val="22"/>
      </w:rPr>
      <w:tblPr/>
      <w:tcPr>
        <w:shd w:val="clear" w:color="8064A2" w:fill="8064A2" w:themeFill="accent4"/>
      </w:tcPr>
    </w:tblStylePr>
    <w:tblStylePr w:type="lastCol">
      <w:rPr>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BACC6" w:fill="4BACC6" w:themeFill="accent5"/>
      </w:tcPr>
    </w:tblStylePr>
    <w:tblStylePr w:type="lastRow">
      <w:rPr>
        <w:b/>
        <w:color w:val="FFFFFF"/>
        <w:sz w:val="22"/>
      </w:rPr>
      <w:tblPr/>
      <w:tcPr>
        <w:tcBorders>
          <w:top w:val="single" w:color="FFFFFF" w:themeColor="light1" w:sz="4" w:space="0"/>
        </w:tcBorders>
        <w:shd w:val="clear" w:color="4BACC6" w:fill="4BACC6" w:themeFill="accent5"/>
      </w:tcPr>
    </w:tblStylePr>
    <w:tblStylePr w:type="firstCol">
      <w:rPr>
        <w:b/>
        <w:color w:val="FFFFFF"/>
        <w:sz w:val="22"/>
      </w:rPr>
      <w:tblPr/>
      <w:tcPr>
        <w:shd w:val="clear" w:color="4BACC6" w:fill="4BACC6" w:themeFill="accent5"/>
      </w:tcPr>
    </w:tblStylePr>
    <w:tblStylePr w:type="lastCol">
      <w:rPr>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79646" w:fill="F79646" w:themeFill="accent6"/>
      </w:tcPr>
    </w:tblStylePr>
    <w:tblStylePr w:type="lastRow">
      <w:rPr>
        <w:b/>
        <w:color w:val="FFFFFF"/>
        <w:sz w:val="22"/>
      </w:rPr>
      <w:tblPr/>
      <w:tcPr>
        <w:tcBorders>
          <w:top w:val="single" w:color="FFFFFF" w:themeColor="light1" w:sz="4" w:space="0"/>
        </w:tcBorders>
        <w:shd w:val="clear" w:color="F79646" w:fill="F79646" w:themeFill="accent6"/>
      </w:tcPr>
    </w:tblStylePr>
    <w:tblStylePr w:type="firstCol">
      <w:rPr>
        <w:b/>
        <w:color w:val="FFFFFF"/>
        <w:sz w:val="22"/>
      </w:rPr>
      <w:tblPr/>
      <w:tcPr>
        <w:shd w:val="clear" w:color="F79646" w:fill="F79646" w:themeFill="accent6"/>
      </w:tcPr>
    </w:tblStylePr>
    <w:tblStylePr w:type="lastCol">
      <w:rPr>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A6BFD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D99695"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A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B2A1C6"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sz w:val="22"/>
      </w:rPr>
      <w:tblPr/>
      <w:tcPr>
        <w:tcBorders>
          <w:top w:val="none" w:color="000000" w:sz="4" w:space="0"/>
          <w:left w:val="none" w:color="000000" w:sz="4" w:space="0"/>
          <w:bottom w:val="single" w:color="A6BFDD" w:themeColor="accent1" w:sz="4" w:space="0"/>
          <w:right w:val="none" w:color="000000" w:sz="4" w:space="0"/>
        </w:tcBorders>
        <w:shd w:val="clear" w:color="FFFFFF" w:fill="FFFFFF" w:themeFill="light1"/>
      </w:tcPr>
    </w:tblStylePr>
    <w:tblStylePr w:type="lastRow">
      <w:rPr>
        <w:b/>
        <w:color w:val="A6BFDD" w:themeColor="accent1" w:themeTint="80" w:themeShade="95"/>
        <w:sz w:val="22"/>
      </w:rPr>
      <w:tblPr/>
      <w:tcPr>
        <w:tcBorders>
          <w:top w:val="single" w:color="A6BFD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A6BFDD" w:themeColor="accent1" w:themeTint="80" w:themeShade="95"/>
        <w:sz w:val="22"/>
      </w:rPr>
      <w:tblPr/>
      <w:tcPr>
        <w:tcBorders>
          <w:top w:val="none" w:color="000000" w:sz="4" w:space="0"/>
          <w:left w:val="none" w:color="000000" w:sz="4" w:space="0"/>
          <w:bottom w:val="none" w:color="000000" w:sz="4" w:space="0"/>
          <w:right w:val="single" w:color="A6BFDD" w:themeColor="accent1" w:sz="4" w:space="0"/>
        </w:tcBorders>
        <w:shd w:val="clear" w:color="FFFFFF" w:fill="auto"/>
      </w:tcPr>
    </w:tblStylePr>
    <w:tblStylePr w:type="lastCol">
      <w:rPr>
        <w:i/>
        <w:color w:val="A6BFDD" w:themeColor="accent1" w:themeTint="80" w:themeShade="95"/>
        <w:sz w:val="22"/>
      </w:rPr>
      <w:tblPr/>
      <w:tcPr>
        <w:tcBorders>
          <w:top w:val="none" w:color="000000" w:sz="4" w:space="0"/>
          <w:left w:val="single" w:color="A6BFDD" w:themeColor="accent1" w:sz="4" w:space="0"/>
          <w:bottom w:val="none" w:color="000000" w:sz="4" w:space="0"/>
          <w:right w:val="none" w:color="000000" w:sz="4" w:space="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b/>
        <w:color w:val="D99695"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blPr/>
      <w:tcPr>
        <w:tcBorders>
          <w:top w:val="none" w:color="000000" w:sz="4" w:space="0"/>
          <w:left w:val="none" w:color="000000" w:sz="4" w:space="0"/>
          <w:bottom w:val="single" w:color="9ABB59" w:themeColor="accent3" w:sz="4" w:space="0"/>
          <w:right w:val="none" w:color="000000" w:sz="4" w:space="0"/>
        </w:tcBorders>
        <w:shd w:val="clear" w:color="FFFFFF" w:fill="FFFFFF" w:themeFill="light1"/>
      </w:tcPr>
    </w:tblStylePr>
    <w:tblStylePr w:type="lastRow">
      <w:rPr>
        <w:b/>
        <w:color w:val="9ABB59" w:themeColor="accent3" w:themeTint="fe" w:themeShade="95"/>
        <w:sz w:val="22"/>
      </w:rPr>
      <w:tblPr/>
      <w:tcPr>
        <w:tcBorders>
          <w:top w:val="single" w:color="9ABB5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9ABB59" w:themeColor="accent3" w:themeTint="fe" w:themeShade="95"/>
        <w:sz w:val="22"/>
      </w:rPr>
      <w:tblPr/>
      <w:tcPr>
        <w:tcBorders>
          <w:top w:val="none" w:color="000000" w:sz="4" w:space="0"/>
          <w:left w:val="none" w:color="000000" w:sz="4" w:space="0"/>
          <w:bottom w:val="none" w:color="000000" w:sz="4" w:space="0"/>
          <w:right w:val="single" w:color="9ABB59" w:themeColor="accent3" w:sz="4" w:space="0"/>
        </w:tcBorders>
        <w:shd w:val="clear" w:color="FFFFFF" w:fill="auto"/>
      </w:tcPr>
    </w:tblStylePr>
    <w:tblStylePr w:type="lastCol">
      <w:rPr>
        <w:i/>
        <w:color w:val="9ABB59" w:themeColor="accent3" w:themeTint="fe" w:themeShade="95"/>
        <w:sz w:val="22"/>
      </w:rPr>
      <w:tblPr/>
      <w:tcPr>
        <w:tcBorders>
          <w:top w:val="none" w:color="000000" w:sz="4" w:space="0"/>
          <w:left w:val="single" w:color="9ABB59" w:themeColor="accent3" w:sz="4" w:space="0"/>
          <w:bottom w:val="none" w:color="000000" w:sz="4" w:space="0"/>
          <w:right w:val="none" w:color="000000" w:sz="4" w:space="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b/>
        <w:color w:val="B2A1C6"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blPr/>
      <w:tcPr>
        <w:tcBorders>
          <w:top w:val="none" w:color="000000" w:sz="4" w:space="0"/>
          <w:left w:val="none" w:color="000000" w:sz="4" w:space="0"/>
          <w:bottom w:val="single" w:color="99D0DE" w:themeColor="accent5" w:sz="4" w:space="0"/>
          <w:right w:val="none" w:color="000000" w:sz="4" w:space="0"/>
        </w:tcBorders>
        <w:shd w:val="clear" w:color="FFFFFF" w:fill="FFFFFF" w:themeFill="light1"/>
      </w:tcPr>
    </w:tblStylePr>
    <w:tblStylePr w:type="lastRow">
      <w:rPr>
        <w:b/>
        <w:color w:val="266779" w:themeColor="accent5" w:themeShade="95"/>
        <w:sz w:val="22"/>
      </w:rPr>
      <w:tblPr/>
      <w:tcPr>
        <w:tcBorders>
          <w:top w:val="single" w:color="99D0DE"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66779" w:themeColor="accent5" w:themeShade="95"/>
        <w:sz w:val="22"/>
      </w:rPr>
      <w:tblPr/>
      <w:tcPr>
        <w:tcBorders>
          <w:top w:val="none" w:color="000000" w:sz="4" w:space="0"/>
          <w:left w:val="none" w:color="000000" w:sz="4" w:space="0"/>
          <w:bottom w:val="none" w:color="000000" w:sz="4" w:space="0"/>
          <w:right w:val="single" w:color="99D0DE" w:themeColor="accent5" w:sz="4" w:space="0"/>
        </w:tcBorders>
        <w:shd w:val="clear" w:color="FFFFFF" w:fill="auto"/>
      </w:tcPr>
    </w:tblStylePr>
    <w:tblStylePr w:type="lastCol">
      <w:rPr>
        <w:i/>
        <w:color w:val="266779" w:themeColor="accent5" w:themeShade="95"/>
        <w:sz w:val="22"/>
      </w:rPr>
      <w:tblPr/>
      <w:tcPr>
        <w:tcBorders>
          <w:top w:val="none" w:color="000000" w:sz="4" w:space="0"/>
          <w:left w:val="single" w:color="99D0DE" w:themeColor="accent5" w:sz="4" w:space="0"/>
          <w:bottom w:val="none" w:color="000000" w:sz="4" w:space="0"/>
          <w:right w:val="none" w:color="000000" w:sz="4" w:space="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blPr/>
      <w:tcPr>
        <w:tcBorders>
          <w:top w:val="none" w:color="000000" w:sz="4" w:space="0"/>
          <w:left w:val="none" w:color="000000" w:sz="4" w:space="0"/>
          <w:bottom w:val="single" w:color="FAC396" w:themeColor="accent6" w:sz="4" w:space="0"/>
          <w:right w:val="none" w:color="000000" w:sz="4" w:space="0"/>
        </w:tcBorders>
        <w:shd w:val="clear" w:color="FFFFFF" w:fill="FFFFFF" w:themeFill="light1"/>
      </w:tcPr>
    </w:tblStylePr>
    <w:tblStylePr w:type="lastRow">
      <w:rPr>
        <w:b/>
        <w:color w:val="B15407" w:themeColor="accent6" w:themeShade="95"/>
        <w:sz w:val="22"/>
      </w:rPr>
      <w:tblPr/>
      <w:tcPr>
        <w:tcBorders>
          <w:top w:val="single" w:color="FAC396"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B15407" w:themeColor="accent6" w:themeShade="95"/>
        <w:sz w:val="22"/>
      </w:rPr>
      <w:tblPr/>
      <w:tcPr>
        <w:tcBorders>
          <w:top w:val="none" w:color="000000" w:sz="4" w:space="0"/>
          <w:left w:val="none" w:color="000000" w:sz="4" w:space="0"/>
          <w:bottom w:val="none" w:color="000000" w:sz="4" w:space="0"/>
          <w:right w:val="single" w:color="FAC396" w:themeColor="accent6" w:sz="4" w:space="0"/>
        </w:tcBorders>
        <w:shd w:val="clear" w:color="FFFFFF" w:fill="auto"/>
      </w:tcPr>
    </w:tblStylePr>
    <w:tblStylePr w:type="lastCol">
      <w:rPr>
        <w:i/>
        <w:color w:val="B15407" w:themeColor="accent6" w:themeShade="95"/>
        <w:sz w:val="22"/>
      </w:rPr>
      <w:tblPr/>
      <w:tcPr>
        <w:tcBorders>
          <w:top w:val="none" w:color="000000" w:sz="4" w:space="0"/>
          <w:left w:val="single" w:color="FAC396" w:themeColor="accent6" w:sz="4" w:space="0"/>
          <w:bottom w:val="none" w:color="000000" w:sz="4" w:space="0"/>
          <w:right w:val="none" w:color="000000" w:sz="4" w:space="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color w:val="404040"/>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color w:val="404040"/>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color w:val="404040"/>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color w:val="404040"/>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color w:val="404040"/>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color w:val="404040"/>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color w:val="FFFFFF"/>
        <w:sz w:val="22"/>
      </w:rPr>
      <w:tblPr/>
      <w:tcPr>
        <w:shd w:val="clear" w:color="D99695"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D99695" w:themeColor="accent2" w:sz="4" w:space="0"/>
          <w:right w:val="single" w:color="D99695" w:themeColor="accent2" w:sz="4" w:space="0"/>
        </w:tcBorders>
      </w:tcPr>
    </w:tblStylePr>
    <w:tblStylePr w:type="band1Horz">
      <w:rPr>
        <w:color w:val="404040"/>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color w:val="FFFFFF"/>
        <w:sz w:val="22"/>
      </w:rPr>
      <w:tblPr/>
      <w:tcPr>
        <w:shd w:val="clear" w:color="C3D69B"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3D69B" w:themeColor="accent3" w:sz="4" w:space="0"/>
          <w:right w:val="single" w:color="C3D69B" w:themeColor="accent3" w:sz="4" w:space="0"/>
        </w:tcBorders>
      </w:tcPr>
    </w:tblStylePr>
    <w:tblStylePr w:type="band1Horz">
      <w:rPr>
        <w:color w:val="404040"/>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color w:val="FFFFFF"/>
        <w:sz w:val="22"/>
      </w:rPr>
      <w:tblPr/>
      <w:tcPr>
        <w:shd w:val="clear" w:color="B2A1C6"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B2A1C6" w:themeColor="accent4" w:sz="4" w:space="0"/>
          <w:right w:val="single" w:color="B2A1C6" w:themeColor="accent4" w:sz="4" w:space="0"/>
        </w:tcBorders>
      </w:tcPr>
    </w:tblStylePr>
    <w:tblStylePr w:type="band1Horz">
      <w:rPr>
        <w:color w:val="404040"/>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color w:val="FFFFFF"/>
        <w:sz w:val="22"/>
      </w:rPr>
      <w:tblPr/>
      <w:tcPr>
        <w:shd w:val="clear" w:color="92CCDC"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2CCDC" w:themeColor="accent5" w:sz="4" w:space="0"/>
          <w:right w:val="single" w:color="92CCDC" w:themeColor="accent5" w:sz="4" w:space="0"/>
        </w:tcBorders>
      </w:tcPr>
    </w:tblStylePr>
    <w:tblStylePr w:type="band1Horz">
      <w:rPr>
        <w:color w:val="404040"/>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color w:val="FFFFFF"/>
        <w:sz w:val="22"/>
      </w:rPr>
      <w:tblPr/>
      <w:tcPr>
        <w:shd w:val="clear" w:color="FAC090"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AC090" w:themeColor="accent6" w:sz="4" w:space="0"/>
          <w:right w:val="single" w:color="FAC090" w:themeColor="accent6" w:sz="4" w:space="0"/>
        </w:tcBorders>
      </w:tcPr>
    </w:tblStylePr>
    <w:tblStylePr w:type="band1Horz">
      <w:rPr>
        <w:color w:val="404040"/>
        <w:sz w:val="22"/>
      </w:rPr>
      <w:tblPr/>
      <w:tcPr>
        <w:tcBorders>
          <w:top w:val="single" w:color="FAC090" w:themeColor="accent6" w:sz="4" w:space="0"/>
          <w:bottom w:val="single" w:color="FAC090" w:themeColor="accent6" w:sz="4" w:space="0"/>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color w:val="FFFFFF"/>
        <w:sz w:val="22"/>
      </w:rPr>
      <w:tblPr/>
      <w:tcPr>
        <w:shd w:val="clear" w:color="4F81BD"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2DFEE" w:fill="D2DFEE" w:themeFill="accent1" w:themeFillTint="40"/>
      </w:tcPr>
    </w:tblStylePr>
    <w:tblStylePr w:type="band1Horz">
      <w:rPr>
        <w:color w:val="404040"/>
        <w:sz w:val="22"/>
      </w:rPr>
      <w:tblPr/>
      <w:tcPr>
        <w:shd w:val="clear" w:color="D2DFEE"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color w:val="FFFFFF"/>
        <w:sz w:val="22"/>
      </w:rPr>
      <w:tblPr/>
      <w:tcPr>
        <w:shd w:val="clear" w:color="C0504D"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FD2D2" w:fill="EFD2D2" w:themeFill="accent2" w:themeFillTint="40"/>
      </w:tcPr>
    </w:tblStylePr>
    <w:tblStylePr w:type="band1Horz">
      <w:rPr>
        <w:color w:val="404040"/>
        <w:sz w:val="22"/>
      </w:rPr>
      <w:tblPr/>
      <w:tcPr>
        <w:shd w:val="clear" w:color="EFD2D2"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color w:val="FFFFFF"/>
        <w:sz w:val="22"/>
      </w:rPr>
      <w:tblPr/>
      <w:tcPr>
        <w:shd w:val="clear" w:color="9BBB59"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5EED5" w:fill="E5EED5" w:themeFill="accent3" w:themeFillTint="40"/>
      </w:tcPr>
    </w:tblStylePr>
    <w:tblStylePr w:type="band1Horz">
      <w:rPr>
        <w:color w:val="404040"/>
        <w:sz w:val="22"/>
      </w:rPr>
      <w:tblPr/>
      <w:tcPr>
        <w:shd w:val="clear" w:color="E5EED5"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color w:val="FFFFFF"/>
        <w:sz w:val="22"/>
      </w:rPr>
      <w:tblPr/>
      <w:tcPr>
        <w:shd w:val="clear" w:color="8064A2"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FD8E7" w:fill="DFD8E7" w:themeFill="accent4" w:themeFillTint="40"/>
      </w:tcPr>
    </w:tblStylePr>
    <w:tblStylePr w:type="band1Horz">
      <w:rPr>
        <w:color w:val="404040"/>
        <w:sz w:val="22"/>
      </w:rPr>
      <w:tblPr/>
      <w:tcPr>
        <w:shd w:val="clear" w:color="DFD8E7"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color w:val="FFFFFF"/>
        <w:sz w:val="22"/>
      </w:rPr>
      <w:tblPr/>
      <w:tcPr>
        <w:shd w:val="clear" w:color="4BACC6"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1EAF0" w:fill="D1EAF0" w:themeFill="accent5" w:themeFillTint="40"/>
      </w:tcPr>
    </w:tblStylePr>
    <w:tblStylePr w:type="band1Horz">
      <w:rPr>
        <w:color w:val="404040"/>
        <w:sz w:val="22"/>
      </w:rPr>
      <w:tblPr/>
      <w:tcPr>
        <w:shd w:val="clear" w:color="D1EAF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color w:val="FFFFFF"/>
        <w:sz w:val="22"/>
      </w:rPr>
      <w:tblPr/>
      <w:tcPr>
        <w:shd w:val="clear" w:color="F7964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DE4D0" w:fill="FDE4D0" w:themeFill="accent6" w:themeFillTint="40"/>
      </w:tcPr>
    </w:tblStylePr>
    <w:tblStylePr w:type="band1Horz">
      <w:rPr>
        <w:color w:val="404040"/>
        <w:sz w:val="22"/>
      </w:rPr>
      <w:tblPr/>
      <w:tcPr>
        <w:shd w:val="clear" w:color="FDE4D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val="FFFFFF"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val="FFFFFF"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D99695" w:themeColor="accent2" w:sz="4" w:space="0"/>
        </w:tcBorders>
      </w:tcPr>
    </w:tblStylePr>
    <w:tblStylePr w:type="lastRow">
      <w:rPr>
        <w:b/>
        <w:color w:val="D99695" w:themeColor="accent2" w:themeTint="97" w:themeShade="95"/>
      </w:rPr>
      <w:tblPr/>
      <w:tcPr>
        <w:tcBorders>
          <w:top w:val="single" w:color="D99695"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C3D69B" w:themeColor="accent3" w:sz="4" w:space="0"/>
        </w:tcBorders>
      </w:tcPr>
    </w:tblStylePr>
    <w:tblStylePr w:type="lastRow">
      <w:rPr>
        <w:b/>
        <w:color w:val="C3D69B" w:themeColor="accent3" w:themeTint="98" w:themeShade="95"/>
      </w:rPr>
      <w:tblPr/>
      <w:tcPr>
        <w:tcBorders>
          <w:top w:val="single" w:color="C3D69B"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B2A1C6" w:themeColor="accent4" w:sz="4" w:space="0"/>
        </w:tcBorders>
      </w:tcPr>
    </w:tblStylePr>
    <w:tblStylePr w:type="lastRow">
      <w:rPr>
        <w:b/>
        <w:color w:val="B2A1C6" w:themeColor="accent4" w:themeTint="9a" w:themeShade="95"/>
      </w:rPr>
      <w:tblPr/>
      <w:tcPr>
        <w:tcBorders>
          <w:top w:val="single" w:color="B2A1C6"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92CCDC" w:themeColor="accent5" w:sz="4" w:space="0"/>
        </w:tcBorders>
      </w:tcPr>
    </w:tblStylePr>
    <w:tblStylePr w:type="lastRow">
      <w:rPr>
        <w:b/>
        <w:color w:val="92CCDC" w:themeColor="accent5" w:themeTint="9a" w:themeShade="95"/>
      </w:rPr>
      <w:tblPr/>
      <w:tcPr>
        <w:tcBorders>
          <w:top w:val="single" w:color="92CCDC"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AC090" w:themeColor="accent6" w:sz="4" w:space="0"/>
        </w:tcBorders>
      </w:tcPr>
    </w:tblStylePr>
    <w:tblStylePr w:type="lastRow">
      <w:rPr>
        <w:b/>
        <w:color w:val="FAC090" w:themeColor="accent6" w:themeTint="98" w:themeShade="95"/>
      </w:rPr>
      <w:tblPr/>
      <w:tcPr>
        <w:tcBorders>
          <w:top w:val="single" w:color="FAC090"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color="4F81BD" w:themeColor="accent1" w:sz="4" w:space="0"/>
      </w:tblBorders>
    </w:tblPr>
    <w:tblStylePr w:type="firstRow">
      <w:rPr>
        <w:i/>
        <w:color w:val="2A4A71"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A4A71"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color="D99695" w:themeColor="accent2" w:themeTint="97" w:sz="4" w:space="0"/>
      </w:tblBorders>
    </w:tblPr>
    <w:tblStylePr w:type="firstRow">
      <w:rPr>
        <w:i/>
        <w:color w:val="D99695" w:themeColor="accent2" w:themeTint="97" w:themeShade="95"/>
        <w:sz w:val="22"/>
      </w:rPr>
      <w:tblPr/>
      <w:tcPr>
        <w:tcBorders>
          <w:top w:val="none" w:color="000000" w:sz="4" w:space="0"/>
          <w:left w:val="none" w:color="000000" w:sz="4" w:space="0"/>
          <w:bottom w:val="single" w:color="D99695" w:themeColor="accent2" w:sz="4" w:space="0"/>
          <w:right w:val="none" w:color="000000" w:sz="4" w:space="0"/>
        </w:tcBorders>
        <w:shd w:val="clear" w:color="FFFFFF" w:fill="FFFFFF" w:themeFill="light1"/>
      </w:tcPr>
    </w:tblStylePr>
    <w:tblStylePr w:type="lastRow">
      <w:rPr>
        <w:i/>
        <w:color w:val="D99695" w:themeColor="accent2" w:themeTint="97" w:themeShade="95"/>
        <w:sz w:val="22"/>
      </w:rPr>
      <w:tblPr/>
      <w:tcPr>
        <w:tcBorders>
          <w:top w:val="single" w:color="D99695"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D99695" w:themeColor="accent2" w:themeTint="97" w:themeShade="95"/>
        <w:sz w:val="22"/>
      </w:rPr>
      <w:tblPr/>
      <w:tcPr>
        <w:tcBorders>
          <w:top w:val="none" w:color="000000" w:sz="4" w:space="0"/>
          <w:left w:val="none" w:color="000000" w:sz="4" w:space="0"/>
          <w:bottom w:val="none" w:color="000000" w:sz="4" w:space="0"/>
          <w:right w:val="single" w:color="D99695" w:themeColor="accent2" w:sz="4" w:space="0"/>
        </w:tcBorders>
        <w:shd w:val="clear" w:color="FFFFFF" w:fill="auto"/>
      </w:tcPr>
    </w:tblStylePr>
    <w:tblStylePr w:type="lastCol">
      <w:rPr>
        <w:i/>
        <w:color w:val="D99695" w:themeColor="accent2" w:themeTint="97" w:themeShade="95"/>
        <w:sz w:val="22"/>
      </w:rPr>
      <w:tblPr/>
      <w:tcPr>
        <w:tcBorders>
          <w:top w:val="none" w:color="000000" w:sz="4" w:space="0"/>
          <w:left w:val="single" w:color="D99695" w:themeColor="accent2" w:sz="4" w:space="0"/>
          <w:bottom w:val="none" w:color="000000" w:sz="4" w:space="0"/>
          <w:right w:val="none" w:color="000000" w:sz="4" w:space="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blPr/>
      <w:tcPr>
        <w:tcBorders>
          <w:top w:val="none" w:color="000000" w:sz="4" w:space="0"/>
          <w:left w:val="none" w:color="000000" w:sz="4" w:space="0"/>
          <w:bottom w:val="single" w:color="C3D69B" w:themeColor="accent3" w:sz="4" w:space="0"/>
          <w:right w:val="none" w:color="000000" w:sz="4" w:space="0"/>
        </w:tcBorders>
        <w:shd w:val="clear" w:color="FFFFFF" w:fill="FFFFFF" w:themeFill="light1"/>
      </w:tcPr>
    </w:tblStylePr>
    <w:tblStylePr w:type="lastRow">
      <w:rPr>
        <w:i/>
        <w:color w:val="C3D69B" w:themeColor="accent3" w:themeTint="98" w:themeShade="95"/>
        <w:sz w:val="22"/>
      </w:rPr>
      <w:tblPr/>
      <w:tcPr>
        <w:tcBorders>
          <w:top w:val="single" w:color="C3D69B"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C3D69B" w:themeColor="accent3" w:themeTint="98" w:themeShade="95"/>
        <w:sz w:val="22"/>
      </w:rPr>
      <w:tblPr/>
      <w:tcPr>
        <w:tcBorders>
          <w:top w:val="none" w:color="000000" w:sz="4" w:space="0"/>
          <w:left w:val="none" w:color="000000" w:sz="4" w:space="0"/>
          <w:bottom w:val="none" w:color="000000" w:sz="4" w:space="0"/>
          <w:right w:val="single" w:color="C3D69B" w:themeColor="accent3" w:sz="4" w:space="0"/>
        </w:tcBorders>
        <w:shd w:val="clear" w:color="FFFFFF" w:fill="auto"/>
      </w:tcPr>
    </w:tblStylePr>
    <w:tblStylePr w:type="lastCol">
      <w:rPr>
        <w:i/>
        <w:color w:val="C3D69B" w:themeColor="accent3" w:themeTint="98" w:themeShade="95"/>
        <w:sz w:val="22"/>
      </w:rPr>
      <w:tblPr/>
      <w:tcPr>
        <w:tcBorders>
          <w:top w:val="none" w:color="000000" w:sz="4" w:space="0"/>
          <w:left w:val="single" w:color="C3D69B" w:themeColor="accent3" w:sz="4" w:space="0"/>
          <w:bottom w:val="none" w:color="000000" w:sz="4" w:space="0"/>
          <w:right w:val="none" w:color="000000" w:sz="4" w:space="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blPr/>
      <w:tcPr>
        <w:tcBorders>
          <w:top w:val="none" w:color="000000" w:sz="4" w:space="0"/>
          <w:left w:val="none" w:color="000000" w:sz="4" w:space="0"/>
          <w:bottom w:val="single" w:color="B2A1C6" w:themeColor="accent4" w:sz="4" w:space="0"/>
          <w:right w:val="none" w:color="000000" w:sz="4" w:space="0"/>
        </w:tcBorders>
        <w:shd w:val="clear" w:color="FFFFFF" w:fill="FFFFFF" w:themeFill="light1"/>
      </w:tcPr>
    </w:tblStylePr>
    <w:tblStylePr w:type="lastRow">
      <w:rPr>
        <w:i/>
        <w:color w:val="B2A1C6" w:themeColor="accent4" w:themeTint="9a" w:themeShade="95"/>
        <w:sz w:val="22"/>
      </w:rPr>
      <w:tblPr/>
      <w:tcPr>
        <w:tcBorders>
          <w:top w:val="single" w:color="B2A1C6"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B2A1C6" w:themeColor="accent4" w:themeTint="9a" w:themeShade="95"/>
        <w:sz w:val="22"/>
      </w:rPr>
      <w:tblPr/>
      <w:tcPr>
        <w:tcBorders>
          <w:top w:val="none" w:color="000000" w:sz="4" w:space="0"/>
          <w:left w:val="none" w:color="000000" w:sz="4" w:space="0"/>
          <w:bottom w:val="none" w:color="000000" w:sz="4" w:space="0"/>
          <w:right w:val="single" w:color="B2A1C6" w:themeColor="accent4" w:sz="4" w:space="0"/>
        </w:tcBorders>
        <w:shd w:val="clear" w:color="FFFFFF" w:fill="auto"/>
      </w:tcPr>
    </w:tblStylePr>
    <w:tblStylePr w:type="lastCol">
      <w:rPr>
        <w:i/>
        <w:color w:val="B2A1C6" w:themeColor="accent4" w:themeTint="9a" w:themeShade="95"/>
        <w:sz w:val="22"/>
      </w:rPr>
      <w:tblPr/>
      <w:tcPr>
        <w:tcBorders>
          <w:top w:val="none" w:color="000000" w:sz="4" w:space="0"/>
          <w:left w:val="single" w:color="B2A1C6" w:themeColor="accent4" w:sz="4" w:space="0"/>
          <w:bottom w:val="none" w:color="000000" w:sz="4" w:space="0"/>
          <w:right w:val="none" w:color="000000" w:sz="4" w:space="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blPr/>
      <w:tcPr>
        <w:tcBorders>
          <w:top w:val="none" w:color="000000" w:sz="4" w:space="0"/>
          <w:left w:val="none" w:color="000000" w:sz="4" w:space="0"/>
          <w:bottom w:val="single" w:color="92CCDC" w:themeColor="accent5" w:sz="4" w:space="0"/>
          <w:right w:val="none" w:color="000000" w:sz="4" w:space="0"/>
        </w:tcBorders>
        <w:shd w:val="clear" w:color="FFFFFF" w:fill="FFFFFF" w:themeFill="light1"/>
      </w:tcPr>
    </w:tblStylePr>
    <w:tblStylePr w:type="lastRow">
      <w:rPr>
        <w:i/>
        <w:color w:val="92CCDC" w:themeColor="accent5" w:themeTint="9a" w:themeShade="95"/>
        <w:sz w:val="22"/>
      </w:rPr>
      <w:tblPr/>
      <w:tcPr>
        <w:tcBorders>
          <w:top w:val="single" w:color="92CCDC"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92CCDC" w:themeColor="accent5" w:themeTint="9a" w:themeShade="95"/>
        <w:sz w:val="22"/>
      </w:rPr>
      <w:tblPr/>
      <w:tcPr>
        <w:tcBorders>
          <w:top w:val="none" w:color="000000" w:sz="4" w:space="0"/>
          <w:left w:val="none" w:color="000000" w:sz="4" w:space="0"/>
          <w:bottom w:val="none" w:color="000000" w:sz="4" w:space="0"/>
          <w:right w:val="single" w:color="92CCDC" w:themeColor="accent5" w:sz="4" w:space="0"/>
        </w:tcBorders>
        <w:shd w:val="clear" w:color="FFFFFF" w:fill="auto"/>
      </w:tcPr>
    </w:tblStylePr>
    <w:tblStylePr w:type="lastCol">
      <w:rPr>
        <w:i/>
        <w:color w:val="92CCDC" w:themeColor="accent5" w:themeTint="9a" w:themeShade="95"/>
        <w:sz w:val="22"/>
      </w:rPr>
      <w:tblPr/>
      <w:tcPr>
        <w:tcBorders>
          <w:top w:val="none" w:color="000000" w:sz="4" w:space="0"/>
          <w:left w:val="single" w:color="92CCDC" w:themeColor="accent5" w:sz="4" w:space="0"/>
          <w:bottom w:val="none" w:color="000000" w:sz="4" w:space="0"/>
          <w:right w:val="none" w:color="000000" w:sz="4" w:space="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blPr/>
      <w:tcPr>
        <w:tcBorders>
          <w:top w:val="none" w:color="000000" w:sz="4" w:space="0"/>
          <w:left w:val="none" w:color="000000" w:sz="4" w:space="0"/>
          <w:bottom w:val="single" w:color="FAC090" w:themeColor="accent6" w:sz="4" w:space="0"/>
          <w:right w:val="none" w:color="000000" w:sz="4" w:space="0"/>
        </w:tcBorders>
        <w:shd w:val="clear" w:color="FFFFFF" w:fill="FFFFFF" w:themeFill="light1"/>
      </w:tcPr>
    </w:tblStylePr>
    <w:tblStylePr w:type="lastRow">
      <w:rPr>
        <w:i/>
        <w:color w:val="FAC090" w:themeColor="accent6" w:themeTint="98" w:themeShade="95"/>
        <w:sz w:val="22"/>
      </w:rPr>
      <w:tblPr/>
      <w:tcPr>
        <w:tcBorders>
          <w:top w:val="single" w:color="FAC090"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AC090" w:themeColor="accent6" w:themeTint="98" w:themeShade="95"/>
        <w:sz w:val="22"/>
      </w:rPr>
      <w:tblPr/>
      <w:tcPr>
        <w:tcBorders>
          <w:top w:val="none" w:color="000000" w:sz="4" w:space="0"/>
          <w:left w:val="none" w:color="000000" w:sz="4" w:space="0"/>
          <w:bottom w:val="none" w:color="000000" w:sz="4" w:space="0"/>
          <w:right w:val="single" w:color="FAC090" w:themeColor="accent6" w:sz="4" w:space="0"/>
        </w:tcBorders>
        <w:shd w:val="clear" w:color="FFFFFF" w:fill="auto"/>
      </w:tcPr>
    </w:tblStylePr>
    <w:tblStylePr w:type="lastCol">
      <w:rPr>
        <w:i/>
        <w:color w:val="FAC090" w:themeColor="accent6" w:themeTint="98" w:themeShade="95"/>
        <w:sz w:val="22"/>
      </w:rPr>
      <w:tblPr/>
      <w:tcPr>
        <w:tcBorders>
          <w:top w:val="none" w:color="000000" w:sz="4" w:space="0"/>
          <w:left w:val="single" w:color="FAC090" w:themeColor="accent6" w:sz="4" w:space="0"/>
          <w:bottom w:val="none" w:color="000000" w:sz="4" w:space="0"/>
          <w:right w:val="none" w:color="000000" w:sz="4" w:space="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Tabelanormal"/>
    <w:uiPriority w:val="99"/>
    <w:pPr>
      <w:spacing w:after="0" w:line="240" w:lineRule="auto"/>
    </w:pPr>
    <w:rPr>
      <w:lang w:eastAsia="pt-BR"/>
      <w:color w:val="404040"/>
      <w:sz w:val="20"/>
      <w:szCs w:val="2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Tabelanormal"/>
    <w:uiPriority w:val="99"/>
    <w:pPr>
      <w:spacing w:after="0" w:line="240" w:lineRule="auto"/>
    </w:pPr>
    <w:rPr>
      <w:lang w:eastAsia="pt-BR"/>
      <w:color w:val="404040"/>
      <w:sz w:val="20"/>
      <w:szCs w:val="20"/>
    </w:rPr>
    <w:tblPr>
      <w:tblStyleRowBandSize w:val="1"/>
      <w:tblStyleColBandSize w:val="1"/>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Lined-Accent2">
    <w:name w:val="Lined - Accent 2"/>
    <w:basedOn w:val="Tabelanormal"/>
    <w:uiPriority w:val="99"/>
    <w:pPr>
      <w:spacing w:after="0" w:line="240" w:lineRule="auto"/>
    </w:pPr>
    <w:rPr>
      <w:lang w:eastAsia="pt-BR"/>
      <w:color w:val="404040"/>
      <w:sz w:val="20"/>
      <w:szCs w:val="20"/>
    </w:rPr>
    <w:tblPr>
      <w:tblStyleRowBandSize w:val="1"/>
      <w:tblStyleColBandSize w:val="1"/>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Lined-Accent3">
    <w:name w:val="Lined - Accent 3"/>
    <w:basedOn w:val="Tabelanormal"/>
    <w:uiPriority w:val="99"/>
    <w:pPr>
      <w:spacing w:after="0" w:line="240" w:lineRule="auto"/>
    </w:pPr>
    <w:rPr>
      <w:lang w:eastAsia="pt-BR"/>
      <w:color w:val="404040"/>
      <w:sz w:val="20"/>
      <w:szCs w:val="20"/>
    </w:rPr>
    <w:tblPr>
      <w:tblStyleRowBandSize w:val="1"/>
      <w:tblStyleColBandSize w:val="1"/>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Lined-Accent4">
    <w:name w:val="Lined - Accent 4"/>
    <w:basedOn w:val="Tabelanormal"/>
    <w:uiPriority w:val="99"/>
    <w:pPr>
      <w:spacing w:after="0" w:line="240" w:lineRule="auto"/>
    </w:pPr>
    <w:rPr>
      <w:lang w:eastAsia="pt-BR"/>
      <w:color w:val="404040"/>
      <w:sz w:val="20"/>
      <w:szCs w:val="20"/>
    </w:rPr>
    <w:tblPr>
      <w:tblStyleRowBandSize w:val="1"/>
      <w:tblStyleColBandSize w:val="1"/>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Lined-Accent5">
    <w:name w:val="Lined - Accent 5"/>
    <w:basedOn w:val="Tabelanormal"/>
    <w:uiPriority w:val="99"/>
    <w:pPr>
      <w:spacing w:after="0" w:line="240" w:lineRule="auto"/>
    </w:pPr>
    <w:rPr>
      <w:lang w:eastAsia="pt-BR"/>
      <w:color w:val="404040"/>
      <w:sz w:val="20"/>
      <w:szCs w:val="20"/>
    </w:rPr>
    <w:tblPr>
      <w:tblStyleRowBandSize w:val="1"/>
      <w:tblStyleColBandSize w:val="1"/>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Lined-Accent6">
    <w:name w:val="Lined - Accent 6"/>
    <w:basedOn w:val="Tabelanormal"/>
    <w:uiPriority w:val="99"/>
    <w:pPr>
      <w:spacing w:after="0" w:line="240" w:lineRule="auto"/>
    </w:pPr>
    <w:rPr>
      <w:lang w:eastAsia="pt-BR"/>
      <w:color w:val="404040"/>
      <w:sz w:val="20"/>
      <w:szCs w:val="20"/>
    </w:rPr>
    <w:tblPr>
      <w:tblStyleRowBandSize w:val="1"/>
      <w:tblStyleColBandSize w:val="1"/>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Lined-Accent">
    <w:name w:val="Bordered &amp; Lined - Accent"/>
    <w:basedOn w:val="Tabelanormal"/>
    <w:uiPriority w:val="99"/>
    <w:pPr>
      <w:spacing w:after="0" w:line="240" w:lineRule="auto"/>
    </w:pPr>
    <w:rPr>
      <w:lang w:eastAsia="pt-B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Tabelanormal"/>
    <w:uiPriority w:val="99"/>
    <w:pPr>
      <w:spacing w:after="0" w:line="240" w:lineRule="auto"/>
    </w:pPr>
    <w:rPr>
      <w:lang w:eastAsia="pt-BR"/>
      <w:color w:val="404040"/>
      <w:sz w:val="20"/>
      <w:szCs w:val="20"/>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Pr>
    <w:tblStylePr w:type="firstRow">
      <w:rPr>
        <w:color w:val="F2F2F2"/>
        <w:sz w:val="22"/>
      </w:rPr>
      <w:tblPr/>
      <w:tcPr>
        <w:shd w:val="clear" w:color="5D8AC2" w:fill="5D8AC2" w:themeFill="accent1" w:themeFillTint="ea"/>
      </w:tcPr>
    </w:tblStylePr>
    <w:tblStylePr w:type="lastRow">
      <w:rPr>
        <w:color w:val="F2F2F2"/>
        <w:sz w:val="22"/>
      </w:rPr>
      <w:tblPr/>
      <w:tcPr>
        <w:shd w:val="clear" w:color="5D8AC2" w:fill="5D8AC2" w:themeFill="accent1" w:themeFillTint="ea"/>
      </w:tcPr>
    </w:tblStylePr>
    <w:tblStylePr w:type="firstCol">
      <w:rPr>
        <w:color w:val="F2F2F2"/>
        <w:sz w:val="22"/>
      </w:rPr>
      <w:tblPr/>
      <w:tcPr>
        <w:shd w:val="clear" w:color="5D8AC2" w:fill="5D8AC2" w:themeFill="accent1" w:themeFillTint="ea"/>
      </w:tcPr>
    </w:tblStylePr>
    <w:tblStylePr w:type="lastCol">
      <w:rPr>
        <w:color w:val="F2F2F2"/>
        <w:sz w:val="22"/>
      </w:rPr>
      <w:tblPr/>
      <w:tcPr>
        <w:shd w:val="clear" w:color="5D8AC2" w:fill="5D8AC2" w:themeFill="accent1" w:themeFillTint="ea"/>
      </w:tcPr>
    </w:tblStylePr>
    <w:tblStylePr w:type="band1Vert">
      <w:rPr>
        <w:color w:val="404040"/>
        <w:sz w:val="22"/>
      </w:rPr>
      <w:tblPr/>
    </w:tblStylePr>
    <w:tblStylePr w:type="band2Vert">
      <w:rPr>
        <w:color w:val="404040"/>
        <w:sz w:val="22"/>
      </w:rPr>
      <w:tblPr/>
      <w:tcPr>
        <w:shd w:val="clear" w:color="C7D7EA" w:fill="C7D7EA" w:themeFill="accent1" w:themeFillTint="50"/>
      </w:tcPr>
    </w:tblStylePr>
    <w:tblStylePr w:type="band1Horz">
      <w:rPr>
        <w:color w:val="404040"/>
        <w:sz w:val="22"/>
      </w:rPr>
      <w:tblPr/>
    </w:tblStylePr>
    <w:tblStylePr w:type="band2Horz">
      <w:rPr>
        <w:color w:val="404040"/>
        <w:sz w:val="22"/>
      </w:rPr>
      <w:tblPr/>
      <w:tcPr>
        <w:shd w:val="clear" w:color="C7D7EA" w:fill="C7D7EA" w:themeFill="accent1" w:themeFillTint="50"/>
      </w:tcPr>
    </w:tblStylePr>
  </w:style>
  <w:style w:type="table" w:customStyle="1" w:styleId="BorderedLined-Accent2">
    <w:name w:val="Bordered &amp; Lined - Accent 2"/>
    <w:basedOn w:val="Tabelanormal"/>
    <w:uiPriority w:val="99"/>
    <w:pPr>
      <w:spacing w:after="0" w:line="240" w:lineRule="auto"/>
    </w:pPr>
    <w:rPr>
      <w:lang w:eastAsia="pt-BR"/>
      <w:color w:val="404040"/>
      <w:sz w:val="20"/>
      <w:szCs w:val="20"/>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Pr>
    <w:tblStylePr w:type="firstRow">
      <w:rPr>
        <w:color w:val="F2F2F2"/>
        <w:sz w:val="22"/>
      </w:rPr>
      <w:tblPr/>
      <w:tcPr>
        <w:shd w:val="clear" w:color="D99695" w:fill="D99695" w:themeFill="accent2" w:themeFillTint="97"/>
      </w:tcPr>
    </w:tblStylePr>
    <w:tblStylePr w:type="lastRow">
      <w:rPr>
        <w:color w:val="F2F2F2"/>
        <w:sz w:val="22"/>
      </w:rPr>
      <w:tblPr/>
      <w:tcPr>
        <w:shd w:val="clear" w:color="D99695" w:fill="D99695" w:themeFill="accent2" w:themeFillTint="97"/>
      </w:tcPr>
    </w:tblStylePr>
    <w:tblStylePr w:type="firstCol">
      <w:rPr>
        <w:color w:val="F2F2F2"/>
        <w:sz w:val="22"/>
      </w:rPr>
      <w:tblPr/>
      <w:tcPr>
        <w:shd w:val="clear" w:color="D99695" w:fill="D99695" w:themeFill="accent2" w:themeFillTint="97"/>
      </w:tcPr>
    </w:tblStylePr>
    <w:tblStylePr w:type="lastCol">
      <w:rPr>
        <w:color w:val="F2F2F2"/>
        <w:sz w:val="22"/>
      </w:rPr>
      <w:tblPr/>
      <w:tcPr>
        <w:shd w:val="clear" w:color="D99695" w:fill="D99695" w:themeFill="accent2" w:themeFillTint="97"/>
      </w:tcPr>
    </w:tblStylePr>
    <w:tblStylePr w:type="band1Vert">
      <w:rPr>
        <w:color w:val="404040"/>
        <w:sz w:val="22"/>
      </w:rPr>
      <w:tblPr/>
    </w:tblStylePr>
    <w:tblStylePr w:type="band2Vert">
      <w:rPr>
        <w:color w:val="404040"/>
        <w:sz w:val="22"/>
      </w:rPr>
      <w:tblPr/>
      <w:tcPr>
        <w:shd w:val="clear" w:color="F2DCDC" w:fill="F2DCDC" w:themeFill="accent2" w:themeFillTint="32"/>
      </w:tcPr>
    </w:tblStylePr>
    <w:tblStylePr w:type="band1Horz">
      <w:rPr>
        <w:color w:val="404040"/>
        <w:sz w:val="22"/>
      </w:rPr>
      <w:tblPr/>
    </w:tblStylePr>
    <w:tblStylePr w:type="band2Horz">
      <w:rPr>
        <w:color w:val="404040"/>
        <w:sz w:val="22"/>
      </w:rPr>
      <w:tblPr/>
      <w:tcPr>
        <w:shd w:val="clear" w:color="F2DCDC" w:fill="F2DCDC" w:themeFill="accent2" w:themeFillTint="32"/>
      </w:tcPr>
    </w:tblStylePr>
  </w:style>
  <w:style w:type="table" w:customStyle="1" w:styleId="BorderedLined-Accent3">
    <w:name w:val="Bordered &amp; Lined - Accent 3"/>
    <w:basedOn w:val="Tabelanormal"/>
    <w:uiPriority w:val="99"/>
    <w:pPr>
      <w:spacing w:after="0" w:line="240" w:lineRule="auto"/>
    </w:pPr>
    <w:rPr>
      <w:lang w:eastAsia="pt-BR"/>
      <w:color w:val="404040"/>
      <w:sz w:val="20"/>
      <w:szCs w:val="20"/>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Pr>
    <w:tblStylePr w:type="firstRow">
      <w:rPr>
        <w:color w:val="F2F2F2"/>
        <w:sz w:val="22"/>
      </w:rPr>
      <w:tblPr/>
      <w:tcPr>
        <w:shd w:val="clear" w:color="9ABB59" w:fill="9ABB59" w:themeFill="accent3" w:themeFillTint="fe"/>
      </w:tcPr>
    </w:tblStylePr>
    <w:tblStylePr w:type="lastRow">
      <w:rPr>
        <w:color w:val="F2F2F2"/>
        <w:sz w:val="22"/>
      </w:rPr>
      <w:tblPr/>
      <w:tcPr>
        <w:shd w:val="clear" w:color="9ABB59" w:fill="9ABB59" w:themeFill="accent3" w:themeFillTint="fe"/>
      </w:tcPr>
    </w:tblStylePr>
    <w:tblStylePr w:type="firstCol">
      <w:rPr>
        <w:color w:val="F2F2F2"/>
        <w:sz w:val="22"/>
      </w:rPr>
      <w:tblPr/>
      <w:tcPr>
        <w:shd w:val="clear" w:color="9ABB59" w:fill="9ABB59" w:themeFill="accent3" w:themeFillTint="fe"/>
      </w:tcPr>
    </w:tblStylePr>
    <w:tblStylePr w:type="lastCol">
      <w:rPr>
        <w:color w:val="F2F2F2"/>
        <w:sz w:val="22"/>
      </w:rPr>
      <w:tblPr/>
      <w:tcPr>
        <w:shd w:val="clear" w:color="9ABB59" w:fill="9ABB59" w:themeFill="accent3" w:themeFillTint="fe"/>
      </w:tcPr>
    </w:tblStylePr>
    <w:tblStylePr w:type="band1Vert">
      <w:rPr>
        <w:color w:val="404040"/>
        <w:sz w:val="22"/>
      </w:rPr>
      <w:tblPr/>
    </w:tblStylePr>
    <w:tblStylePr w:type="band2Vert">
      <w:rPr>
        <w:color w:val="404040"/>
        <w:sz w:val="22"/>
      </w:rPr>
      <w:tblPr/>
      <w:tcPr>
        <w:shd w:val="clear" w:color="EAF1DC" w:fill="EAF1DC" w:themeFill="accent3" w:themeFillTint="34"/>
      </w:tcPr>
    </w:tblStylePr>
    <w:tblStylePr w:type="band1Horz">
      <w:rPr>
        <w:color w:val="404040"/>
        <w:sz w:val="22"/>
      </w:rPr>
      <w:tblPr/>
    </w:tblStylePr>
    <w:tblStylePr w:type="band2Horz">
      <w:rPr>
        <w:color w:val="404040"/>
        <w:sz w:val="22"/>
      </w:rPr>
      <w:tblPr/>
      <w:tcPr>
        <w:shd w:val="clear" w:color="EAF1DC" w:fill="EAF1DC" w:themeFill="accent3" w:themeFillTint="34"/>
      </w:tcPr>
    </w:tblStylePr>
  </w:style>
  <w:style w:type="table" w:customStyle="1" w:styleId="BorderedLined-Accent4">
    <w:name w:val="Bordered &amp; Lined - Accent 4"/>
    <w:basedOn w:val="Tabelanormal"/>
    <w:uiPriority w:val="99"/>
    <w:pPr>
      <w:spacing w:after="0" w:line="240" w:lineRule="auto"/>
    </w:pPr>
    <w:rPr>
      <w:lang w:eastAsia="pt-BR"/>
      <w:color w:val="404040"/>
      <w:sz w:val="20"/>
      <w:szCs w:val="20"/>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Pr>
    <w:tblStylePr w:type="firstRow">
      <w:rPr>
        <w:color w:val="F2F2F2"/>
        <w:sz w:val="22"/>
      </w:rPr>
      <w:tblPr/>
      <w:tcPr>
        <w:shd w:val="clear" w:color="B2A1C6" w:fill="B2A1C6" w:themeFill="accent4" w:themeFillTint="9a"/>
      </w:tcPr>
    </w:tblStylePr>
    <w:tblStylePr w:type="lastRow">
      <w:rPr>
        <w:color w:val="F2F2F2"/>
        <w:sz w:val="22"/>
      </w:rPr>
      <w:tblPr/>
      <w:tcPr>
        <w:shd w:val="clear" w:color="B2A1C6" w:fill="B2A1C6" w:themeFill="accent4" w:themeFillTint="9a"/>
      </w:tcPr>
    </w:tblStylePr>
    <w:tblStylePr w:type="firstCol">
      <w:rPr>
        <w:color w:val="F2F2F2"/>
        <w:sz w:val="22"/>
      </w:rPr>
      <w:tblPr/>
      <w:tcPr>
        <w:shd w:val="clear" w:color="B2A1C6" w:fill="B2A1C6" w:themeFill="accent4" w:themeFillTint="9a"/>
      </w:tcPr>
    </w:tblStylePr>
    <w:tblStylePr w:type="lastCol">
      <w:rPr>
        <w:color w:val="F2F2F2"/>
        <w:sz w:val="22"/>
      </w:rPr>
      <w:tblPr/>
      <w:tcPr>
        <w:shd w:val="clear" w:color="B2A1C6" w:fill="B2A1C6" w:themeFill="accent4" w:themeFillTint="9a"/>
      </w:tcPr>
    </w:tblStylePr>
    <w:tblStylePr w:type="band1Vert">
      <w:rPr>
        <w:color w:val="404040"/>
        <w:sz w:val="22"/>
      </w:rPr>
      <w:tblPr/>
    </w:tblStylePr>
    <w:tblStylePr w:type="band2Vert">
      <w:rPr>
        <w:color w:val="404040"/>
        <w:sz w:val="22"/>
      </w:rPr>
      <w:tblPr/>
      <w:tcPr>
        <w:shd w:val="clear" w:color="E5DFEC" w:fill="E5DFEC" w:themeFill="accent4" w:themeFillTint="34"/>
      </w:tcPr>
    </w:tblStylePr>
    <w:tblStylePr w:type="band1Horz">
      <w:rPr>
        <w:color w:val="404040"/>
        <w:sz w:val="22"/>
      </w:rPr>
      <w:tblPr/>
    </w:tblStylePr>
    <w:tblStylePr w:type="band2Horz">
      <w:rPr>
        <w:color w:val="404040"/>
        <w:sz w:val="22"/>
      </w:rPr>
      <w:tblPr/>
      <w:tcPr>
        <w:shd w:val="clear" w:color="E5DFEC" w:fill="E5DFEC" w:themeFill="accent4" w:themeFillTint="34"/>
      </w:tcPr>
    </w:tblStylePr>
  </w:style>
  <w:style w:type="table" w:customStyle="1" w:styleId="BorderedLined-Accent5">
    <w:name w:val="Bordered &amp; Lined - Accent 5"/>
    <w:basedOn w:val="Tabelanormal"/>
    <w:uiPriority w:val="99"/>
    <w:pPr>
      <w:spacing w:after="0" w:line="240" w:lineRule="auto"/>
    </w:pPr>
    <w:rPr>
      <w:lang w:eastAsia="pt-BR"/>
      <w:color w:val="404040"/>
      <w:sz w:val="20"/>
      <w:szCs w:val="20"/>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Pr>
    <w:tblStylePr w:type="firstRow">
      <w:rPr>
        <w:color w:val="F2F2F2"/>
        <w:sz w:val="22"/>
      </w:rPr>
      <w:tblPr/>
      <w:tcPr>
        <w:shd w:val="clear" w:color="4BACC6" w:fill="4BACC6" w:themeFill="accent5"/>
      </w:tcPr>
    </w:tblStylePr>
    <w:tblStylePr w:type="lastRow">
      <w:rPr>
        <w:color w:val="F2F2F2"/>
        <w:sz w:val="22"/>
      </w:rPr>
      <w:tblPr/>
      <w:tcPr>
        <w:shd w:val="clear" w:color="4BACC6" w:fill="4BACC6" w:themeFill="accent5"/>
      </w:tcPr>
    </w:tblStylePr>
    <w:tblStylePr w:type="firstCol">
      <w:rPr>
        <w:color w:val="F2F2F2"/>
        <w:sz w:val="22"/>
      </w:rPr>
      <w:tblPr/>
      <w:tcPr>
        <w:shd w:val="clear" w:color="4BACC6" w:fill="4BACC6" w:themeFill="accent5"/>
      </w:tcPr>
    </w:tblStylePr>
    <w:tblStylePr w:type="lastCol">
      <w:rPr>
        <w:color w:val="F2F2F2"/>
        <w:sz w:val="22"/>
      </w:rPr>
      <w:tblPr/>
      <w:tcPr>
        <w:shd w:val="clear" w:color="4BACC6" w:fill="4BACC6" w:themeFill="accent5"/>
      </w:tcPr>
    </w:tblStylePr>
    <w:tblStylePr w:type="band1Vert">
      <w:rPr>
        <w:color w:val="404040"/>
        <w:sz w:val="22"/>
      </w:rPr>
      <w:tblPr/>
    </w:tblStylePr>
    <w:tblStylePr w:type="band2Vert">
      <w:rPr>
        <w:color w:val="404040"/>
        <w:sz w:val="22"/>
      </w:rPr>
      <w:tblPr/>
      <w:tcPr>
        <w:shd w:val="clear" w:color="DAEEF3" w:fill="DAEEF3" w:themeFill="accent5" w:themeFillTint="34"/>
      </w:tcPr>
    </w:tblStylePr>
    <w:tblStylePr w:type="band1Horz">
      <w:rPr>
        <w:color w:val="404040"/>
        <w:sz w:val="22"/>
      </w:rPr>
      <w:tblPr/>
    </w:tblStylePr>
    <w:tblStylePr w:type="band2Horz">
      <w:rPr>
        <w:color w:val="404040"/>
        <w:sz w:val="22"/>
      </w:rPr>
      <w:tblPr/>
      <w:tcPr>
        <w:shd w:val="clear" w:color="DAEEF3" w:fill="DAEEF3" w:themeFill="accent5" w:themeFillTint="34"/>
      </w:tcPr>
    </w:tblStylePr>
  </w:style>
  <w:style w:type="table" w:customStyle="1" w:styleId="BorderedLined-Accent6">
    <w:name w:val="Bordered &amp; Lined - Accent 6"/>
    <w:basedOn w:val="Tabelanormal"/>
    <w:uiPriority w:val="99"/>
    <w:pPr>
      <w:spacing w:after="0" w:line="240" w:lineRule="auto"/>
    </w:pPr>
    <w:rPr>
      <w:lang w:eastAsia="pt-BR"/>
      <w:color w:val="404040"/>
      <w:sz w:val="20"/>
      <w:szCs w:val="20"/>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Pr>
    <w:tblStylePr w:type="firstRow">
      <w:rPr>
        <w:color w:val="F2F2F2"/>
        <w:sz w:val="22"/>
      </w:rPr>
      <w:tblPr/>
      <w:tcPr>
        <w:shd w:val="clear" w:color="F79646" w:fill="F79646" w:themeFill="accent6"/>
      </w:tcPr>
    </w:tblStylePr>
    <w:tblStylePr w:type="lastRow">
      <w:rPr>
        <w:color w:val="F2F2F2"/>
        <w:sz w:val="22"/>
      </w:rPr>
      <w:tblPr/>
      <w:tcPr>
        <w:shd w:val="clear" w:color="F79646" w:fill="F79646" w:themeFill="accent6"/>
      </w:tcPr>
    </w:tblStylePr>
    <w:tblStylePr w:type="firstCol">
      <w:rPr>
        <w:color w:val="F2F2F2"/>
        <w:sz w:val="22"/>
      </w:rPr>
      <w:tblPr/>
      <w:tcPr>
        <w:shd w:val="clear" w:color="F79646" w:fill="F79646" w:themeFill="accent6"/>
      </w:tcPr>
    </w:tblStylePr>
    <w:tblStylePr w:type="lastCol">
      <w:rPr>
        <w:color w:val="F2F2F2"/>
        <w:sz w:val="22"/>
      </w:rPr>
      <w:tblPr/>
      <w:tcPr>
        <w:shd w:val="clear" w:color="F79646" w:fill="F79646" w:themeFill="accent6"/>
      </w:tcPr>
    </w:tblStylePr>
    <w:tblStylePr w:type="band1Vert">
      <w:rPr>
        <w:color w:val="404040"/>
        <w:sz w:val="22"/>
      </w:rPr>
      <w:tblPr/>
    </w:tblStylePr>
    <w:tblStylePr w:type="band2Vert">
      <w:rPr>
        <w:color w:val="404040"/>
        <w:sz w:val="22"/>
      </w:rPr>
      <w:tblPr/>
      <w:tcPr>
        <w:shd w:val="clear" w:color="FDE9D8" w:fill="FDE9D8" w:themeFill="accent6" w:themeFillTint="34"/>
      </w:tcPr>
    </w:tblStylePr>
    <w:tblStylePr w:type="band1Horz">
      <w:rPr>
        <w:color w:val="404040"/>
        <w:sz w:val="22"/>
      </w:rPr>
      <w:tblPr/>
    </w:tblStylePr>
    <w:tblStylePr w:type="band2Horz">
      <w:rPr>
        <w:color w:val="404040"/>
        <w:sz w:val="22"/>
      </w:rPr>
      <w:tblPr/>
      <w:tcPr>
        <w:shd w:val="clear" w:color="FDE9D8"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color w:val="404040"/>
        <w:sz w:val="22"/>
      </w:rPr>
      <w:tblPr/>
      <w:tcPr>
        <w:tcBorders>
          <w:bottom w:val="single" w:color="D99695" w:themeColor="accent2" w:sz="12" w:space="0"/>
        </w:tcBorders>
      </w:tcPr>
    </w:tblStylePr>
    <w:tblStylePr w:type="lastRow">
      <w:rPr>
        <w:color w:val="404040"/>
        <w:sz w:val="22"/>
      </w:rPr>
      <w:tblPr/>
      <w:tcPr>
        <w:tcBorders>
          <w:top w:val="single" w:color="D99695" w:themeColor="accent2" w:sz="12" w:space="0"/>
        </w:tcBorders>
      </w:tcPr>
    </w:tblStylePr>
    <w:tblStylePr w:type="firstCol">
      <w:rPr>
        <w:color w:val="404040"/>
        <w:sz w:val="22"/>
      </w:rPr>
      <w:tblPr/>
    </w:tblStylePr>
    <w:tblStylePr w:type="lastCol">
      <w:rPr>
        <w:color w:val="404040"/>
        <w:sz w:val="22"/>
      </w:rPr>
      <w:tblPr/>
      <w:tcPr>
        <w:tcBorders>
          <w:left w:val="single" w:color="D99695" w:themeColor="accent2" w:sz="12" w:space="0"/>
        </w:tcBorders>
      </w:tcPr>
    </w:tblStylePr>
    <w:tblStylePr w:type="band1Horz">
      <w:rPr>
        <w:color w:val="404040"/>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color w:val="404040"/>
        <w:sz w:val="22"/>
      </w:rPr>
      <w:tblPr/>
      <w:tcPr>
        <w:tcBorders>
          <w:bottom w:val="single" w:color="C3D69B" w:themeColor="accent3" w:sz="12" w:space="0"/>
        </w:tcBorders>
      </w:tcPr>
    </w:tblStylePr>
    <w:tblStylePr w:type="lastRow">
      <w:rPr>
        <w:color w:val="404040"/>
        <w:sz w:val="22"/>
      </w:rPr>
      <w:tblPr/>
      <w:tcPr>
        <w:tcBorders>
          <w:top w:val="single" w:color="C3D69B" w:themeColor="accent3" w:sz="12" w:space="0"/>
        </w:tcBorders>
      </w:tcPr>
    </w:tblStylePr>
    <w:tblStylePr w:type="firstCol">
      <w:rPr>
        <w:color w:val="404040"/>
        <w:sz w:val="22"/>
      </w:rPr>
      <w:tblPr/>
    </w:tblStylePr>
    <w:tblStylePr w:type="lastCol">
      <w:rPr>
        <w:color w:val="404040"/>
        <w:sz w:val="22"/>
      </w:rPr>
      <w:tblPr/>
      <w:tcPr>
        <w:tcBorders>
          <w:left w:val="single" w:color="C3D69B" w:themeColor="accent3" w:sz="12" w:space="0"/>
        </w:tcBorders>
      </w:tcPr>
    </w:tblStylePr>
    <w:tblStylePr w:type="band1Horz">
      <w:rPr>
        <w:color w:val="404040"/>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color w:val="404040"/>
        <w:sz w:val="22"/>
      </w:rPr>
      <w:tblPr/>
      <w:tcPr>
        <w:tcBorders>
          <w:bottom w:val="single" w:color="B2A1C6" w:themeColor="accent4" w:sz="12" w:space="0"/>
        </w:tcBorders>
      </w:tcPr>
    </w:tblStylePr>
    <w:tblStylePr w:type="lastRow">
      <w:rPr>
        <w:color w:val="404040"/>
        <w:sz w:val="22"/>
      </w:rPr>
      <w:tblPr/>
      <w:tcPr>
        <w:tcBorders>
          <w:top w:val="single" w:color="B2A1C6" w:themeColor="accent4" w:sz="12" w:space="0"/>
        </w:tcBorders>
      </w:tcPr>
    </w:tblStylePr>
    <w:tblStylePr w:type="firstCol">
      <w:rPr>
        <w:color w:val="404040"/>
        <w:sz w:val="22"/>
      </w:rPr>
      <w:tblPr/>
    </w:tblStylePr>
    <w:tblStylePr w:type="lastCol">
      <w:rPr>
        <w:color w:val="404040"/>
        <w:sz w:val="22"/>
      </w:rPr>
      <w:tblPr/>
      <w:tcPr>
        <w:tcBorders>
          <w:left w:val="single" w:color="B2A1C6" w:themeColor="accent4" w:sz="12" w:space="0"/>
        </w:tcBorders>
      </w:tcPr>
    </w:tblStylePr>
    <w:tblStylePr w:type="band1Horz">
      <w:rPr>
        <w:color w:val="404040"/>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color w:val="404040"/>
        <w:sz w:val="22"/>
      </w:rPr>
      <w:tblPr/>
      <w:tcPr>
        <w:tcBorders>
          <w:bottom w:val="single" w:color="92CCDC" w:themeColor="accent5" w:sz="12" w:space="0"/>
        </w:tcBorders>
      </w:tcPr>
    </w:tblStylePr>
    <w:tblStylePr w:type="lastRow">
      <w:rPr>
        <w:color w:val="404040"/>
        <w:sz w:val="22"/>
      </w:rPr>
      <w:tblPr/>
      <w:tcPr>
        <w:tcBorders>
          <w:top w:val="single" w:color="92CCDC" w:themeColor="accent5" w:sz="12" w:space="0"/>
        </w:tcBorders>
      </w:tcPr>
    </w:tblStylePr>
    <w:tblStylePr w:type="firstCol">
      <w:rPr>
        <w:color w:val="404040"/>
        <w:sz w:val="22"/>
      </w:rPr>
      <w:tblPr/>
    </w:tblStylePr>
    <w:tblStylePr w:type="lastCol">
      <w:rPr>
        <w:color w:val="404040"/>
        <w:sz w:val="22"/>
      </w:rPr>
      <w:tblPr/>
      <w:tcPr>
        <w:tcBorders>
          <w:left w:val="single" w:color="92CCDC" w:themeColor="accent5" w:sz="12" w:space="0"/>
        </w:tcBorders>
      </w:tcPr>
    </w:tblStylePr>
    <w:tblStylePr w:type="band1Horz">
      <w:rPr>
        <w:color w:val="404040"/>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color w:val="404040"/>
        <w:sz w:val="22"/>
      </w:rPr>
      <w:tblPr/>
      <w:tcPr>
        <w:tcBorders>
          <w:bottom w:val="single" w:color="FAC090" w:themeColor="accent6" w:sz="12" w:space="0"/>
        </w:tcBorders>
      </w:tcPr>
    </w:tblStylePr>
    <w:tblStylePr w:type="lastRow">
      <w:rPr>
        <w:color w:val="404040"/>
        <w:sz w:val="22"/>
      </w:rPr>
      <w:tblPr/>
      <w:tcPr>
        <w:tcBorders>
          <w:top w:val="single" w:color="FAC090" w:themeColor="accent6" w:sz="12" w:space="0"/>
        </w:tcBorders>
      </w:tcPr>
    </w:tblStylePr>
    <w:tblStylePr w:type="firstCol">
      <w:rPr>
        <w:color w:val="404040"/>
        <w:sz w:val="22"/>
      </w:rPr>
      <w:tblPr/>
    </w:tblStylePr>
    <w:tblStylePr w:type="lastCol">
      <w:rPr>
        <w:color w:val="404040"/>
        <w:sz w:val="22"/>
      </w:rPr>
      <w:tblPr/>
      <w:tcPr>
        <w:tcBorders>
          <w:left w:val="single" w:color="FAC090" w:themeColor="accent6" w:sz="12" w:space="0"/>
        </w:tcBorders>
      </w:tcPr>
    </w:tblStylePr>
    <w:tblStylePr w:type="band1Horz">
      <w:rPr>
        <w:color w:val="404040"/>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Tabelacomgrade">
    <w:name w:val="Table Grid"/>
    <w:basedOn w:val="Tabelanormal"/>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one" w:color="000000" w:sz="4" w:space="0"/>
          <w:bottom w:val="single" w:color="95B3D7" w:themeColor="accent1" w:sz="12" w:space="0"/>
          <w:insideH w:val="none" w:color="000000" w:sz="4" w:space="0"/>
          <w:insideV w:val="none" w:color="000000" w:sz="4" w:space="0"/>
        </w:tcBorders>
        <w:shd w:val="clear" w:color="auto" w:fill="FFFFFF" w:themeFill="background1"/>
      </w:tcPr>
    </w:tblStylePr>
    <w:tblStylePr w:type="lastRow">
      <w:rPr>
        <w:b/>
        <w:bCs/>
      </w:rPr>
      <w:tblPr/>
      <w:tcPr>
        <w:tcBorders>
          <w:top w:val="single" w:color="95B3D7" w:themeColor="accent1" w:sz="2" w:space="0"/>
          <w:bottom w:val="none" w:color="000000" w:sz="4" w:space="0"/>
          <w:insideH w:val="none" w:color="000000" w:sz="4" w:space="0"/>
          <w:insideV w:val="none" w:color="000000" w:sz="4" w:space="0"/>
        </w:tcBorders>
        <w:shd w:val="clear" w:color="auto" w:fill="FFFFFF" w:themeFill="background1"/>
      </w:tcPr>
    </w:tblStylePr>
    <w:tblStylePr w:type="firstCol">
      <w:rPr>
        <w:b/>
        <w:bCs/>
      </w:rPr>
      <w:tblPr/>
    </w:tblStylePr>
    <w:tblStylePr w:type="lastCol">
      <w:rPr>
        <w:b/>
        <w:bCs/>
      </w:rPr>
      <w:tbl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ontas.tcu.gov.br/sagas/SvlVisualizarRelVotoAcRtf?codFiltro=SAGAS-SESSAO-ENCERRADA&amp;seOcultaPagina=S&amp;item0=841849" TargetMode="External"/><Relationship Id="rId3" Type="http://schemas.openxmlformats.org/officeDocument/2006/relationships/hyperlink" Target="https://www1.tce.pr.gov.br/multimidia/2024/2/pdf/00382400.pdf" TargetMode="External"/><Relationship Id="rId4" Type="http://schemas.openxmlformats.org/officeDocument/2006/relationships/hyperlink" Target="https://www.tcerj.tc.br/documento-webapi-externo/api/documento/acordao/110033/2023" TargetMode="External"/><Relationship Id="rId5" Type="http://schemas.openxmlformats.org/officeDocument/2006/relationships/hyperlink" Target="https://redir.stf.jus.br/paginadorpub/paginador.jsp?docTP=TP&amp;docID=772844077" TargetMode="External"/><Relationship Id="rId6" Type="http://schemas.openxmlformats.org/officeDocument/2006/relationships/hyperlink" Target="https://scon.stj.jus.br/SCON/GetInteiroTeorDoAcordao?num_registro=201901050201&amp;dt_publicacao=01/03/2024" TargetMode="External"/><Relationship Id="rId7" Type="http://schemas.openxmlformats.org/officeDocument/2006/relationships/hyperlink" Target="http://www1.tce.pr.gov.br/conteudo/pesquisas-prontas/308475/area/249" TargetMode="External"/><Relationship Id="rId8" Type="http://schemas.openxmlformats.org/officeDocument/2006/relationships/hyperlink" Target="http://www1.tce.pr.gov.br/conteudo/boletim-informativo-de-jurisprudencia/280400/area/249" TargetMode="External"/><Relationship Id="rId9" Type="http://schemas.openxmlformats.org/officeDocument/2006/relationships/hyperlink" Target="http://www1.tce.pr.gov.br/conteudo/boletim-de-jurisprudencia-internacional/316601/area/249" TargetMode="External"/><Relationship Id="rId10" Type="http://schemas.openxmlformats.org/officeDocument/2006/relationships/hyperlink" Target="http://www1.tce.pr.gov.br/conteudo/repercussao-geral-no-stf-e-os-tribunais-de-contas/307026/area/249" TargetMode="External"/><Relationship Id="rId11" Type="http://schemas.openxmlformats.org/officeDocument/2006/relationships/hyperlink" Target="http://www1.tce.pr.gov.br/conteudo/sumulas-selecionadas/316602/area/249"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customXml/itemProps2.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customXml/itemProps3.xml><?xml version="1.0" encoding="utf-8"?>
<ds:datastoreItem xmlns:ds="http://schemas.openxmlformats.org/officeDocument/2006/customXml" ds:itemID="{65C50CFC-5930-4374-B00C-E7CFBCF858CF}">
  <ds:schemaRefs>
    <ds:schemaRef ds:uri="http://schemas.microsoft.com/sharepoint/v3/contenttype/forms"/>
  </ds:schemaRefs>
</ds:datastoreItem>
</file>

<file path=customXml/itemProps4.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Application>LibreOffice/7.3.2.2$Windows_X86_64 LibreOffice_project/49f2b1bff42cfccbd8f788c8dc32c1c309559be0</Application>
  <AppVersion>15.0000</AppVersion>
  <Pages>5</Pages>
  <Words>1981</Words>
  <Characters>11555</Characters>
  <CharactersWithSpaces>13482</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2024-03-06T11:50:00Z</dcterms:created>
  <dc:creator>Guilherme Hansen Faraj</dc:creator>
  <dc:description/>
  <dc:language>pt-BR</dc:language>
  <cp:lastModifiedBy/>
  <cp:lastPrinted>2023-03-20T11:33:00Z</cp:lastPrinted>
  <dcterms:modified xsi:type="dcterms:W3CDTF">2024-03-07T13:41:18Z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0x01010053C3D453B89BB34EA0245CEF24B22626</vt:lpwstr>
  </property>
  <property fmtid="{D5CDD505-2E9C-101B-9397-08002B2CF9AE}" pid="3" name="_DocHome">
    <vt:i4>-2002783954</vt:i4>
  </property>
</Properties>
</file>