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E5052" w14:textId="77777777" w:rsidR="00362451" w:rsidRPr="0022060B" w:rsidRDefault="00362451" w:rsidP="00362451">
      <w:pPr>
        <w:pStyle w:val="Cabealho"/>
        <w:spacing w:line="276" w:lineRule="auto"/>
        <w:jc w:val="center"/>
        <w:rPr>
          <w:rFonts w:ascii="Arial" w:hAnsi="Arial" w:cs="Arial"/>
          <w:sz w:val="20"/>
          <w:szCs w:val="20"/>
        </w:rPr>
      </w:pPr>
      <w:bookmarkStart w:id="0" w:name="_GoBack"/>
      <w:bookmarkEnd w:id="0"/>
      <w:r>
        <w:rPr>
          <w:rFonts w:ascii="Arial" w:hAnsi="Arial" w:cs="Arial"/>
          <w:b/>
          <w:sz w:val="20"/>
          <w:szCs w:val="20"/>
        </w:rPr>
        <w:t>TESES AMBIENTAIS</w:t>
      </w:r>
      <w:r w:rsidRPr="0022060B">
        <w:rPr>
          <w:rFonts w:ascii="Arial" w:hAnsi="Arial" w:cs="Arial"/>
          <w:sz w:val="20"/>
          <w:szCs w:val="20"/>
        </w:rPr>
        <w:t xml:space="preserve"> </w:t>
      </w:r>
    </w:p>
    <w:p w14:paraId="72FC24A4" w14:textId="77777777" w:rsidR="00362451" w:rsidRDefault="00362451" w:rsidP="00362451">
      <w:pPr>
        <w:spacing w:after="0"/>
        <w:jc w:val="center"/>
        <w:rPr>
          <w:rFonts w:ascii="Arial" w:hAnsi="Arial" w:cs="Arial"/>
          <w:b/>
          <w:sz w:val="20"/>
          <w:szCs w:val="20"/>
        </w:rPr>
      </w:pPr>
    </w:p>
    <w:p w14:paraId="4E169306" w14:textId="3BA5E580" w:rsidR="00681EC7" w:rsidRPr="00B47C4C" w:rsidRDefault="00F45FE6" w:rsidP="00681EC7">
      <w:pPr>
        <w:spacing w:after="0"/>
        <w:jc w:val="center"/>
        <w:rPr>
          <w:rFonts w:ascii="Arial" w:hAnsi="Arial" w:cs="Arial"/>
          <w:b/>
          <w:sz w:val="24"/>
          <w:szCs w:val="20"/>
        </w:rPr>
      </w:pPr>
      <w:r w:rsidRPr="00B47C4C">
        <w:rPr>
          <w:rFonts w:ascii="Arial" w:hAnsi="Arial" w:cs="Arial"/>
          <w:b/>
          <w:sz w:val="24"/>
          <w:szCs w:val="20"/>
        </w:rPr>
        <w:t>Número 0</w:t>
      </w:r>
      <w:r w:rsidR="00D20524">
        <w:rPr>
          <w:rFonts w:ascii="Arial" w:hAnsi="Arial" w:cs="Arial"/>
          <w:b/>
          <w:sz w:val="24"/>
          <w:szCs w:val="20"/>
        </w:rPr>
        <w:t>6</w:t>
      </w:r>
      <w:r w:rsidR="00681EC7" w:rsidRPr="00B47C4C">
        <w:rPr>
          <w:rFonts w:ascii="Arial" w:hAnsi="Arial" w:cs="Arial"/>
          <w:b/>
          <w:sz w:val="24"/>
          <w:szCs w:val="20"/>
        </w:rPr>
        <w:t xml:space="preserve"> </w:t>
      </w:r>
    </w:p>
    <w:p w14:paraId="5313394D" w14:textId="77777777" w:rsidR="00D9046A" w:rsidRDefault="00D9046A" w:rsidP="00681EC7">
      <w:pPr>
        <w:spacing w:after="0"/>
        <w:jc w:val="center"/>
        <w:rPr>
          <w:rFonts w:ascii="Arial" w:hAnsi="Arial" w:cs="Arial"/>
          <w:b/>
          <w:sz w:val="20"/>
          <w:szCs w:val="20"/>
        </w:rPr>
      </w:pPr>
    </w:p>
    <w:p w14:paraId="229C85E2" w14:textId="72D8924C" w:rsidR="00681EC7" w:rsidRDefault="00681EC7" w:rsidP="00D20524">
      <w:pPr>
        <w:spacing w:after="0"/>
        <w:jc w:val="both"/>
        <w:rPr>
          <w:rFonts w:ascii="Arial" w:hAnsi="Arial" w:cs="Arial"/>
          <w:sz w:val="20"/>
          <w:szCs w:val="20"/>
        </w:rPr>
      </w:pPr>
      <w:r>
        <w:rPr>
          <w:rFonts w:ascii="Arial" w:hAnsi="Arial" w:cs="Arial"/>
          <w:sz w:val="20"/>
          <w:szCs w:val="20"/>
        </w:rPr>
        <w:t>Este Boletim</w:t>
      </w:r>
      <w:r w:rsidR="00362451">
        <w:rPr>
          <w:rFonts w:ascii="Arial" w:hAnsi="Arial" w:cs="Arial"/>
          <w:sz w:val="20"/>
          <w:szCs w:val="20"/>
        </w:rPr>
        <w:t xml:space="preserve"> de periodicidade bimestral</w:t>
      </w:r>
      <w:r>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Pr>
          <w:rFonts w:ascii="Arial" w:hAnsi="Arial" w:cs="Arial"/>
          <w:sz w:val="20"/>
          <w:szCs w:val="20"/>
        </w:rPr>
        <w:t xml:space="preserve">, bem como de outros Tribunais de Contas Estaduais e Municipais </w:t>
      </w:r>
      <w:r w:rsidR="00D20524">
        <w:rPr>
          <w:rFonts w:ascii="Arial" w:hAnsi="Arial" w:cs="Arial"/>
          <w:sz w:val="20"/>
          <w:szCs w:val="20"/>
        </w:rPr>
        <w:t>acerca de</w:t>
      </w:r>
      <w:r>
        <w:rPr>
          <w:rFonts w:ascii="Arial" w:hAnsi="Arial" w:cs="Arial"/>
          <w:sz w:val="20"/>
          <w:szCs w:val="20"/>
        </w:rPr>
        <w:t xml:space="preserve"> temas relacionados ao controle externo</w:t>
      </w:r>
      <w:r w:rsidR="00D20524">
        <w:rPr>
          <w:rFonts w:ascii="Arial" w:hAnsi="Arial" w:cs="Arial"/>
          <w:sz w:val="20"/>
          <w:szCs w:val="20"/>
        </w:rPr>
        <w:t xml:space="preserve">, sempre com o objetivo de avaliar </w:t>
      </w:r>
      <w:r>
        <w:rPr>
          <w:rFonts w:ascii="Arial" w:hAnsi="Arial" w:cs="Arial"/>
          <w:sz w:val="20"/>
          <w:szCs w:val="20"/>
        </w:rPr>
        <w:t xml:space="preserve">aspectos de gestão ambiental eficiente, transparente e propositiva. </w:t>
      </w:r>
    </w:p>
    <w:p w14:paraId="0BFC7F70" w14:textId="77777777" w:rsidR="00D20524" w:rsidRDefault="00D20524" w:rsidP="00681EC7">
      <w:pPr>
        <w:spacing w:after="0"/>
        <w:jc w:val="both"/>
        <w:rPr>
          <w:rFonts w:ascii="Arial" w:hAnsi="Arial" w:cs="Arial"/>
          <w:sz w:val="20"/>
          <w:szCs w:val="20"/>
        </w:rPr>
      </w:pPr>
    </w:p>
    <w:p w14:paraId="69C8ED4A" w14:textId="797155FB" w:rsidR="00681EC7" w:rsidRDefault="00681EC7" w:rsidP="00681EC7">
      <w:pPr>
        <w:spacing w:after="0"/>
        <w:jc w:val="both"/>
        <w:rPr>
          <w:rFonts w:ascii="Arial" w:hAnsi="Arial" w:cs="Arial"/>
          <w:sz w:val="20"/>
          <w:szCs w:val="20"/>
        </w:rPr>
      </w:pPr>
      <w:r>
        <w:rPr>
          <w:rFonts w:ascii="Arial" w:hAnsi="Arial" w:cs="Arial"/>
          <w:sz w:val="20"/>
          <w:szCs w:val="20"/>
        </w:rPr>
        <w:t>Para aprofundamento, o leitor pode acessar o inteiro teor das deliberações por meio dos links disponíveis.</w:t>
      </w:r>
      <w:r>
        <w:rPr>
          <w:rFonts w:ascii="Arial" w:hAnsi="Arial" w:cs="Arial"/>
          <w:color w:val="212121"/>
          <w:sz w:val="20"/>
          <w:szCs w:val="20"/>
        </w:rPr>
        <w:t xml:space="preserve"> </w:t>
      </w:r>
      <w:r>
        <w:rPr>
          <w:rFonts w:ascii="Arial" w:hAnsi="Arial" w:cs="Arial"/>
          <w:sz w:val="20"/>
          <w:szCs w:val="20"/>
        </w:rPr>
        <w:t>As informações aqui apresentadas não são repositórios oficiais de jurisprudência.</w:t>
      </w:r>
    </w:p>
    <w:p w14:paraId="5C4426F1" w14:textId="77777777" w:rsidR="00681EC7" w:rsidRDefault="00681EC7" w:rsidP="00681EC7">
      <w:pPr>
        <w:spacing w:after="0"/>
        <w:jc w:val="both"/>
        <w:rPr>
          <w:rFonts w:ascii="Arial" w:hAnsi="Arial" w:cs="Arial"/>
          <w:sz w:val="20"/>
          <w:szCs w:val="20"/>
        </w:rPr>
      </w:pPr>
    </w:p>
    <w:p w14:paraId="3D96DD71" w14:textId="77777777"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2D6DCC47" wp14:editId="68427C1C">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5FBA157C" w14:textId="77777777"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14:paraId="00D7234C" w14:textId="77777777" w:rsidR="00DB721B" w:rsidRDefault="00DB721B" w:rsidP="00DB721B">
      <w:pPr>
        <w:autoSpaceDE w:val="0"/>
        <w:autoSpaceDN w:val="0"/>
        <w:adjustRightInd w:val="0"/>
        <w:spacing w:after="0"/>
        <w:jc w:val="both"/>
        <w:rPr>
          <w:rFonts w:ascii="Arial" w:hAnsi="Arial" w:cs="Arial"/>
          <w:sz w:val="20"/>
          <w:szCs w:val="20"/>
        </w:rPr>
      </w:pPr>
    </w:p>
    <w:p w14:paraId="2004BECA" w14:textId="1A31093A" w:rsidR="003D704E" w:rsidRDefault="00D46F57" w:rsidP="00DB721B">
      <w:pPr>
        <w:autoSpaceDE w:val="0"/>
        <w:autoSpaceDN w:val="0"/>
        <w:adjustRightInd w:val="0"/>
        <w:spacing w:after="0"/>
        <w:jc w:val="both"/>
        <w:rPr>
          <w:rFonts w:ascii="Arial" w:hAnsi="Arial" w:cs="Arial"/>
          <w:sz w:val="20"/>
          <w:szCs w:val="20"/>
        </w:rPr>
      </w:pPr>
      <w:r w:rsidRPr="00D46F57">
        <w:rPr>
          <w:rFonts w:ascii="Arial" w:hAnsi="Arial" w:cs="Arial"/>
          <w:sz w:val="20"/>
          <w:szCs w:val="20"/>
        </w:rPr>
        <w:t xml:space="preserve">1. </w:t>
      </w:r>
      <w:r>
        <w:rPr>
          <w:rFonts w:ascii="Arial" w:hAnsi="Arial" w:cs="Arial"/>
          <w:sz w:val="20"/>
          <w:szCs w:val="20"/>
        </w:rPr>
        <w:t>Tomada de Contas Extraordinária</w:t>
      </w:r>
      <w:r w:rsidRPr="00D46F57">
        <w:rPr>
          <w:rFonts w:ascii="Arial" w:hAnsi="Arial" w:cs="Arial"/>
          <w:sz w:val="20"/>
          <w:szCs w:val="20"/>
        </w:rPr>
        <w:t>.</w:t>
      </w:r>
      <w:r w:rsidR="00652C29">
        <w:rPr>
          <w:rFonts w:ascii="Arial" w:hAnsi="Arial" w:cs="Arial"/>
          <w:sz w:val="20"/>
          <w:szCs w:val="20"/>
        </w:rPr>
        <w:t xml:space="preserve"> </w:t>
      </w:r>
      <w:r w:rsidRPr="00D46F57">
        <w:rPr>
          <w:rFonts w:ascii="Arial" w:hAnsi="Arial" w:cs="Arial"/>
          <w:sz w:val="20"/>
          <w:szCs w:val="20"/>
        </w:rPr>
        <w:t>Exame de medida cautelar monocraticamente concedida para determinar imediata suspensão de qualquer ato visando à implementação, por parte da Companhia de Saneamento do Paraná, do ‘Reajuste Tarifário Anual 2019’ para serviços de saneamento. Homologação parcial, autorizando o reajuste de 8,371356%, reconhecendo o Fundo Municipal de Saneamento Básico e Abastecimento como parcela gerenciável da tarifa e em atenção aos princípios da ampla proteção ao usuário e da capacidade de pagamento dos consumidores. Instauração de comissão para análise da matéria. Determinação à AGEPAR para revisão de sua metodologia de revisão tarifária.</w:t>
      </w:r>
    </w:p>
    <w:p w14:paraId="209BF040" w14:textId="77777777" w:rsidR="00652C29" w:rsidRDefault="00652C29" w:rsidP="00DB721B">
      <w:pPr>
        <w:autoSpaceDE w:val="0"/>
        <w:autoSpaceDN w:val="0"/>
        <w:adjustRightInd w:val="0"/>
        <w:spacing w:after="0"/>
        <w:jc w:val="both"/>
        <w:rPr>
          <w:rFonts w:ascii="Arial" w:hAnsi="Arial" w:cs="Arial"/>
          <w:sz w:val="20"/>
          <w:szCs w:val="20"/>
        </w:rPr>
      </w:pPr>
    </w:p>
    <w:p w14:paraId="439E4CCE" w14:textId="422E5DB4" w:rsidR="003D704E" w:rsidRDefault="00652C29" w:rsidP="003D704E">
      <w:pPr>
        <w:tabs>
          <w:tab w:val="left" w:pos="284"/>
        </w:tabs>
        <w:spacing w:after="0"/>
        <w:contextualSpacing/>
        <w:jc w:val="both"/>
        <w:rPr>
          <w:rFonts w:ascii="Arial" w:hAnsi="Arial" w:cs="Arial"/>
          <w:sz w:val="20"/>
          <w:szCs w:val="20"/>
        </w:rPr>
      </w:pPr>
      <w:r w:rsidRPr="00652C29">
        <w:rPr>
          <w:rFonts w:ascii="Arial" w:hAnsi="Arial" w:cs="Arial"/>
          <w:sz w:val="20"/>
          <w:szCs w:val="20"/>
        </w:rPr>
        <w:t>2. Relatório de auditoria. Verificação da conformidade e da efetividade do processo de identificação, tombamento, fiscalização, proteção, preservação e revitalização de sítios arqueológicos. Determinações. Pedido de reexame. Alteração legislativa. Provimento. Insubsistência da determinação.</w:t>
      </w:r>
    </w:p>
    <w:p w14:paraId="07CD962A" w14:textId="77777777" w:rsidR="00652C29" w:rsidRDefault="00652C29" w:rsidP="003D704E">
      <w:pPr>
        <w:tabs>
          <w:tab w:val="left" w:pos="284"/>
        </w:tabs>
        <w:spacing w:after="0"/>
        <w:contextualSpacing/>
        <w:jc w:val="both"/>
        <w:rPr>
          <w:rStyle w:val="Hyperlink"/>
          <w:rFonts w:ascii="Arial" w:hAnsi="Arial" w:cs="Arial"/>
          <w:color w:val="000000" w:themeColor="text1"/>
          <w:sz w:val="20"/>
          <w:szCs w:val="20"/>
          <w:u w:val="none"/>
        </w:rPr>
      </w:pPr>
    </w:p>
    <w:p w14:paraId="21483C50" w14:textId="77C74EFC" w:rsidR="003D704E" w:rsidRDefault="003D704E" w:rsidP="003D704E">
      <w:pPr>
        <w:tabs>
          <w:tab w:val="left" w:pos="284"/>
        </w:tabs>
        <w:spacing w:after="0"/>
        <w:contextualSpacing/>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3. </w:t>
      </w:r>
      <w:r w:rsidR="005A143D" w:rsidRPr="005A143D">
        <w:rPr>
          <w:rStyle w:val="Hyperlink"/>
          <w:rFonts w:ascii="Arial" w:hAnsi="Arial" w:cs="Arial"/>
          <w:color w:val="000000" w:themeColor="text1"/>
          <w:sz w:val="20"/>
          <w:szCs w:val="20"/>
          <w:u w:val="none"/>
        </w:rPr>
        <w:t>Denúncia formulada por entidade associativa perante esta Corte de Contas em 26.04.2016, contendo pedido liminar, versando acerca da ocorrência de possíveis ilegalidades cometidas pelo Governo do Distrito Federal em chamamentos para consultas públicas, com vistas a subsidiar a definição de localização, dimensão e limites de parques ecológicos a serem implantadas às margens do Lago Paranoá.</w:t>
      </w:r>
    </w:p>
    <w:p w14:paraId="342DFFE6" w14:textId="77777777" w:rsidR="005A143D" w:rsidRDefault="005A143D" w:rsidP="003D704E">
      <w:pPr>
        <w:tabs>
          <w:tab w:val="left" w:pos="284"/>
        </w:tabs>
        <w:spacing w:after="0"/>
        <w:contextualSpacing/>
        <w:jc w:val="both"/>
        <w:rPr>
          <w:rStyle w:val="Hyperlink"/>
          <w:rFonts w:ascii="Arial" w:hAnsi="Arial" w:cs="Arial"/>
          <w:color w:val="000000" w:themeColor="text1"/>
          <w:sz w:val="20"/>
          <w:szCs w:val="20"/>
          <w:u w:val="none"/>
        </w:rPr>
      </w:pPr>
    </w:p>
    <w:p w14:paraId="5C0514B6" w14:textId="677A78E4" w:rsidR="00B47C4C" w:rsidRDefault="005A143D" w:rsidP="003D704E">
      <w:pPr>
        <w:tabs>
          <w:tab w:val="left" w:pos="284"/>
        </w:tabs>
        <w:spacing w:after="0"/>
        <w:contextualSpacing/>
        <w:jc w:val="both"/>
        <w:rPr>
          <w:rStyle w:val="Hyperlink"/>
          <w:rFonts w:ascii="Arial" w:hAnsi="Arial" w:cs="Arial"/>
          <w:color w:val="000000" w:themeColor="text1"/>
          <w:sz w:val="20"/>
          <w:szCs w:val="20"/>
          <w:u w:val="none"/>
        </w:rPr>
      </w:pPr>
      <w:r w:rsidRPr="005A143D">
        <w:rPr>
          <w:rStyle w:val="Hyperlink"/>
          <w:rFonts w:ascii="Arial" w:hAnsi="Arial" w:cs="Arial"/>
          <w:color w:val="000000" w:themeColor="text1"/>
          <w:sz w:val="20"/>
          <w:szCs w:val="20"/>
          <w:u w:val="none"/>
        </w:rPr>
        <w:t>4. Constitucional. Federalismo e respeito às regras de distribuição de competência. Direito ambiental. Pesca. Lei estadual 12.557/2006 do Rio Grande do Sul. Regramento da pesca semiprofissional no âmbito do estado-membro. Necessidade de observância da lei federal de normas gerais anteriores à lei estadual. Lei federal superveniente. Suspensão da lei estadual no que lhe for contrária.</w:t>
      </w:r>
    </w:p>
    <w:p w14:paraId="521E56B1" w14:textId="17D51BE4" w:rsidR="0041637A" w:rsidRDefault="005A143D" w:rsidP="003D704E">
      <w:pPr>
        <w:tabs>
          <w:tab w:val="left" w:pos="284"/>
        </w:tabs>
        <w:spacing w:after="0"/>
        <w:contextualSpacing/>
        <w:jc w:val="both"/>
        <w:rPr>
          <w:rStyle w:val="Hyperlink"/>
          <w:rFonts w:ascii="Arial" w:hAnsi="Arial" w:cs="Arial"/>
          <w:color w:val="000000" w:themeColor="text1"/>
          <w:sz w:val="20"/>
          <w:szCs w:val="20"/>
          <w:u w:val="none"/>
        </w:rPr>
      </w:pPr>
      <w:r w:rsidRPr="005A143D">
        <w:rPr>
          <w:rStyle w:val="Hyperlink"/>
          <w:rFonts w:ascii="Arial" w:hAnsi="Arial" w:cs="Arial"/>
          <w:color w:val="000000" w:themeColor="text1"/>
          <w:sz w:val="20"/>
          <w:szCs w:val="20"/>
          <w:u w:val="none"/>
        </w:rPr>
        <w:lastRenderedPageBreak/>
        <w:t>5. Jurisprudência em Teses (edição n.º 127): Intervenção do Estado na propriedade privada</w:t>
      </w:r>
      <w:r>
        <w:rPr>
          <w:rStyle w:val="Hyperlink"/>
          <w:rFonts w:ascii="Arial" w:hAnsi="Arial" w:cs="Arial"/>
          <w:color w:val="000000" w:themeColor="text1"/>
          <w:sz w:val="20"/>
          <w:szCs w:val="20"/>
          <w:u w:val="none"/>
        </w:rPr>
        <w:t>.</w:t>
      </w:r>
    </w:p>
    <w:p w14:paraId="6B4C943D" w14:textId="77777777" w:rsidR="005A143D" w:rsidRDefault="005A143D" w:rsidP="00816942">
      <w:pPr>
        <w:spacing w:after="0"/>
        <w:jc w:val="both"/>
        <w:rPr>
          <w:rStyle w:val="Hyperlink"/>
          <w:rFonts w:ascii="Arial" w:hAnsi="Arial" w:cs="Arial"/>
          <w:b/>
          <w:color w:val="000000" w:themeColor="text1"/>
          <w:sz w:val="20"/>
          <w:szCs w:val="20"/>
          <w:u w:val="none"/>
        </w:rPr>
      </w:pPr>
    </w:p>
    <w:p w14:paraId="20265D14" w14:textId="73DFC8BD" w:rsidR="005A143D" w:rsidRPr="005A143D" w:rsidRDefault="005A143D" w:rsidP="00816942">
      <w:pPr>
        <w:spacing w:after="0"/>
        <w:jc w:val="both"/>
        <w:rPr>
          <w:rStyle w:val="Hyperlink"/>
          <w:rFonts w:ascii="Arial" w:hAnsi="Arial" w:cs="Arial"/>
          <w:color w:val="000000" w:themeColor="text1"/>
          <w:sz w:val="20"/>
          <w:szCs w:val="20"/>
          <w:u w:val="none"/>
        </w:rPr>
      </w:pPr>
      <w:r w:rsidRPr="005A143D">
        <w:rPr>
          <w:rStyle w:val="Hyperlink"/>
          <w:rFonts w:ascii="Arial" w:hAnsi="Arial" w:cs="Arial"/>
          <w:color w:val="000000" w:themeColor="text1"/>
          <w:sz w:val="20"/>
          <w:szCs w:val="20"/>
          <w:u w:val="none"/>
        </w:rPr>
        <w:t>6. Administrativo. Ambiental. Recurso Especial. Supressão de Vegetação. Necessidade de autorização. Princípio da Solidariedade Ambiental. Inexistência de direito adquirido à menor patamar protetivo. Fato consumado. Inviável em matéria ambiental.</w:t>
      </w:r>
    </w:p>
    <w:p w14:paraId="6B25001B" w14:textId="77777777" w:rsidR="005A143D" w:rsidRDefault="005A143D" w:rsidP="00816942">
      <w:pPr>
        <w:spacing w:after="0"/>
        <w:jc w:val="both"/>
        <w:rPr>
          <w:rStyle w:val="Hyperlink"/>
          <w:rFonts w:ascii="Arial" w:hAnsi="Arial" w:cs="Arial"/>
          <w:b/>
          <w:color w:val="000000" w:themeColor="text1"/>
          <w:sz w:val="20"/>
          <w:szCs w:val="20"/>
          <w:u w:val="none"/>
        </w:rPr>
      </w:pPr>
    </w:p>
    <w:p w14:paraId="2059E48E" w14:textId="77777777" w:rsidR="00B34863" w:rsidRPr="0022060B" w:rsidRDefault="00B34863" w:rsidP="00B34863">
      <w:pPr>
        <w:shd w:val="pct10" w:color="auto" w:fill="auto"/>
        <w:spacing w:after="0"/>
        <w:jc w:val="center"/>
        <w:rPr>
          <w:rFonts w:ascii="Arial" w:hAnsi="Arial" w:cs="Arial"/>
          <w:b/>
          <w:sz w:val="20"/>
          <w:szCs w:val="20"/>
        </w:rPr>
      </w:pPr>
      <w:r>
        <w:rPr>
          <w:rFonts w:ascii="Arial" w:hAnsi="Arial" w:cs="Arial"/>
          <w:b/>
          <w:sz w:val="20"/>
          <w:szCs w:val="20"/>
        </w:rPr>
        <w:t xml:space="preserve">TRIBUNAL DE CONTAS DO ESTADO DO PARANÁ </w:t>
      </w:r>
    </w:p>
    <w:p w14:paraId="33A1EEE8" w14:textId="77777777" w:rsidR="00B036BD" w:rsidRDefault="00B036BD" w:rsidP="00816942">
      <w:pPr>
        <w:spacing w:after="0"/>
        <w:jc w:val="both"/>
        <w:rPr>
          <w:rFonts w:ascii="Arial" w:hAnsi="Arial" w:cs="Arial"/>
          <w:b/>
          <w:color w:val="000000"/>
          <w:sz w:val="20"/>
          <w:szCs w:val="20"/>
          <w:shd w:val="clear" w:color="auto" w:fill="FFFFFF"/>
        </w:rPr>
      </w:pPr>
    </w:p>
    <w:p w14:paraId="0F060C57" w14:textId="43C5FF1C" w:rsidR="00604D43" w:rsidRPr="00A476D7" w:rsidRDefault="00A476D7" w:rsidP="00A476D7">
      <w:pPr>
        <w:spacing w:after="0"/>
        <w:jc w:val="both"/>
        <w:rPr>
          <w:rFonts w:ascii="Arial" w:hAnsi="Arial" w:cs="Arial"/>
          <w:b/>
          <w:sz w:val="20"/>
          <w:szCs w:val="20"/>
        </w:rPr>
      </w:pPr>
      <w:r w:rsidRPr="00A476D7">
        <w:rPr>
          <w:rFonts w:ascii="Arial" w:hAnsi="Arial" w:cs="Arial"/>
          <w:b/>
          <w:sz w:val="20"/>
          <w:szCs w:val="20"/>
        </w:rPr>
        <w:t>1. Ementa. Exame de medida cautelar monocraticamente concedida para determinar imediata suspensão de qualquer ato visando à implementação, por parte da Companhia de Saneamento do Paraná, do ‘Reajuste Tarifário Anual 2019’ para serviços de saneamento. Homologação parcial, autorizando o reajuste de 8,371356%, reconhecendo o Fundo Municipal de Saneamento Básico e Abastecimento como parcela gerenciável da tarifa e em atenção aos princípios da ampla proteção ao usuário e da capacidade de pagamento dos consumidores. Instauração de comissão para análise da matéria. Determinação à AGEPAR para revisão de sua metodologia de revisão tarifária</w:t>
      </w:r>
      <w:r>
        <w:rPr>
          <w:rFonts w:ascii="Arial" w:hAnsi="Arial" w:cs="Arial"/>
          <w:b/>
          <w:sz w:val="20"/>
          <w:szCs w:val="20"/>
        </w:rPr>
        <w:t>.</w:t>
      </w:r>
    </w:p>
    <w:p w14:paraId="137A0F53" w14:textId="7A494013" w:rsidR="00A476D7" w:rsidRPr="00D22EE1" w:rsidRDefault="00A476D7" w:rsidP="00A476D7">
      <w:pPr>
        <w:spacing w:after="0"/>
        <w:jc w:val="both"/>
        <w:rPr>
          <w:rFonts w:ascii="Arial" w:hAnsi="Arial" w:cs="Arial"/>
          <w:sz w:val="20"/>
        </w:rPr>
      </w:pPr>
      <w:r w:rsidRPr="00D22EE1">
        <w:rPr>
          <w:rFonts w:ascii="Arial" w:hAnsi="Arial" w:cs="Arial"/>
          <w:sz w:val="20"/>
        </w:rPr>
        <w:t xml:space="preserve">(TCE-PR, TCEX 312857/19, </w:t>
      </w:r>
      <w:hyperlink r:id="rId8" w:history="1">
        <w:r w:rsidRPr="00D22EE1">
          <w:rPr>
            <w:rStyle w:val="Hyperlink"/>
            <w:rFonts w:ascii="Arial" w:hAnsi="Arial" w:cs="Arial"/>
            <w:sz w:val="20"/>
          </w:rPr>
          <w:t>Acórdão n.º 1373/2019</w:t>
        </w:r>
      </w:hyperlink>
      <w:r w:rsidRPr="00D22EE1">
        <w:rPr>
          <w:rFonts w:ascii="Arial" w:hAnsi="Arial" w:cs="Arial"/>
          <w:sz w:val="20"/>
        </w:rPr>
        <w:t>, Rel. Cons. Fernando Augusto Mello Guimarães, Tribunal Pleno, julgado em 22/05/2019, pub. no DETC em 31/05/2019)</w:t>
      </w:r>
    </w:p>
    <w:p w14:paraId="4B2184F7" w14:textId="77777777" w:rsidR="00A476D7" w:rsidRDefault="00A476D7" w:rsidP="00A476D7">
      <w:pPr>
        <w:spacing w:after="0"/>
        <w:jc w:val="both"/>
      </w:pPr>
    </w:p>
    <w:p w14:paraId="57A04274" w14:textId="77777777" w:rsidR="00B34863" w:rsidRPr="008E36D8" w:rsidRDefault="00B34863" w:rsidP="00B34863">
      <w:pPr>
        <w:shd w:val="pct10" w:color="auto" w:fill="auto"/>
        <w:spacing w:after="0"/>
        <w:jc w:val="center"/>
        <w:rPr>
          <w:rFonts w:ascii="Arial" w:hAnsi="Arial" w:cs="Arial"/>
          <w:b/>
          <w:sz w:val="20"/>
          <w:szCs w:val="20"/>
        </w:rPr>
      </w:pPr>
      <w:r w:rsidRPr="008E36D8">
        <w:rPr>
          <w:rFonts w:ascii="Arial" w:hAnsi="Arial" w:cs="Arial"/>
          <w:b/>
          <w:sz w:val="20"/>
          <w:szCs w:val="20"/>
        </w:rPr>
        <w:t xml:space="preserve">TRIBUNAL DE CONTAS DA UNIÃO </w:t>
      </w:r>
    </w:p>
    <w:p w14:paraId="3A222E30" w14:textId="77777777" w:rsidR="00B34863" w:rsidRPr="00A5710E" w:rsidRDefault="00B34863" w:rsidP="00816942">
      <w:pPr>
        <w:spacing w:after="0"/>
        <w:jc w:val="both"/>
        <w:rPr>
          <w:rStyle w:val="Hyperlink"/>
          <w:rFonts w:ascii="Arial" w:hAnsi="Arial" w:cs="Arial"/>
          <w:b/>
          <w:color w:val="000000" w:themeColor="text1"/>
          <w:sz w:val="20"/>
          <w:szCs w:val="20"/>
          <w:highlight w:val="yellow"/>
          <w:u w:val="none"/>
        </w:rPr>
      </w:pPr>
    </w:p>
    <w:p w14:paraId="4C52BD4E" w14:textId="0E650689" w:rsidR="00EB6D0B" w:rsidRPr="008E36D8" w:rsidRDefault="003D704E" w:rsidP="00816942">
      <w:pPr>
        <w:spacing w:after="0"/>
        <w:jc w:val="both"/>
        <w:rPr>
          <w:rStyle w:val="Hyperlink"/>
          <w:rFonts w:ascii="Arial" w:hAnsi="Arial" w:cs="Arial"/>
          <w:b/>
          <w:color w:val="000000" w:themeColor="text1"/>
          <w:sz w:val="20"/>
          <w:szCs w:val="20"/>
          <w:u w:val="none"/>
        </w:rPr>
      </w:pPr>
      <w:bookmarkStart w:id="1" w:name="_Hlk11857020"/>
      <w:r>
        <w:rPr>
          <w:rStyle w:val="Hyperlink"/>
          <w:rFonts w:ascii="Arial" w:hAnsi="Arial" w:cs="Arial"/>
          <w:b/>
          <w:color w:val="000000" w:themeColor="text1"/>
          <w:sz w:val="20"/>
          <w:szCs w:val="20"/>
          <w:u w:val="none"/>
        </w:rPr>
        <w:t xml:space="preserve">2. </w:t>
      </w:r>
      <w:bookmarkStart w:id="2" w:name="_Hlk5027725"/>
      <w:r w:rsidR="00A476D7" w:rsidRPr="00A476D7">
        <w:rPr>
          <w:rStyle w:val="Hyperlink"/>
          <w:rFonts w:ascii="Arial" w:hAnsi="Arial" w:cs="Arial"/>
          <w:b/>
          <w:color w:val="000000" w:themeColor="text1"/>
          <w:sz w:val="20"/>
          <w:szCs w:val="20"/>
          <w:u w:val="none"/>
        </w:rPr>
        <w:t>Relatório de auditoria. Verificação da conformidade e da efetividade do processo de identificação, tombamento, fiscalização, proteção, preservação e revitalização de sítios arqueológicos. Determinações. Pedido de reexame. Alteração legislativa. Provimento. Insubsistência da determinação</w:t>
      </w:r>
      <w:r w:rsidR="00CA7D59" w:rsidRPr="008E36D8">
        <w:rPr>
          <w:rStyle w:val="Hyperlink"/>
          <w:rFonts w:ascii="Arial" w:hAnsi="Arial" w:cs="Arial"/>
          <w:b/>
          <w:color w:val="000000" w:themeColor="text1"/>
          <w:sz w:val="20"/>
          <w:szCs w:val="20"/>
          <w:u w:val="none"/>
        </w:rPr>
        <w:t>.</w:t>
      </w:r>
      <w:bookmarkEnd w:id="2"/>
    </w:p>
    <w:bookmarkEnd w:id="1"/>
    <w:p w14:paraId="1D353952" w14:textId="77777777" w:rsidR="00B036BD" w:rsidRPr="008E36D8" w:rsidRDefault="00B036BD" w:rsidP="00816942">
      <w:pPr>
        <w:spacing w:after="0"/>
        <w:jc w:val="both"/>
        <w:rPr>
          <w:rStyle w:val="Hyperlink"/>
          <w:rFonts w:ascii="Arial" w:hAnsi="Arial" w:cs="Arial"/>
          <w:b/>
          <w:color w:val="000000" w:themeColor="text1"/>
          <w:sz w:val="20"/>
          <w:szCs w:val="20"/>
          <w:u w:val="none"/>
        </w:rPr>
      </w:pPr>
    </w:p>
    <w:p w14:paraId="37CA1DFB" w14:textId="5B64C427" w:rsidR="00D22EE1" w:rsidRPr="005A143D" w:rsidRDefault="00D22EE1" w:rsidP="00003020">
      <w:pPr>
        <w:pStyle w:val="Corpodetexto"/>
        <w:jc w:val="both"/>
        <w:rPr>
          <w:rStyle w:val="Hyperlink"/>
          <w:rFonts w:ascii="Arial" w:hAnsi="Arial" w:cs="Arial"/>
          <w:color w:val="auto"/>
          <w:sz w:val="20"/>
          <w:szCs w:val="20"/>
          <w:u w:val="none"/>
          <w:shd w:val="clear" w:color="auto" w:fill="FFFFFF"/>
          <w:lang w:val="pt-BR"/>
        </w:rPr>
      </w:pPr>
      <w:r w:rsidRPr="00D22EE1">
        <w:rPr>
          <w:rFonts w:ascii="Arial" w:hAnsi="Arial" w:cs="Arial"/>
          <w:sz w:val="20"/>
          <w:szCs w:val="20"/>
          <w:shd w:val="clear" w:color="auto" w:fill="FFFFFF"/>
          <w:lang w:val="pt-BR"/>
        </w:rPr>
        <w:t>Não cabe ao Ibama, na condição de executor do Sistema Nacional do Meio Ambiente (</w:t>
      </w:r>
      <w:proofErr w:type="spellStart"/>
      <w:r w:rsidRPr="00D22EE1">
        <w:rPr>
          <w:rFonts w:ascii="Arial" w:hAnsi="Arial" w:cs="Arial"/>
          <w:sz w:val="20"/>
          <w:szCs w:val="20"/>
          <w:shd w:val="clear" w:color="auto" w:fill="FFFFFF"/>
          <w:lang w:val="pt-BR"/>
        </w:rPr>
        <w:t>Sisnama</w:t>
      </w:r>
      <w:proofErr w:type="spellEnd"/>
      <w:r w:rsidRPr="00D22EE1">
        <w:rPr>
          <w:rFonts w:ascii="Arial" w:hAnsi="Arial" w:cs="Arial"/>
          <w:sz w:val="20"/>
          <w:szCs w:val="20"/>
          <w:shd w:val="clear" w:color="auto" w:fill="FFFFFF"/>
          <w:lang w:val="pt-BR"/>
        </w:rPr>
        <w:t>), fixar diretrizes para os órgãos executores das esferas estadual, distrital e municipal, uma vez que não possui posição hierárquica superior a estes. Tal competência é do órgão central do referido sistema.</w:t>
      </w:r>
    </w:p>
    <w:p w14:paraId="33FF2DD8" w14:textId="4ADDD2FA" w:rsidR="00861DB4" w:rsidRPr="008E36D8" w:rsidRDefault="00D22EE1" w:rsidP="00003020">
      <w:pPr>
        <w:pStyle w:val="Corpodetexto"/>
        <w:jc w:val="both"/>
        <w:rPr>
          <w:rStyle w:val="Hyperlink"/>
          <w:rFonts w:ascii="Arial" w:hAnsi="Arial" w:cs="Arial"/>
          <w:b/>
          <w:color w:val="000000" w:themeColor="text1"/>
          <w:sz w:val="20"/>
          <w:szCs w:val="20"/>
          <w:u w:val="none"/>
          <w:lang w:val="pt-BR"/>
        </w:rPr>
      </w:pPr>
      <w:r>
        <w:rPr>
          <w:rFonts w:ascii="Arial" w:hAnsi="Arial" w:cs="Arial"/>
          <w:sz w:val="20"/>
          <w:szCs w:val="20"/>
          <w:lang w:val="pt-BR"/>
        </w:rPr>
        <w:t>(</w:t>
      </w:r>
      <w:r w:rsidR="00861DB4" w:rsidRPr="008E36D8">
        <w:rPr>
          <w:rFonts w:ascii="Arial" w:hAnsi="Arial" w:cs="Arial"/>
          <w:sz w:val="20"/>
          <w:szCs w:val="20"/>
          <w:lang w:val="pt-BR"/>
        </w:rPr>
        <w:t>TC</w:t>
      </w:r>
      <w:r>
        <w:rPr>
          <w:rFonts w:ascii="Arial" w:hAnsi="Arial" w:cs="Arial"/>
          <w:sz w:val="20"/>
          <w:szCs w:val="20"/>
          <w:lang w:val="pt-BR"/>
        </w:rPr>
        <w:t>U, Proc.</w:t>
      </w:r>
      <w:r>
        <w:t xml:space="preserve"> </w:t>
      </w:r>
      <w:r w:rsidRPr="00D22EE1">
        <w:rPr>
          <w:rFonts w:ascii="Arial" w:hAnsi="Arial" w:cs="Arial"/>
          <w:sz w:val="20"/>
          <w:szCs w:val="20"/>
          <w:lang w:val="pt-BR"/>
        </w:rPr>
        <w:t>022.813/2006-8</w:t>
      </w:r>
      <w:r>
        <w:rPr>
          <w:rFonts w:ascii="Arial" w:hAnsi="Arial" w:cs="Arial"/>
          <w:sz w:val="20"/>
          <w:szCs w:val="20"/>
          <w:lang w:val="pt-BR"/>
        </w:rPr>
        <w:t xml:space="preserve">, </w:t>
      </w:r>
      <w:hyperlink r:id="rId9" w:anchor="/documento/acordao-completo/*/NUMACORDAO:1572%20ANOACORDAO:2015%20COLEGIADO:%22Plen%C3%A1rio%22/DTRELEVANCIA%20desc,%20NUMACORDAOINT%20desc/0/%20" w:history="1">
        <w:r w:rsidRPr="00D22EE1">
          <w:rPr>
            <w:rStyle w:val="Hyperlink"/>
            <w:rFonts w:ascii="Arial" w:hAnsi="Arial" w:cs="Arial"/>
            <w:sz w:val="20"/>
            <w:szCs w:val="20"/>
            <w:lang w:val="pt-BR"/>
          </w:rPr>
          <w:t xml:space="preserve">Acórdão </w:t>
        </w:r>
        <w:proofErr w:type="spellStart"/>
        <w:r w:rsidRPr="00D22EE1">
          <w:rPr>
            <w:rStyle w:val="Hyperlink"/>
            <w:rFonts w:ascii="Arial" w:hAnsi="Arial" w:cs="Arial"/>
            <w:sz w:val="20"/>
            <w:szCs w:val="20"/>
            <w:lang w:val="pt-BR"/>
          </w:rPr>
          <w:t>n.°</w:t>
        </w:r>
        <w:proofErr w:type="spellEnd"/>
        <w:r w:rsidRPr="00D22EE1">
          <w:rPr>
            <w:rStyle w:val="Hyperlink"/>
            <w:rFonts w:ascii="Arial" w:hAnsi="Arial" w:cs="Arial"/>
            <w:sz w:val="20"/>
            <w:szCs w:val="20"/>
            <w:lang w:val="pt-BR"/>
          </w:rPr>
          <w:t xml:space="preserve"> 1572/2015-Plenário</w:t>
        </w:r>
      </w:hyperlink>
      <w:r w:rsidR="00861DB4" w:rsidRPr="008E36D8">
        <w:rPr>
          <w:rFonts w:ascii="Arial" w:hAnsi="Arial" w:cs="Arial"/>
          <w:sz w:val="20"/>
          <w:szCs w:val="20"/>
          <w:lang w:val="pt-BR"/>
        </w:rPr>
        <w:t>, Relator Ministro</w:t>
      </w:r>
      <w:r>
        <w:rPr>
          <w:rFonts w:ascii="Arial" w:hAnsi="Arial" w:cs="Arial"/>
          <w:sz w:val="20"/>
          <w:szCs w:val="20"/>
          <w:lang w:val="pt-BR"/>
        </w:rPr>
        <w:t xml:space="preserve"> José </w:t>
      </w:r>
      <w:proofErr w:type="spellStart"/>
      <w:r>
        <w:rPr>
          <w:rFonts w:ascii="Arial" w:hAnsi="Arial" w:cs="Arial"/>
          <w:sz w:val="20"/>
          <w:szCs w:val="20"/>
          <w:lang w:val="pt-BR"/>
        </w:rPr>
        <w:t>Múcio</w:t>
      </w:r>
      <w:proofErr w:type="spellEnd"/>
      <w:r>
        <w:rPr>
          <w:rFonts w:ascii="Arial" w:hAnsi="Arial" w:cs="Arial"/>
          <w:sz w:val="20"/>
          <w:szCs w:val="20"/>
          <w:lang w:val="pt-BR"/>
        </w:rPr>
        <w:t xml:space="preserve"> Monteiro</w:t>
      </w:r>
      <w:r w:rsidR="00861DB4" w:rsidRPr="008E36D8">
        <w:rPr>
          <w:rFonts w:ascii="Arial" w:hAnsi="Arial" w:cs="Arial"/>
          <w:sz w:val="20"/>
          <w:szCs w:val="20"/>
          <w:lang w:val="pt-BR"/>
        </w:rPr>
        <w:t>).</w:t>
      </w:r>
    </w:p>
    <w:p w14:paraId="5F8E8FBC" w14:textId="77777777" w:rsidR="00B036BD" w:rsidRDefault="00B036BD" w:rsidP="00816942">
      <w:pPr>
        <w:spacing w:after="0"/>
        <w:jc w:val="both"/>
        <w:rPr>
          <w:rStyle w:val="Hyperlink"/>
          <w:rFonts w:ascii="Arial" w:hAnsi="Arial" w:cs="Arial"/>
          <w:b/>
          <w:color w:val="000000" w:themeColor="text1"/>
          <w:sz w:val="20"/>
          <w:szCs w:val="20"/>
          <w:u w:val="none"/>
        </w:rPr>
      </w:pPr>
    </w:p>
    <w:p w14:paraId="7B2CF815" w14:textId="77777777" w:rsidR="00B34863" w:rsidRPr="0022060B" w:rsidRDefault="00B34863" w:rsidP="00B34863">
      <w:pPr>
        <w:shd w:val="pct10" w:color="auto" w:fill="auto"/>
        <w:spacing w:after="0"/>
        <w:jc w:val="center"/>
        <w:rPr>
          <w:rFonts w:ascii="Arial" w:hAnsi="Arial" w:cs="Arial"/>
          <w:b/>
          <w:sz w:val="20"/>
          <w:szCs w:val="20"/>
        </w:rPr>
      </w:pPr>
      <w:r>
        <w:rPr>
          <w:rFonts w:ascii="Arial" w:hAnsi="Arial" w:cs="Arial"/>
          <w:b/>
          <w:sz w:val="20"/>
          <w:szCs w:val="20"/>
        </w:rPr>
        <w:t xml:space="preserve">TRIBUNAL DE CONTAS DO </w:t>
      </w:r>
      <w:r w:rsidR="00B036BD">
        <w:rPr>
          <w:rFonts w:ascii="Arial" w:hAnsi="Arial" w:cs="Arial"/>
          <w:b/>
          <w:sz w:val="20"/>
          <w:szCs w:val="20"/>
        </w:rPr>
        <w:t>DISTRITO FEDERAL</w:t>
      </w:r>
      <w:r>
        <w:rPr>
          <w:rFonts w:ascii="Arial" w:hAnsi="Arial" w:cs="Arial"/>
          <w:b/>
          <w:sz w:val="20"/>
          <w:szCs w:val="20"/>
        </w:rPr>
        <w:t xml:space="preserve"> </w:t>
      </w:r>
    </w:p>
    <w:p w14:paraId="07364733" w14:textId="77777777" w:rsidR="00CD37A1" w:rsidRDefault="00CD37A1" w:rsidP="00B34863">
      <w:pPr>
        <w:spacing w:after="0"/>
        <w:jc w:val="both"/>
        <w:rPr>
          <w:rFonts w:ascii="Arial" w:hAnsi="Arial" w:cs="Arial"/>
          <w:b/>
          <w:color w:val="000000"/>
          <w:sz w:val="20"/>
          <w:szCs w:val="20"/>
          <w:shd w:val="clear" w:color="auto" w:fill="FFFFFF"/>
        </w:rPr>
      </w:pPr>
    </w:p>
    <w:p w14:paraId="2C19B179" w14:textId="77777777" w:rsidR="00C645F4" w:rsidRDefault="003D704E" w:rsidP="00B34863">
      <w:pPr>
        <w:spacing w:after="0"/>
        <w:jc w:val="both"/>
        <w:rPr>
          <w:rFonts w:ascii="Arial" w:hAnsi="Arial" w:cs="Arial"/>
          <w:b/>
          <w:color w:val="000000"/>
          <w:sz w:val="20"/>
          <w:szCs w:val="20"/>
          <w:shd w:val="clear" w:color="auto" w:fill="FFFFFF"/>
        </w:rPr>
      </w:pPr>
      <w:bookmarkStart w:id="3" w:name="_Hlk5027744"/>
      <w:r>
        <w:rPr>
          <w:rFonts w:ascii="Arial" w:hAnsi="Arial" w:cs="Arial"/>
          <w:b/>
          <w:color w:val="000000"/>
          <w:sz w:val="20"/>
          <w:szCs w:val="20"/>
          <w:shd w:val="clear" w:color="auto" w:fill="FFFFFF"/>
        </w:rPr>
        <w:t xml:space="preserve">3. </w:t>
      </w:r>
      <w:bookmarkStart w:id="4" w:name="_Hlk11860661"/>
      <w:bookmarkEnd w:id="3"/>
      <w:r w:rsidR="00C645F4" w:rsidRPr="00C645F4">
        <w:rPr>
          <w:rFonts w:ascii="Arial" w:hAnsi="Arial" w:cs="Arial"/>
          <w:b/>
          <w:color w:val="000000"/>
          <w:sz w:val="20"/>
          <w:szCs w:val="20"/>
          <w:shd w:val="clear" w:color="auto" w:fill="FFFFFF"/>
        </w:rPr>
        <w:t>Denúncia formulada por entidade associativa perante esta Corte de Contas em 26.04.2016, contendo pedido liminar, versando acerca da ocorrência de possíveis ilegalidades cometidas pelo Governo do Distrito Federal em chamamentos para consultas públicas, com vistas a subsidiar a definição de localização, dimensão e limites de parques ecológicos a serem implantadas às margens do Lago Paranoá.</w:t>
      </w:r>
    </w:p>
    <w:bookmarkEnd w:id="4"/>
    <w:p w14:paraId="55B04A80" w14:textId="1BDE4632" w:rsidR="008B7AA1" w:rsidRPr="008B7AA1" w:rsidRDefault="00C645F4" w:rsidP="00B34863">
      <w:pPr>
        <w:spacing w:after="0"/>
        <w:jc w:val="both"/>
        <w:rPr>
          <w:rFonts w:ascii="Arial" w:hAnsi="Arial" w:cs="Arial"/>
          <w:color w:val="000000"/>
          <w:sz w:val="20"/>
          <w:szCs w:val="20"/>
          <w:shd w:val="clear" w:color="auto" w:fill="FFFFFF"/>
        </w:rPr>
      </w:pPr>
      <w:r w:rsidRPr="00C645F4">
        <w:rPr>
          <w:rFonts w:ascii="Arial" w:hAnsi="Arial" w:cs="Arial"/>
          <w:color w:val="000000"/>
          <w:sz w:val="20"/>
          <w:szCs w:val="20"/>
          <w:shd w:val="clear" w:color="auto" w:fill="FFFFFF"/>
        </w:rPr>
        <w:t xml:space="preserve">Os presentes autos foram instaurados para abrigar, originalmente, denúncia formulada por entidade associativa (Associação de Moradores do SHIS QL 12 do Lago Sul1) perante esta Corte </w:t>
      </w:r>
      <w:r w:rsidRPr="00C645F4">
        <w:rPr>
          <w:rFonts w:ascii="Arial" w:hAnsi="Arial" w:cs="Arial"/>
          <w:color w:val="000000"/>
          <w:sz w:val="20"/>
          <w:szCs w:val="20"/>
          <w:shd w:val="clear" w:color="auto" w:fill="FFFFFF"/>
        </w:rPr>
        <w:lastRenderedPageBreak/>
        <w:t>de Contas em 26.04.2016 (e-DOC DD9CC441-e), com pedido liminar, versando acerca de ocorrência de possíveis ilegalidades cometidas pelo Governo do Distrito Federal em chamamentos2 para consultas públicas, com vistas a subsidiar a definição de localização, dimensão e limites de 6 (seis) parques ecológicos a serem implantados às margens do Lago Paranoá, previstas para realizarem-se nos dias 30.04.2016, 07.05.2016 e 14.05.2016, conforme publicação no DODF de 05.04.2016, Seção 3, pg. 32.</w:t>
      </w:r>
      <w:r>
        <w:rPr>
          <w:rFonts w:ascii="Arial" w:hAnsi="Arial" w:cs="Arial"/>
          <w:color w:val="000000"/>
          <w:sz w:val="20"/>
          <w:szCs w:val="20"/>
          <w:shd w:val="clear" w:color="auto" w:fill="FFFFFF"/>
        </w:rPr>
        <w:t xml:space="preserve"> </w:t>
      </w:r>
      <w:r w:rsidRPr="00C645F4">
        <w:rPr>
          <w:rFonts w:ascii="Arial" w:hAnsi="Arial" w:cs="Arial"/>
          <w:color w:val="000000"/>
          <w:sz w:val="20"/>
          <w:szCs w:val="20"/>
          <w:shd w:val="clear" w:color="auto" w:fill="FFFFFF"/>
        </w:rPr>
        <w:t>VOTO convergente com o Parquet especial, à exceção da proposta de determinação de realização de consultas públicas para a definição de poligonais e eventuais alterações de uso das Unidades de Conservação, tendo em conta o deliberado no item “II-c” da Decisão n.º 6.247/2016, com acréscimo no sentido de fixar prazo de 30 (trinta) dias para que as jurisdicionadas encaminhem ao Tribunal as medidas adotadas para dar fiel cumprimento às diligências em comento.</w:t>
      </w:r>
    </w:p>
    <w:p w14:paraId="6726F55A" w14:textId="682218DB" w:rsidR="008B7AA1" w:rsidRDefault="00C645F4" w:rsidP="00B34863">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(TCU, </w:t>
      </w:r>
      <w:hyperlink r:id="rId10" w:history="1">
        <w:r w:rsidRPr="00C645F4">
          <w:rPr>
            <w:rStyle w:val="Hyperlink"/>
            <w:rFonts w:ascii="Arial" w:hAnsi="Arial" w:cs="Arial"/>
            <w:sz w:val="20"/>
            <w:szCs w:val="20"/>
            <w:shd w:val="clear" w:color="auto" w:fill="FFFFFF"/>
          </w:rPr>
          <w:t xml:space="preserve">Processo </w:t>
        </w:r>
        <w:proofErr w:type="spellStart"/>
        <w:r w:rsidRPr="00C645F4">
          <w:rPr>
            <w:rStyle w:val="Hyperlink"/>
            <w:rFonts w:ascii="Arial" w:hAnsi="Arial" w:cs="Arial"/>
            <w:sz w:val="20"/>
            <w:szCs w:val="20"/>
            <w:shd w:val="clear" w:color="auto" w:fill="FFFFFF"/>
          </w:rPr>
          <w:t>n.°</w:t>
        </w:r>
        <w:proofErr w:type="spellEnd"/>
        <w:r w:rsidRPr="00C645F4">
          <w:rPr>
            <w:rStyle w:val="Hyperlink"/>
            <w:rFonts w:ascii="Arial" w:hAnsi="Arial" w:cs="Arial"/>
            <w:sz w:val="20"/>
            <w:szCs w:val="20"/>
            <w:shd w:val="clear" w:color="auto" w:fill="FFFFFF"/>
          </w:rPr>
          <w:t xml:space="preserve"> 12.798/2016</w:t>
        </w:r>
      </w:hyperlink>
      <w:r>
        <w:rPr>
          <w:rFonts w:ascii="Arial" w:hAnsi="Arial" w:cs="Arial"/>
          <w:color w:val="000000"/>
          <w:sz w:val="20"/>
          <w:szCs w:val="20"/>
          <w:shd w:val="clear" w:color="auto" w:fill="FFFFFF"/>
        </w:rPr>
        <w:t xml:space="preserve">, </w:t>
      </w:r>
      <w:r w:rsidR="008B7AA1" w:rsidRPr="008B7AA1">
        <w:rPr>
          <w:rFonts w:ascii="Arial" w:hAnsi="Arial" w:cs="Arial"/>
          <w:color w:val="000000"/>
          <w:sz w:val="20"/>
          <w:szCs w:val="20"/>
          <w:shd w:val="clear" w:color="auto" w:fill="FFFFFF"/>
        </w:rPr>
        <w:t>Conselheiro-Relator Inácio Magalhães Filho</w:t>
      </w:r>
      <w:r w:rsidR="005A143D">
        <w:rPr>
          <w:rFonts w:ascii="Arial" w:hAnsi="Arial" w:cs="Arial"/>
          <w:color w:val="000000"/>
          <w:sz w:val="20"/>
          <w:szCs w:val="20"/>
          <w:shd w:val="clear" w:color="auto" w:fill="FFFFFF"/>
        </w:rPr>
        <w:t>)</w:t>
      </w:r>
    </w:p>
    <w:p w14:paraId="5C9F6A44" w14:textId="77777777" w:rsidR="008E36D8" w:rsidRDefault="008E36D8" w:rsidP="00B34863">
      <w:pPr>
        <w:spacing w:after="0"/>
        <w:jc w:val="both"/>
        <w:rPr>
          <w:rFonts w:ascii="Arial" w:hAnsi="Arial" w:cs="Arial"/>
          <w:color w:val="000000"/>
          <w:sz w:val="20"/>
          <w:szCs w:val="20"/>
          <w:shd w:val="clear" w:color="auto" w:fill="FFFFFF"/>
        </w:rPr>
      </w:pPr>
    </w:p>
    <w:p w14:paraId="6ABC941C" w14:textId="77777777" w:rsidR="00B34863" w:rsidRPr="0022060B" w:rsidRDefault="00B34863" w:rsidP="00B34863">
      <w:pPr>
        <w:shd w:val="pct10" w:color="auto" w:fill="auto"/>
        <w:spacing w:after="0"/>
        <w:jc w:val="center"/>
        <w:rPr>
          <w:rFonts w:ascii="Arial" w:hAnsi="Arial" w:cs="Arial"/>
          <w:b/>
          <w:sz w:val="20"/>
          <w:szCs w:val="20"/>
        </w:rPr>
      </w:pPr>
      <w:r>
        <w:rPr>
          <w:rFonts w:ascii="Arial" w:hAnsi="Arial" w:cs="Arial"/>
          <w:b/>
          <w:sz w:val="20"/>
          <w:szCs w:val="20"/>
        </w:rPr>
        <w:t xml:space="preserve">SUPREMO TRIBUNAL FEDERAL </w:t>
      </w:r>
    </w:p>
    <w:p w14:paraId="5F8AD51B" w14:textId="77777777" w:rsidR="00FE542E" w:rsidRDefault="00FE542E" w:rsidP="002A365A">
      <w:pPr>
        <w:spacing w:after="0"/>
        <w:jc w:val="both"/>
        <w:rPr>
          <w:rFonts w:ascii="Arial" w:hAnsi="Arial" w:cs="Arial"/>
          <w:color w:val="000000"/>
          <w:sz w:val="20"/>
          <w:szCs w:val="20"/>
          <w:shd w:val="clear" w:color="auto" w:fill="FFFFFF"/>
        </w:rPr>
      </w:pPr>
    </w:p>
    <w:p w14:paraId="7F5FCE79" w14:textId="6DB867EF" w:rsidR="0080743C" w:rsidRDefault="003D704E" w:rsidP="0080743C">
      <w:pPr>
        <w:spacing w:after="0"/>
        <w:jc w:val="both"/>
        <w:rPr>
          <w:rFonts w:ascii="Arial" w:hAnsi="Arial" w:cs="Arial"/>
          <w:b/>
          <w:color w:val="000000"/>
          <w:sz w:val="20"/>
          <w:szCs w:val="20"/>
          <w:shd w:val="clear" w:color="auto" w:fill="FFFFFF"/>
        </w:rPr>
      </w:pPr>
      <w:bookmarkStart w:id="5" w:name="_Hlk11860758"/>
      <w:bookmarkStart w:id="6" w:name="_Hlk5027767"/>
      <w:r>
        <w:rPr>
          <w:rFonts w:ascii="Arial" w:hAnsi="Arial" w:cs="Arial"/>
          <w:b/>
          <w:color w:val="000000"/>
          <w:sz w:val="20"/>
          <w:szCs w:val="20"/>
          <w:shd w:val="clear" w:color="auto" w:fill="FFFFFF"/>
        </w:rPr>
        <w:t xml:space="preserve">4. </w:t>
      </w:r>
      <w:r w:rsidR="005A143D" w:rsidRPr="0080743C">
        <w:rPr>
          <w:rFonts w:ascii="Arial" w:hAnsi="Arial" w:cs="Arial"/>
          <w:b/>
          <w:color w:val="000000"/>
          <w:sz w:val="20"/>
          <w:szCs w:val="20"/>
          <w:shd w:val="clear" w:color="auto" w:fill="FFFFFF"/>
        </w:rPr>
        <w:t xml:space="preserve">Constitucional. Federalismo e respeito às regras de distribuição de competência. Direito ambiental. Pesca. Lei estadual 12.557/2006 do </w:t>
      </w:r>
      <w:r w:rsidR="005A143D">
        <w:rPr>
          <w:rFonts w:ascii="Arial" w:hAnsi="Arial" w:cs="Arial"/>
          <w:b/>
          <w:color w:val="000000"/>
          <w:sz w:val="20"/>
          <w:szCs w:val="20"/>
          <w:shd w:val="clear" w:color="auto" w:fill="FFFFFF"/>
        </w:rPr>
        <w:t>R</w:t>
      </w:r>
      <w:r w:rsidR="005A143D" w:rsidRPr="0080743C">
        <w:rPr>
          <w:rFonts w:ascii="Arial" w:hAnsi="Arial" w:cs="Arial"/>
          <w:b/>
          <w:color w:val="000000"/>
          <w:sz w:val="20"/>
          <w:szCs w:val="20"/>
          <w:shd w:val="clear" w:color="auto" w:fill="FFFFFF"/>
        </w:rPr>
        <w:t xml:space="preserve">io </w:t>
      </w:r>
      <w:r w:rsidR="005A143D">
        <w:rPr>
          <w:rFonts w:ascii="Arial" w:hAnsi="Arial" w:cs="Arial"/>
          <w:b/>
          <w:color w:val="000000"/>
          <w:sz w:val="20"/>
          <w:szCs w:val="20"/>
          <w:shd w:val="clear" w:color="auto" w:fill="FFFFFF"/>
        </w:rPr>
        <w:t>G</w:t>
      </w:r>
      <w:r w:rsidR="005A143D" w:rsidRPr="0080743C">
        <w:rPr>
          <w:rFonts w:ascii="Arial" w:hAnsi="Arial" w:cs="Arial"/>
          <w:b/>
          <w:color w:val="000000"/>
          <w:sz w:val="20"/>
          <w:szCs w:val="20"/>
          <w:shd w:val="clear" w:color="auto" w:fill="FFFFFF"/>
        </w:rPr>
        <w:t xml:space="preserve">rande do </w:t>
      </w:r>
      <w:r w:rsidR="005A143D">
        <w:rPr>
          <w:rFonts w:ascii="Arial" w:hAnsi="Arial" w:cs="Arial"/>
          <w:b/>
          <w:color w:val="000000"/>
          <w:sz w:val="20"/>
          <w:szCs w:val="20"/>
          <w:shd w:val="clear" w:color="auto" w:fill="FFFFFF"/>
        </w:rPr>
        <w:t>S</w:t>
      </w:r>
      <w:r w:rsidR="005A143D" w:rsidRPr="0080743C">
        <w:rPr>
          <w:rFonts w:ascii="Arial" w:hAnsi="Arial" w:cs="Arial"/>
          <w:b/>
          <w:color w:val="000000"/>
          <w:sz w:val="20"/>
          <w:szCs w:val="20"/>
          <w:shd w:val="clear" w:color="auto" w:fill="FFFFFF"/>
        </w:rPr>
        <w:t>ul. Regramento da pesca semiprofissional no âmbito do estado-membro. Necessidade de observância da lei federal de normas gerais anteriores à lei estadual. Lei federal superveniente. Suspensão da lei estadual no que lhe for contrária.</w:t>
      </w:r>
    </w:p>
    <w:bookmarkEnd w:id="5"/>
    <w:p w14:paraId="29F4DD31" w14:textId="56782D0A" w:rsidR="0080743C" w:rsidRPr="005A143D" w:rsidRDefault="0080743C" w:rsidP="0080743C">
      <w:pPr>
        <w:spacing w:after="0"/>
        <w:jc w:val="both"/>
        <w:rPr>
          <w:rFonts w:ascii="Arial" w:hAnsi="Arial" w:cs="Arial"/>
          <w:color w:val="000000"/>
          <w:sz w:val="20"/>
          <w:szCs w:val="20"/>
          <w:shd w:val="clear" w:color="auto" w:fill="FFFFFF"/>
        </w:rPr>
      </w:pPr>
      <w:r w:rsidRPr="0080743C">
        <w:rPr>
          <w:rFonts w:ascii="Arial" w:hAnsi="Arial" w:cs="Arial"/>
          <w:color w:val="000000"/>
          <w:sz w:val="20"/>
          <w:szCs w:val="20"/>
          <w:shd w:val="clear" w:color="auto" w:fill="FFFFFF"/>
        </w:rPr>
        <w:t>1. As regras de distribuição de competências legislativas são alicerces do federalismo e consagram a fórmula de divisão de centros de poder em um Estado de Direito. A análise das competências concorrentes (CF, art. 24) deverá priorizar o fortalecimento das autonomias locais e o respeito às suas diversidades, de modo a assegurar o imprescindível equilíbrio federativo, em consonância com a competência legislativa remanescente prevista no § 1º do artigo 25 da Constituição Federal. 2. Compete à União, aos Estados e ao Distrito Federal legislar concorrentemente sobre pesca (CF/88, art. VI). À União cabe legislar sobre normas gerais, de observância cogente aos demais entes da federação (CF/88, art. 24, § 1º). 3. A superveniência de lei federal sobre normas gerais suspende a eficácia da lei estadual, no que lhe for contrária (CF/1988, art. 24, § 4º). Assim, lei estadual que entre em conflito com superveniente lei federal com normas gerais em matéria de legislação concorrente não é, por esse fato, inconstitucional, havendo apenas suspensão da sua eficácia. 4. É indelegável a uma entidade privada a “atividade típica de Estado, que abrange até poder de polícia, de tributar e de punir” (ADI 1.717, Rel. Min. SYDNEY SANCHES, DJ de 28/3/2003). 5. Medida Cautelar confirmada. Ação Direta julgada parcialmente procedente para declarar a inconstitucionalidade do art. 2º, caput e parágrafo único, e do art. 3º, caput e parágrafo único, ambos da Lei 12.557/2006 do Estado do Rio Grande do Sul.</w:t>
      </w:r>
    </w:p>
    <w:p w14:paraId="6C1E4BF7" w14:textId="7D4C3252" w:rsidR="00C4357B" w:rsidRPr="005A143D" w:rsidRDefault="0080743C" w:rsidP="0080743C">
      <w:pPr>
        <w:spacing w:after="0"/>
        <w:jc w:val="both"/>
      </w:pPr>
      <w:r w:rsidRPr="005A143D">
        <w:rPr>
          <w:rFonts w:ascii="Arial" w:hAnsi="Arial" w:cs="Arial"/>
          <w:color w:val="000000"/>
          <w:sz w:val="20"/>
          <w:szCs w:val="20"/>
          <w:shd w:val="clear" w:color="auto" w:fill="FFFFFF"/>
        </w:rPr>
        <w:t>(</w:t>
      </w:r>
      <w:hyperlink r:id="rId11" w:history="1">
        <w:r w:rsidRPr="005A143D">
          <w:rPr>
            <w:rStyle w:val="Hyperlink"/>
            <w:rFonts w:ascii="Arial" w:hAnsi="Arial" w:cs="Arial"/>
            <w:sz w:val="20"/>
            <w:szCs w:val="20"/>
            <w:shd w:val="clear" w:color="auto" w:fill="FFFFFF"/>
          </w:rPr>
          <w:t>ADI 3829</w:t>
        </w:r>
      </w:hyperlink>
      <w:r w:rsidRPr="005A143D">
        <w:rPr>
          <w:rFonts w:ascii="Arial" w:hAnsi="Arial" w:cs="Arial"/>
          <w:color w:val="000000"/>
          <w:sz w:val="20"/>
          <w:szCs w:val="20"/>
          <w:shd w:val="clear" w:color="auto" w:fill="FFFFFF"/>
        </w:rPr>
        <w:t>, Relator(a):  Min. ALEXANDRE DE MORAES, Tribunal Pleno, julgado em 11/04/2019, PROCESSO ELETRÔNICO DJe-103 DIVULG 16-05-2019 PUBLIC 17-05-2019)</w:t>
      </w:r>
    </w:p>
    <w:bookmarkEnd w:id="6"/>
    <w:p w14:paraId="19CA102C" w14:textId="77777777" w:rsidR="002A365A" w:rsidRPr="00E65C68" w:rsidRDefault="002A365A" w:rsidP="00FC7478">
      <w:pPr>
        <w:spacing w:after="0"/>
        <w:jc w:val="both"/>
        <w:rPr>
          <w:rStyle w:val="Hyperlink"/>
          <w:rFonts w:ascii="Arial" w:hAnsi="Arial" w:cs="Arial"/>
          <w:b/>
          <w:color w:val="auto"/>
          <w:sz w:val="20"/>
          <w:szCs w:val="20"/>
          <w:u w:val="none"/>
        </w:rPr>
      </w:pPr>
    </w:p>
    <w:p w14:paraId="77DB263F" w14:textId="77777777" w:rsidR="00B34863" w:rsidRPr="0022060B" w:rsidRDefault="00B34863" w:rsidP="00B34863">
      <w:pPr>
        <w:shd w:val="pct10" w:color="auto" w:fill="auto"/>
        <w:spacing w:after="0"/>
        <w:jc w:val="center"/>
        <w:rPr>
          <w:rFonts w:ascii="Arial" w:hAnsi="Arial" w:cs="Arial"/>
          <w:b/>
          <w:sz w:val="20"/>
          <w:szCs w:val="20"/>
        </w:rPr>
      </w:pPr>
      <w:r>
        <w:rPr>
          <w:rFonts w:ascii="Arial" w:hAnsi="Arial" w:cs="Arial"/>
          <w:b/>
          <w:sz w:val="20"/>
          <w:szCs w:val="20"/>
        </w:rPr>
        <w:t xml:space="preserve">SUPERIOR TRIBUNAL DE JUSTIÇA </w:t>
      </w:r>
    </w:p>
    <w:p w14:paraId="2D573CEB" w14:textId="77777777" w:rsidR="009149FD" w:rsidRDefault="009149FD" w:rsidP="00B34863">
      <w:pPr>
        <w:spacing w:after="0"/>
        <w:jc w:val="both"/>
        <w:rPr>
          <w:rFonts w:ascii="Arial" w:hAnsi="Arial" w:cs="Arial"/>
          <w:b/>
          <w:color w:val="000000"/>
          <w:sz w:val="20"/>
          <w:szCs w:val="20"/>
          <w:shd w:val="clear" w:color="auto" w:fill="FFFFFF"/>
        </w:rPr>
      </w:pPr>
    </w:p>
    <w:p w14:paraId="7F563341" w14:textId="230433E3" w:rsidR="008B750A" w:rsidRDefault="0080743C" w:rsidP="0035048F">
      <w:pPr>
        <w:spacing w:after="0"/>
        <w:jc w:val="both"/>
        <w:rPr>
          <w:rFonts w:ascii="Arial" w:hAnsi="Arial" w:cs="Arial"/>
          <w:b/>
          <w:color w:val="000000"/>
          <w:sz w:val="20"/>
          <w:szCs w:val="20"/>
          <w:shd w:val="clear" w:color="auto" w:fill="FFFFFF"/>
        </w:rPr>
      </w:pPr>
      <w:bookmarkStart w:id="7" w:name="_Hlk11860784"/>
      <w:r>
        <w:rPr>
          <w:rFonts w:ascii="Arial" w:hAnsi="Arial" w:cs="Arial"/>
          <w:b/>
          <w:color w:val="000000"/>
          <w:sz w:val="20"/>
          <w:szCs w:val="20"/>
          <w:shd w:val="clear" w:color="auto" w:fill="FFFFFF"/>
        </w:rPr>
        <w:lastRenderedPageBreak/>
        <w:t>5</w:t>
      </w:r>
      <w:r w:rsidR="008B750A" w:rsidRPr="008B750A">
        <w:rPr>
          <w:rFonts w:ascii="Arial" w:hAnsi="Arial" w:cs="Arial"/>
          <w:b/>
          <w:color w:val="000000"/>
          <w:sz w:val="20"/>
          <w:szCs w:val="20"/>
          <w:shd w:val="clear" w:color="auto" w:fill="FFFFFF"/>
        </w:rPr>
        <w:t xml:space="preserve">. Jurisprudência em Teses (edição n.º </w:t>
      </w:r>
      <w:r w:rsidR="00D20524">
        <w:rPr>
          <w:rFonts w:ascii="Arial" w:hAnsi="Arial" w:cs="Arial"/>
          <w:b/>
          <w:color w:val="000000"/>
          <w:sz w:val="20"/>
          <w:szCs w:val="20"/>
          <w:shd w:val="clear" w:color="auto" w:fill="FFFFFF"/>
        </w:rPr>
        <w:t>127</w:t>
      </w:r>
      <w:r w:rsidR="008B750A" w:rsidRPr="008B750A">
        <w:rPr>
          <w:rFonts w:ascii="Arial" w:hAnsi="Arial" w:cs="Arial"/>
          <w:b/>
          <w:color w:val="000000"/>
          <w:sz w:val="20"/>
          <w:szCs w:val="20"/>
          <w:shd w:val="clear" w:color="auto" w:fill="FFFFFF"/>
        </w:rPr>
        <w:t xml:space="preserve">): </w:t>
      </w:r>
      <w:r w:rsidR="00D20524">
        <w:rPr>
          <w:rFonts w:ascii="Arial" w:hAnsi="Arial" w:cs="Arial"/>
          <w:b/>
          <w:color w:val="000000"/>
          <w:sz w:val="20"/>
          <w:szCs w:val="20"/>
          <w:shd w:val="clear" w:color="auto" w:fill="FFFFFF"/>
        </w:rPr>
        <w:t>Intervenção do Estado na propriedade privada</w:t>
      </w:r>
    </w:p>
    <w:bookmarkEnd w:id="7"/>
    <w:p w14:paraId="7CE62246" w14:textId="77777777" w:rsidR="008B750A" w:rsidRDefault="008B750A" w:rsidP="0035048F">
      <w:pPr>
        <w:spacing w:after="0"/>
        <w:jc w:val="both"/>
        <w:rPr>
          <w:rFonts w:ascii="Arial" w:hAnsi="Arial" w:cs="Arial"/>
          <w:color w:val="000000"/>
          <w:sz w:val="20"/>
          <w:szCs w:val="20"/>
          <w:shd w:val="clear" w:color="auto" w:fill="FFFFFF"/>
        </w:rPr>
      </w:pPr>
    </w:p>
    <w:p w14:paraId="2F6C10E6" w14:textId="0FC97660" w:rsidR="00D20524" w:rsidRPr="00D20524" w:rsidRDefault="00D20524" w:rsidP="0035048F">
      <w:pPr>
        <w:spacing w:after="0"/>
        <w:jc w:val="both"/>
        <w:rPr>
          <w:rFonts w:ascii="Arial" w:hAnsi="Arial" w:cs="Arial"/>
        </w:rPr>
      </w:pPr>
      <w:bookmarkStart w:id="8" w:name="TEMA2"/>
      <w:bookmarkEnd w:id="8"/>
      <w:r w:rsidRPr="00D20524">
        <w:rPr>
          <w:rFonts w:ascii="Arial" w:hAnsi="Arial" w:cs="Arial"/>
          <w:bCs/>
          <w:sz w:val="20"/>
          <w:szCs w:val="20"/>
        </w:rPr>
        <w:t xml:space="preserve">1) O ato de tombamento geral não precisa individualizar os bens abarcados pelo tombo, pois as restrições impostas pelo Decreto-Lei n. 25/1937 se estendem à totalidade dos imóveis pertencentes à área tombada. </w:t>
      </w:r>
    </w:p>
    <w:p w14:paraId="73DB7E4B" w14:textId="78A4277C" w:rsidR="00D20524" w:rsidRPr="00D20524" w:rsidRDefault="00D20524" w:rsidP="0035048F">
      <w:pPr>
        <w:spacing w:after="0"/>
        <w:jc w:val="both"/>
        <w:rPr>
          <w:rFonts w:ascii="Arial" w:hAnsi="Arial" w:cs="Arial"/>
          <w:color w:val="000000"/>
          <w:sz w:val="20"/>
          <w:szCs w:val="20"/>
          <w:shd w:val="clear" w:color="auto" w:fill="FFFFFF"/>
        </w:rPr>
      </w:pPr>
      <w:r w:rsidRPr="00D20524">
        <w:rPr>
          <w:rFonts w:ascii="Arial" w:hAnsi="Arial" w:cs="Arial"/>
          <w:bCs/>
          <w:sz w:val="20"/>
          <w:szCs w:val="20"/>
        </w:rPr>
        <w:t xml:space="preserve">6) As restrições relativas à exploração da mata atlântica estabelecidas pelo Decreto n. 750/1993 constituem mera limitação administrativa, e não desapropriação indireta, sujeitando-se, portanto, à prescrição quinquenal. </w:t>
      </w:r>
    </w:p>
    <w:p w14:paraId="1154754C" w14:textId="614182B7" w:rsidR="00B179FD" w:rsidRDefault="00B179FD" w:rsidP="00047709">
      <w:pPr>
        <w:autoSpaceDE w:val="0"/>
        <w:autoSpaceDN w:val="0"/>
        <w:adjustRightInd w:val="0"/>
        <w:spacing w:after="0"/>
        <w:jc w:val="both"/>
        <w:rPr>
          <w:rFonts w:ascii="Arial" w:hAnsi="Arial" w:cs="Arial"/>
          <w:color w:val="000000"/>
          <w:sz w:val="20"/>
          <w:szCs w:val="20"/>
          <w:shd w:val="clear" w:color="auto" w:fill="FFFFFF"/>
        </w:rPr>
      </w:pPr>
    </w:p>
    <w:p w14:paraId="0289BF64" w14:textId="1065E84B" w:rsidR="00A54810" w:rsidRDefault="0080743C" w:rsidP="00A54810">
      <w:pPr>
        <w:spacing w:after="0"/>
        <w:jc w:val="both"/>
        <w:rPr>
          <w:rFonts w:ascii="Arial" w:hAnsi="Arial" w:cs="Arial"/>
          <w:b/>
          <w:sz w:val="20"/>
        </w:rPr>
      </w:pPr>
      <w:bookmarkStart w:id="9" w:name="_Hlk11860812"/>
      <w:r>
        <w:rPr>
          <w:rFonts w:ascii="Arial" w:hAnsi="Arial" w:cs="Arial"/>
          <w:b/>
          <w:sz w:val="20"/>
        </w:rPr>
        <w:t>6</w:t>
      </w:r>
      <w:r w:rsidR="00A54810" w:rsidRPr="00A54810">
        <w:rPr>
          <w:rFonts w:ascii="Arial" w:hAnsi="Arial" w:cs="Arial"/>
          <w:b/>
          <w:sz w:val="20"/>
        </w:rPr>
        <w:t xml:space="preserve">. Administrativo. Ambiental. Recurso Especial. Supressão </w:t>
      </w:r>
      <w:r w:rsidR="00A54810">
        <w:rPr>
          <w:rFonts w:ascii="Arial" w:hAnsi="Arial" w:cs="Arial"/>
          <w:b/>
          <w:sz w:val="20"/>
        </w:rPr>
        <w:t>d</w:t>
      </w:r>
      <w:r w:rsidR="00A54810" w:rsidRPr="00A54810">
        <w:rPr>
          <w:rFonts w:ascii="Arial" w:hAnsi="Arial" w:cs="Arial"/>
          <w:b/>
          <w:sz w:val="20"/>
        </w:rPr>
        <w:t xml:space="preserve">e Vegetação. Necessidade </w:t>
      </w:r>
      <w:r w:rsidR="00A54810">
        <w:rPr>
          <w:rFonts w:ascii="Arial" w:hAnsi="Arial" w:cs="Arial"/>
          <w:b/>
          <w:sz w:val="20"/>
        </w:rPr>
        <w:t>d</w:t>
      </w:r>
      <w:r w:rsidR="00A54810" w:rsidRPr="00A54810">
        <w:rPr>
          <w:rFonts w:ascii="Arial" w:hAnsi="Arial" w:cs="Arial"/>
          <w:b/>
          <w:sz w:val="20"/>
        </w:rPr>
        <w:t xml:space="preserve">e </w:t>
      </w:r>
      <w:r w:rsidR="00A54810">
        <w:rPr>
          <w:rFonts w:ascii="Arial" w:hAnsi="Arial" w:cs="Arial"/>
          <w:b/>
          <w:sz w:val="20"/>
        </w:rPr>
        <w:t>a</w:t>
      </w:r>
      <w:r w:rsidR="00A54810" w:rsidRPr="00A54810">
        <w:rPr>
          <w:rFonts w:ascii="Arial" w:hAnsi="Arial" w:cs="Arial"/>
          <w:b/>
          <w:sz w:val="20"/>
        </w:rPr>
        <w:t xml:space="preserve">utorização. Princípio </w:t>
      </w:r>
      <w:r w:rsidR="00A54810">
        <w:rPr>
          <w:rFonts w:ascii="Arial" w:hAnsi="Arial" w:cs="Arial"/>
          <w:b/>
          <w:sz w:val="20"/>
        </w:rPr>
        <w:t>d</w:t>
      </w:r>
      <w:r w:rsidR="00A54810" w:rsidRPr="00A54810">
        <w:rPr>
          <w:rFonts w:ascii="Arial" w:hAnsi="Arial" w:cs="Arial"/>
          <w:b/>
          <w:sz w:val="20"/>
        </w:rPr>
        <w:t xml:space="preserve">a Solidariedade Ambiental. Inexistência </w:t>
      </w:r>
      <w:r w:rsidR="00A54810">
        <w:rPr>
          <w:rFonts w:ascii="Arial" w:hAnsi="Arial" w:cs="Arial"/>
          <w:b/>
          <w:sz w:val="20"/>
        </w:rPr>
        <w:t>d</w:t>
      </w:r>
      <w:r w:rsidR="00A54810" w:rsidRPr="00A54810">
        <w:rPr>
          <w:rFonts w:ascii="Arial" w:hAnsi="Arial" w:cs="Arial"/>
          <w:b/>
          <w:sz w:val="20"/>
        </w:rPr>
        <w:t xml:space="preserve">e </w:t>
      </w:r>
      <w:r w:rsidR="00A54810">
        <w:rPr>
          <w:rFonts w:ascii="Arial" w:hAnsi="Arial" w:cs="Arial"/>
          <w:b/>
          <w:sz w:val="20"/>
        </w:rPr>
        <w:t>d</w:t>
      </w:r>
      <w:r w:rsidR="00A54810" w:rsidRPr="00A54810">
        <w:rPr>
          <w:rFonts w:ascii="Arial" w:hAnsi="Arial" w:cs="Arial"/>
          <w:b/>
          <w:sz w:val="20"/>
        </w:rPr>
        <w:t xml:space="preserve">ireito </w:t>
      </w:r>
      <w:r w:rsidR="00A54810">
        <w:rPr>
          <w:rFonts w:ascii="Arial" w:hAnsi="Arial" w:cs="Arial"/>
          <w:b/>
          <w:sz w:val="20"/>
        </w:rPr>
        <w:t>a</w:t>
      </w:r>
      <w:r w:rsidR="00A54810" w:rsidRPr="00A54810">
        <w:rPr>
          <w:rFonts w:ascii="Arial" w:hAnsi="Arial" w:cs="Arial"/>
          <w:b/>
          <w:sz w:val="20"/>
        </w:rPr>
        <w:t xml:space="preserve">dquirido </w:t>
      </w:r>
      <w:r w:rsidR="00A54810">
        <w:rPr>
          <w:rFonts w:ascii="Arial" w:hAnsi="Arial" w:cs="Arial"/>
          <w:b/>
          <w:sz w:val="20"/>
        </w:rPr>
        <w:t>à</w:t>
      </w:r>
      <w:r w:rsidR="00A54810" w:rsidRPr="00A54810">
        <w:rPr>
          <w:rFonts w:ascii="Arial" w:hAnsi="Arial" w:cs="Arial"/>
          <w:b/>
          <w:sz w:val="20"/>
        </w:rPr>
        <w:t xml:space="preserve"> </w:t>
      </w:r>
      <w:r w:rsidR="00A54810">
        <w:rPr>
          <w:rFonts w:ascii="Arial" w:hAnsi="Arial" w:cs="Arial"/>
          <w:b/>
          <w:sz w:val="20"/>
        </w:rPr>
        <w:t>m</w:t>
      </w:r>
      <w:r w:rsidR="00A54810" w:rsidRPr="00A54810">
        <w:rPr>
          <w:rFonts w:ascii="Arial" w:hAnsi="Arial" w:cs="Arial"/>
          <w:b/>
          <w:sz w:val="20"/>
        </w:rPr>
        <w:t xml:space="preserve">enor </w:t>
      </w:r>
      <w:r w:rsidR="00A54810">
        <w:rPr>
          <w:rFonts w:ascii="Arial" w:hAnsi="Arial" w:cs="Arial"/>
          <w:b/>
          <w:sz w:val="20"/>
        </w:rPr>
        <w:t>p</w:t>
      </w:r>
      <w:r w:rsidR="00A54810" w:rsidRPr="00A54810">
        <w:rPr>
          <w:rFonts w:ascii="Arial" w:hAnsi="Arial" w:cs="Arial"/>
          <w:b/>
          <w:sz w:val="20"/>
        </w:rPr>
        <w:t xml:space="preserve">atamar </w:t>
      </w:r>
      <w:r w:rsidR="00A54810">
        <w:rPr>
          <w:rFonts w:ascii="Arial" w:hAnsi="Arial" w:cs="Arial"/>
          <w:b/>
          <w:sz w:val="20"/>
        </w:rPr>
        <w:t>p</w:t>
      </w:r>
      <w:r w:rsidR="00A54810" w:rsidRPr="00A54810">
        <w:rPr>
          <w:rFonts w:ascii="Arial" w:hAnsi="Arial" w:cs="Arial"/>
          <w:b/>
          <w:sz w:val="20"/>
        </w:rPr>
        <w:t xml:space="preserve">rotetivo. Fato </w:t>
      </w:r>
      <w:r w:rsidR="00A54810">
        <w:rPr>
          <w:rFonts w:ascii="Arial" w:hAnsi="Arial" w:cs="Arial"/>
          <w:b/>
          <w:sz w:val="20"/>
        </w:rPr>
        <w:t>c</w:t>
      </w:r>
      <w:r w:rsidR="00A54810" w:rsidRPr="00A54810">
        <w:rPr>
          <w:rFonts w:ascii="Arial" w:hAnsi="Arial" w:cs="Arial"/>
          <w:b/>
          <w:sz w:val="20"/>
        </w:rPr>
        <w:t xml:space="preserve">onsumado. Inviável </w:t>
      </w:r>
      <w:r w:rsidR="00A54810">
        <w:rPr>
          <w:rFonts w:ascii="Arial" w:hAnsi="Arial" w:cs="Arial"/>
          <w:b/>
          <w:sz w:val="20"/>
        </w:rPr>
        <w:t>e</w:t>
      </w:r>
      <w:r w:rsidR="00A54810" w:rsidRPr="00A54810">
        <w:rPr>
          <w:rFonts w:ascii="Arial" w:hAnsi="Arial" w:cs="Arial"/>
          <w:b/>
          <w:sz w:val="20"/>
        </w:rPr>
        <w:t xml:space="preserve">m </w:t>
      </w:r>
      <w:r w:rsidR="00A54810">
        <w:rPr>
          <w:rFonts w:ascii="Arial" w:hAnsi="Arial" w:cs="Arial"/>
          <w:b/>
          <w:sz w:val="20"/>
        </w:rPr>
        <w:t>m</w:t>
      </w:r>
      <w:r w:rsidR="00A54810" w:rsidRPr="00A54810">
        <w:rPr>
          <w:rFonts w:ascii="Arial" w:hAnsi="Arial" w:cs="Arial"/>
          <w:b/>
          <w:sz w:val="20"/>
        </w:rPr>
        <w:t xml:space="preserve">atéria </w:t>
      </w:r>
      <w:r w:rsidR="00A54810">
        <w:rPr>
          <w:rFonts w:ascii="Arial" w:hAnsi="Arial" w:cs="Arial"/>
          <w:b/>
          <w:sz w:val="20"/>
        </w:rPr>
        <w:t>a</w:t>
      </w:r>
      <w:r w:rsidR="00A54810" w:rsidRPr="00A54810">
        <w:rPr>
          <w:rFonts w:ascii="Arial" w:hAnsi="Arial" w:cs="Arial"/>
          <w:b/>
          <w:sz w:val="20"/>
        </w:rPr>
        <w:t>mbiental.</w:t>
      </w:r>
    </w:p>
    <w:bookmarkEnd w:id="9"/>
    <w:p w14:paraId="15EBD209" w14:textId="77777777" w:rsidR="00A54810" w:rsidRPr="00A54810" w:rsidRDefault="00A54810" w:rsidP="00A54810">
      <w:pPr>
        <w:spacing w:after="0"/>
        <w:jc w:val="both"/>
        <w:rPr>
          <w:rFonts w:ascii="Arial" w:hAnsi="Arial" w:cs="Arial"/>
          <w:b/>
          <w:sz w:val="20"/>
        </w:rPr>
      </w:pPr>
    </w:p>
    <w:p w14:paraId="798012CD" w14:textId="77777777" w:rsidR="00A54810" w:rsidRPr="00A54810" w:rsidRDefault="00A54810" w:rsidP="00A54810">
      <w:pPr>
        <w:spacing w:after="0"/>
        <w:jc w:val="both"/>
        <w:rPr>
          <w:rFonts w:ascii="Arial" w:hAnsi="Arial" w:cs="Arial"/>
          <w:sz w:val="20"/>
        </w:rPr>
      </w:pPr>
      <w:r w:rsidRPr="00A54810">
        <w:rPr>
          <w:rFonts w:ascii="Arial" w:hAnsi="Arial" w:cs="Arial"/>
          <w:sz w:val="20"/>
        </w:rPr>
        <w:t>1. Na origem, trata-se de ação declaratória ajuizada pelo recorrido contra a Fazenda Pública do Estado de São Paulo, na qual, o requerente sustentou que, sendo legítimo proprietário dos imóveis descritos na inicial, diligenciou perante o órgão competente visando autorização para a supressão da vegetação da área, recebendo orientação de que tais procedimentos estão submetidos à Resolução SMA-14, de 13 de março de 2008, que estabeleceu fatores condicionantes para tal fim. Diante da situação, na exordial, arguiu a inaplicabilidade das normas suscitadas, tendo em vista a superveniência da legislação ambiental ante a aquisição da propriedade e a aplicabilidade mitigada do Código Florestal às áreas urbanas.</w:t>
      </w:r>
    </w:p>
    <w:p w14:paraId="415E3A83" w14:textId="77777777" w:rsidR="00A54810" w:rsidRPr="00A54810" w:rsidRDefault="00A54810" w:rsidP="00A54810">
      <w:pPr>
        <w:spacing w:after="0"/>
        <w:jc w:val="both"/>
        <w:rPr>
          <w:rFonts w:ascii="Arial" w:hAnsi="Arial" w:cs="Arial"/>
          <w:sz w:val="20"/>
        </w:rPr>
      </w:pPr>
      <w:r w:rsidRPr="00A54810">
        <w:rPr>
          <w:rFonts w:ascii="Arial" w:hAnsi="Arial" w:cs="Arial"/>
          <w:sz w:val="20"/>
        </w:rPr>
        <w:t>2. Inicialmente, é importante elucidar que o princípio da solidariedade intergeracional estabelece responsabilidades morais e jurídicas para as gerações humanas presentes em vista da ideia de justiça intergeracional, ou seja, justiça e equidade entre gerações humanas distintas. Dessa forma, a propriedade privada deve observar sua função ambiental em exegese teleológica da função social da propriedade, respeitando os valores ambientais e direitos ecológicos.</w:t>
      </w:r>
    </w:p>
    <w:p w14:paraId="56F77DB1" w14:textId="77777777" w:rsidR="00A54810" w:rsidRPr="00A54810" w:rsidRDefault="00A54810" w:rsidP="00A54810">
      <w:pPr>
        <w:spacing w:after="0"/>
        <w:jc w:val="both"/>
        <w:rPr>
          <w:rFonts w:ascii="Arial" w:hAnsi="Arial" w:cs="Arial"/>
          <w:sz w:val="20"/>
        </w:rPr>
      </w:pPr>
      <w:r w:rsidRPr="00A54810">
        <w:rPr>
          <w:rFonts w:ascii="Arial" w:hAnsi="Arial" w:cs="Arial"/>
          <w:sz w:val="20"/>
        </w:rPr>
        <w:t>3. Noutro ponto, destaco a firme orientação jurisprudencial desta Corte de que "a proteção ao meio ambiente não difere área urbana de rural, porquanto ambas merecem a atenção em favor da garantia da qualidade de vida proporcionada pelo texto constitucional, pelo Código Florestal e pelas demais normas legais sobre o tema" (</w:t>
      </w:r>
      <w:proofErr w:type="spellStart"/>
      <w:r w:rsidRPr="00A54810">
        <w:rPr>
          <w:rFonts w:ascii="Arial" w:hAnsi="Arial" w:cs="Arial"/>
          <w:sz w:val="20"/>
        </w:rPr>
        <w:t>REsp</w:t>
      </w:r>
      <w:proofErr w:type="spellEnd"/>
      <w:r w:rsidRPr="00A54810">
        <w:rPr>
          <w:rFonts w:ascii="Arial" w:hAnsi="Arial" w:cs="Arial"/>
          <w:sz w:val="20"/>
        </w:rPr>
        <w:t xml:space="preserve"> 1.667.087/RS, de minha relatoria, Segunda Turma, julgado em 7/8/2018, </w:t>
      </w:r>
      <w:proofErr w:type="spellStart"/>
      <w:r w:rsidRPr="00A54810">
        <w:rPr>
          <w:rFonts w:ascii="Arial" w:hAnsi="Arial" w:cs="Arial"/>
          <w:sz w:val="20"/>
        </w:rPr>
        <w:t>DJe</w:t>
      </w:r>
      <w:proofErr w:type="spellEnd"/>
      <w:r w:rsidRPr="00A54810">
        <w:rPr>
          <w:rFonts w:ascii="Arial" w:hAnsi="Arial" w:cs="Arial"/>
          <w:sz w:val="20"/>
        </w:rPr>
        <w:t xml:space="preserve"> 13/8/2018).</w:t>
      </w:r>
    </w:p>
    <w:p w14:paraId="6F9DE1CA" w14:textId="77777777" w:rsidR="00A54810" w:rsidRPr="00A54810" w:rsidRDefault="00A54810" w:rsidP="00A54810">
      <w:pPr>
        <w:spacing w:after="0"/>
        <w:jc w:val="both"/>
        <w:rPr>
          <w:rFonts w:ascii="Arial" w:hAnsi="Arial" w:cs="Arial"/>
          <w:sz w:val="20"/>
        </w:rPr>
      </w:pPr>
      <w:r w:rsidRPr="00A54810">
        <w:rPr>
          <w:rFonts w:ascii="Arial" w:hAnsi="Arial" w:cs="Arial"/>
          <w:sz w:val="20"/>
        </w:rPr>
        <w:t xml:space="preserve">4. Na espécie, não há um fato ocorrido antes da vigência do novo Código Florestal, a pretensão de realizar supressão da vegetação e, consequentemente, a referida supressão vieram a se materializar na égide do novo Código Florestal. Independentemente </w:t>
      </w:r>
      <w:proofErr w:type="gramStart"/>
      <w:r w:rsidRPr="00A54810">
        <w:rPr>
          <w:rFonts w:ascii="Arial" w:hAnsi="Arial" w:cs="Arial"/>
          <w:sz w:val="20"/>
        </w:rPr>
        <w:t>da</w:t>
      </w:r>
      <w:proofErr w:type="gramEnd"/>
      <w:r w:rsidRPr="00A54810">
        <w:rPr>
          <w:rFonts w:ascii="Arial" w:hAnsi="Arial" w:cs="Arial"/>
          <w:sz w:val="20"/>
        </w:rPr>
        <w:t xml:space="preserve"> área ter sido objeto de loteamento em 1979 e incluída no perímetro urbano em 1978, a mera declaração de propriedade não perfaz direito adquirido a menor patamar protetivo. Com efeito, o fato da aquisição e registro da propriedade ser anterior à vigência da norma ambiental não permite o exercício das faculdades da propriedade (usar, gozar, dispor, reaver) em descompasso com a legislação vigente.</w:t>
      </w:r>
    </w:p>
    <w:p w14:paraId="16EBF134" w14:textId="77777777" w:rsidR="00A54810" w:rsidRPr="00A54810" w:rsidRDefault="00A54810" w:rsidP="00A54810">
      <w:pPr>
        <w:spacing w:after="0"/>
        <w:jc w:val="both"/>
        <w:rPr>
          <w:rFonts w:ascii="Arial" w:hAnsi="Arial" w:cs="Arial"/>
          <w:sz w:val="20"/>
        </w:rPr>
      </w:pPr>
      <w:r w:rsidRPr="00A54810">
        <w:rPr>
          <w:rFonts w:ascii="Arial" w:hAnsi="Arial" w:cs="Arial"/>
          <w:sz w:val="20"/>
        </w:rPr>
        <w:lastRenderedPageBreak/>
        <w:t>5. Não há que falar em um direito adquirido a menor patamar protetivo, mas sim no dever do proprietário ou possuidor de área degrada de tomar as medidas negativas ou positivas necessárias ao restabelecimento do equilíbrio ecológico local.</w:t>
      </w:r>
    </w:p>
    <w:p w14:paraId="7491243D" w14:textId="77777777" w:rsidR="00A54810" w:rsidRPr="00A54810" w:rsidRDefault="00A54810" w:rsidP="00A54810">
      <w:pPr>
        <w:spacing w:after="0"/>
        <w:jc w:val="both"/>
        <w:rPr>
          <w:rFonts w:ascii="Arial" w:hAnsi="Arial" w:cs="Arial"/>
          <w:sz w:val="20"/>
        </w:rPr>
      </w:pPr>
      <w:r w:rsidRPr="00A54810">
        <w:rPr>
          <w:rFonts w:ascii="Arial" w:hAnsi="Arial" w:cs="Arial"/>
          <w:sz w:val="20"/>
        </w:rPr>
        <w:t>6. Recurso especial provido.</w:t>
      </w:r>
    </w:p>
    <w:p w14:paraId="7F283BE1" w14:textId="40D59E45" w:rsidR="00A54810" w:rsidRPr="00A54810" w:rsidRDefault="00A54810" w:rsidP="00A54810">
      <w:pPr>
        <w:spacing w:after="0"/>
        <w:jc w:val="both"/>
        <w:rPr>
          <w:rFonts w:ascii="Arial" w:hAnsi="Arial" w:cs="Arial"/>
          <w:sz w:val="20"/>
        </w:rPr>
      </w:pPr>
      <w:r w:rsidRPr="00A54810">
        <w:rPr>
          <w:rFonts w:ascii="Arial" w:hAnsi="Arial" w:cs="Arial"/>
          <w:sz w:val="20"/>
        </w:rPr>
        <w:t xml:space="preserve">(STJ, </w:t>
      </w:r>
      <w:hyperlink r:id="rId12" w:history="1">
        <w:proofErr w:type="spellStart"/>
        <w:r w:rsidRPr="00393AE3">
          <w:rPr>
            <w:rStyle w:val="Hyperlink"/>
            <w:rFonts w:ascii="Arial" w:hAnsi="Arial" w:cs="Arial"/>
            <w:sz w:val="20"/>
          </w:rPr>
          <w:t>REsp</w:t>
        </w:r>
        <w:proofErr w:type="spellEnd"/>
        <w:r w:rsidRPr="00393AE3">
          <w:rPr>
            <w:rStyle w:val="Hyperlink"/>
            <w:rFonts w:ascii="Arial" w:hAnsi="Arial" w:cs="Arial"/>
            <w:sz w:val="20"/>
          </w:rPr>
          <w:t xml:space="preserve"> 1775867/SP</w:t>
        </w:r>
      </w:hyperlink>
      <w:r w:rsidRPr="00A54810">
        <w:rPr>
          <w:rFonts w:ascii="Arial" w:hAnsi="Arial" w:cs="Arial"/>
          <w:sz w:val="20"/>
        </w:rPr>
        <w:t xml:space="preserve">, Rel. Ministro OG FERNANDES, SEGUNDA TURMA, julgado em 16/05/2019, </w:t>
      </w:r>
      <w:proofErr w:type="spellStart"/>
      <w:r w:rsidRPr="00A54810">
        <w:rPr>
          <w:rFonts w:ascii="Arial" w:hAnsi="Arial" w:cs="Arial"/>
          <w:sz w:val="20"/>
        </w:rPr>
        <w:t>DJe</w:t>
      </w:r>
      <w:proofErr w:type="spellEnd"/>
      <w:r w:rsidRPr="00A54810">
        <w:rPr>
          <w:rFonts w:ascii="Arial" w:hAnsi="Arial" w:cs="Arial"/>
          <w:sz w:val="20"/>
        </w:rPr>
        <w:t xml:space="preserve"> 23/05/2019)</w:t>
      </w:r>
    </w:p>
    <w:p w14:paraId="625490BD" w14:textId="77777777" w:rsidR="00A54810" w:rsidRPr="004D6EB3" w:rsidRDefault="00A54810" w:rsidP="00047709">
      <w:pPr>
        <w:autoSpaceDE w:val="0"/>
        <w:autoSpaceDN w:val="0"/>
        <w:adjustRightInd w:val="0"/>
        <w:spacing w:after="0"/>
        <w:jc w:val="both"/>
        <w:rPr>
          <w:rFonts w:ascii="Arial" w:hAnsi="Arial" w:cs="Arial"/>
          <w:color w:val="000000"/>
          <w:sz w:val="20"/>
          <w:szCs w:val="20"/>
          <w:shd w:val="clear" w:color="auto" w:fill="FFFFFF"/>
        </w:rPr>
      </w:pPr>
    </w:p>
    <w:p w14:paraId="70249EE7" w14:textId="77777777" w:rsidR="00E8762F" w:rsidRPr="0022060B" w:rsidRDefault="00E8762F" w:rsidP="00047709">
      <w:pPr>
        <w:pStyle w:val="Pr-formataoHTML"/>
        <w:shd w:val="clear" w:color="auto" w:fill="FFFFFF"/>
        <w:spacing w:line="276" w:lineRule="auto"/>
        <w:jc w:val="both"/>
        <w:rPr>
          <w:rFonts w:ascii="Arial" w:hAnsi="Arial" w:cs="Arial"/>
        </w:rPr>
      </w:pPr>
      <w:r w:rsidRPr="0022060B">
        <w:rPr>
          <w:rFonts w:ascii="Arial" w:hAnsi="Arial" w:cs="Arial"/>
        </w:rPr>
        <w:t xml:space="preserve">Observações: </w:t>
      </w:r>
    </w:p>
    <w:p w14:paraId="47F0E9E5" w14:textId="77777777"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59A0207A" wp14:editId="6F0ACE2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14:paraId="2BFAC65B" w14:textId="20C997E1" w:rsidR="00D9046A"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14:paraId="2F8ECEFD" w14:textId="77777777" w:rsidR="00B179FD" w:rsidRDefault="00B179FD" w:rsidP="00816942">
      <w:pPr>
        <w:spacing w:after="0"/>
        <w:rPr>
          <w:rFonts w:ascii="Arial" w:hAnsi="Arial" w:cs="Arial"/>
          <w:color w:val="000000"/>
          <w:sz w:val="20"/>
          <w:szCs w:val="20"/>
        </w:rPr>
      </w:pPr>
    </w:p>
    <w:p w14:paraId="14A79721" w14:textId="77777777" w:rsidR="00543DF0" w:rsidRDefault="00543DF0" w:rsidP="00543DF0">
      <w:pPr>
        <w:pStyle w:val="Default"/>
        <w:spacing w:after="200" w:line="276" w:lineRule="auto"/>
        <w:jc w:val="both"/>
        <w:rPr>
          <w:b/>
          <w:sz w:val="20"/>
          <w:szCs w:val="20"/>
        </w:rPr>
      </w:pPr>
      <w:r>
        <w:rPr>
          <w:b/>
          <w:sz w:val="20"/>
          <w:szCs w:val="20"/>
        </w:rPr>
        <w:t xml:space="preserve">Acesse também: </w:t>
      </w:r>
    </w:p>
    <w:p w14:paraId="7C5D90F2" w14:textId="77777777" w:rsidR="0002789E" w:rsidRDefault="004C0B99" w:rsidP="0002789E">
      <w:pPr>
        <w:pStyle w:val="Default"/>
        <w:spacing w:line="276" w:lineRule="auto"/>
        <w:jc w:val="center"/>
        <w:rPr>
          <w:rStyle w:val="Hyperlink"/>
        </w:rPr>
      </w:pPr>
      <w:hyperlink r:id="rId13" w:history="1">
        <w:r w:rsidR="0002789E">
          <w:rPr>
            <w:rStyle w:val="Hyperlink"/>
            <w:b/>
            <w:sz w:val="20"/>
            <w:szCs w:val="20"/>
          </w:rPr>
          <w:t>Pesquisas Prontas</w:t>
        </w:r>
      </w:hyperlink>
    </w:p>
    <w:p w14:paraId="2C8E8A74" w14:textId="77777777" w:rsidR="0002789E" w:rsidRDefault="0002789E" w:rsidP="0002789E">
      <w:pPr>
        <w:pStyle w:val="Default"/>
        <w:spacing w:line="276" w:lineRule="auto"/>
        <w:jc w:val="center"/>
        <w:rPr>
          <w:rStyle w:val="Hyperlink"/>
          <w:b/>
          <w:sz w:val="20"/>
          <w:szCs w:val="20"/>
        </w:rPr>
      </w:pPr>
    </w:p>
    <w:p w14:paraId="73624566" w14:textId="77777777" w:rsidR="0002789E" w:rsidRDefault="004C0B99" w:rsidP="0002789E">
      <w:pPr>
        <w:pStyle w:val="Default"/>
        <w:spacing w:line="276" w:lineRule="auto"/>
        <w:jc w:val="center"/>
        <w:rPr>
          <w:rStyle w:val="Hyperlink"/>
          <w:b/>
          <w:sz w:val="20"/>
          <w:szCs w:val="20"/>
        </w:rPr>
      </w:pPr>
      <w:hyperlink r:id="rId14" w:history="1">
        <w:r w:rsidR="0002789E">
          <w:rPr>
            <w:rStyle w:val="Hyperlink"/>
            <w:b/>
            <w:sz w:val="20"/>
            <w:szCs w:val="20"/>
          </w:rPr>
          <w:t>Boletim Informativo de Jurisprudência</w:t>
        </w:r>
      </w:hyperlink>
    </w:p>
    <w:p w14:paraId="1C0D6247" w14:textId="77777777" w:rsidR="0002789E" w:rsidRDefault="0002789E" w:rsidP="0002789E">
      <w:pPr>
        <w:pStyle w:val="Default"/>
        <w:spacing w:line="276" w:lineRule="auto"/>
        <w:jc w:val="center"/>
        <w:rPr>
          <w:rStyle w:val="Hyperlink"/>
          <w:b/>
          <w:sz w:val="20"/>
          <w:szCs w:val="20"/>
        </w:rPr>
      </w:pPr>
    </w:p>
    <w:p w14:paraId="487FF9F6" w14:textId="77777777" w:rsidR="0002789E" w:rsidRDefault="004C0B99" w:rsidP="0002789E">
      <w:pPr>
        <w:pStyle w:val="Default"/>
        <w:spacing w:line="276" w:lineRule="auto"/>
        <w:jc w:val="center"/>
      </w:pPr>
      <w:hyperlink r:id="rId15" w:history="1">
        <w:proofErr w:type="spellStart"/>
        <w:r w:rsidR="0002789E">
          <w:rPr>
            <w:rStyle w:val="Hyperlink"/>
            <w:b/>
            <w:sz w:val="20"/>
            <w:szCs w:val="20"/>
          </w:rPr>
          <w:t>Interjuris</w:t>
        </w:r>
        <w:proofErr w:type="spellEnd"/>
      </w:hyperlink>
    </w:p>
    <w:p w14:paraId="70A526BC" w14:textId="77777777" w:rsidR="0002789E" w:rsidRDefault="0002789E" w:rsidP="0002789E">
      <w:pPr>
        <w:pStyle w:val="Default"/>
        <w:spacing w:line="276" w:lineRule="auto"/>
        <w:jc w:val="center"/>
      </w:pPr>
    </w:p>
    <w:p w14:paraId="0ACBE85F" w14:textId="77777777" w:rsidR="0002789E" w:rsidRDefault="004C0B99" w:rsidP="0002789E">
      <w:pPr>
        <w:pStyle w:val="Default"/>
        <w:spacing w:line="276" w:lineRule="auto"/>
        <w:jc w:val="center"/>
        <w:rPr>
          <w:rStyle w:val="Hyperlink"/>
          <w:b/>
          <w:sz w:val="20"/>
          <w:szCs w:val="20"/>
        </w:rPr>
      </w:pPr>
      <w:hyperlink r:id="rId16" w:history="1">
        <w:r w:rsidR="0002789E">
          <w:rPr>
            <w:rStyle w:val="Hyperlink"/>
            <w:b/>
            <w:sz w:val="20"/>
            <w:szCs w:val="20"/>
          </w:rPr>
          <w:t>Repercussão Geral do Supremo Tribunal Federal - STF e os Tribunais de Contas</w:t>
        </w:r>
      </w:hyperlink>
    </w:p>
    <w:p w14:paraId="4B9E318B" w14:textId="77777777" w:rsidR="0002789E" w:rsidRDefault="0002789E" w:rsidP="0002789E">
      <w:pPr>
        <w:pStyle w:val="Default"/>
        <w:spacing w:line="276" w:lineRule="auto"/>
        <w:jc w:val="center"/>
        <w:rPr>
          <w:rStyle w:val="Hyperlink"/>
          <w:b/>
          <w:sz w:val="20"/>
          <w:szCs w:val="20"/>
        </w:rPr>
      </w:pPr>
    </w:p>
    <w:p w14:paraId="0EDF81B5" w14:textId="77777777" w:rsidR="0002789E" w:rsidRDefault="004C0B99" w:rsidP="0002789E">
      <w:pPr>
        <w:pStyle w:val="Default"/>
        <w:spacing w:line="276" w:lineRule="auto"/>
        <w:jc w:val="center"/>
        <w:rPr>
          <w:rStyle w:val="Hyperlink"/>
          <w:b/>
          <w:sz w:val="20"/>
          <w:szCs w:val="20"/>
        </w:rPr>
      </w:pPr>
      <w:hyperlink r:id="rId17" w:history="1">
        <w:r w:rsidR="0002789E">
          <w:rPr>
            <w:rStyle w:val="Hyperlink"/>
            <w:b/>
            <w:sz w:val="20"/>
            <w:szCs w:val="20"/>
          </w:rPr>
          <w:t>Súmulas Selecionadas</w:t>
        </w:r>
      </w:hyperlink>
    </w:p>
    <w:p w14:paraId="2F7FB8EC" w14:textId="77777777"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0C935BE1" wp14:editId="0C3872BA">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1E60A1A" w14:textId="77777777" w:rsidR="00984E8B" w:rsidRDefault="00984E8B" w:rsidP="00DB558E">
      <w:pPr>
        <w:spacing w:after="0"/>
        <w:jc w:val="center"/>
        <w:rPr>
          <w:rStyle w:val="Hyperlink"/>
          <w:rFonts w:ascii="Arial" w:hAnsi="Arial" w:cs="Arial"/>
          <w:i/>
          <w:color w:val="000000" w:themeColor="text1"/>
          <w:sz w:val="20"/>
          <w:szCs w:val="20"/>
          <w:u w:val="none"/>
        </w:rPr>
      </w:pPr>
    </w:p>
    <w:p w14:paraId="011E7585" w14:textId="77777777"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14:paraId="088F1C47" w14:textId="77777777" w:rsidR="00DB558E" w:rsidRDefault="00DB558E" w:rsidP="00DB558E">
      <w:pPr>
        <w:widowControl w:val="0"/>
        <w:autoSpaceDE w:val="0"/>
        <w:autoSpaceDN w:val="0"/>
        <w:spacing w:after="0"/>
        <w:jc w:val="both"/>
        <w:rPr>
          <w:rFonts w:ascii="Arial" w:hAnsi="Arial" w:cs="Arial"/>
          <w:b/>
          <w:sz w:val="20"/>
          <w:szCs w:val="20"/>
        </w:rPr>
      </w:pPr>
    </w:p>
    <w:p w14:paraId="753C82AB" w14:textId="77777777"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61D43" w14:textId="77777777" w:rsidR="009907A9" w:rsidRDefault="009907A9" w:rsidP="00350CC2">
      <w:pPr>
        <w:spacing w:after="0" w:line="240" w:lineRule="auto"/>
      </w:pPr>
      <w:r>
        <w:separator/>
      </w:r>
    </w:p>
  </w:endnote>
  <w:endnote w:type="continuationSeparator" w:id="0">
    <w:p w14:paraId="080476D1"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AF15" w14:textId="77777777" w:rsidR="002245DE" w:rsidRDefault="002245DE" w:rsidP="002245DE">
    <w:pPr>
      <w:pStyle w:val="Rodap"/>
      <w:jc w:val="center"/>
      <w:rPr>
        <w:sz w:val="16"/>
        <w:szCs w:val="16"/>
      </w:rPr>
    </w:pPr>
    <w:r>
      <w:rPr>
        <w:noProof/>
        <w:lang w:eastAsia="pt-BR"/>
      </w:rPr>
      <w:drawing>
        <wp:inline distT="0" distB="0" distL="0" distR="0" wp14:anchorId="323DBF1D" wp14:editId="05D98FFC">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C1DAB92"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F076FF">
      <w:rPr>
        <w:noProof/>
        <w:sz w:val="16"/>
        <w:szCs w:val="16"/>
      </w:rPr>
      <w:t>3</w:t>
    </w:r>
    <w:r w:rsidRPr="00722924">
      <w:rPr>
        <w:sz w:val="16"/>
        <w:szCs w:val="16"/>
      </w:rPr>
      <w:fldChar w:fldCharType="end"/>
    </w:r>
  </w:p>
  <w:p w14:paraId="294BCBF1" w14:textId="77777777" w:rsidR="00375DB6" w:rsidRDefault="00375DB6"/>
  <w:p w14:paraId="5BDBB677" w14:textId="77777777" w:rsidR="00375DB6" w:rsidRDefault="00375DB6"/>
  <w:p w14:paraId="16F3CBE0"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20788" w14:textId="77777777" w:rsidR="009907A9" w:rsidRDefault="009907A9" w:rsidP="00350CC2">
      <w:pPr>
        <w:spacing w:after="0" w:line="240" w:lineRule="auto"/>
      </w:pPr>
      <w:r>
        <w:separator/>
      </w:r>
    </w:p>
  </w:footnote>
  <w:footnote w:type="continuationSeparator" w:id="0">
    <w:p w14:paraId="07302723"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D407" w14:textId="77777777" w:rsidR="006A5FD7" w:rsidRDefault="006A5FD7" w:rsidP="00F14CCC">
    <w:pPr>
      <w:pStyle w:val="Cabealho"/>
      <w:spacing w:after="100" w:afterAutospacing="1"/>
      <w:jc w:val="center"/>
      <w:rPr>
        <w:b/>
      </w:rPr>
    </w:pPr>
  </w:p>
  <w:p w14:paraId="1117CB5D" w14:textId="77777777" w:rsidR="006A5FD7" w:rsidRDefault="006A5FD7" w:rsidP="00F14CCC">
    <w:pPr>
      <w:pStyle w:val="Cabealho"/>
      <w:spacing w:after="100" w:afterAutospacing="1"/>
      <w:jc w:val="center"/>
      <w:rPr>
        <w:b/>
      </w:rPr>
    </w:pPr>
    <w:r>
      <w:rPr>
        <w:noProof/>
        <w:lang w:eastAsia="pt-BR"/>
      </w:rPr>
      <w:drawing>
        <wp:inline distT="0" distB="0" distL="0" distR="0" wp14:anchorId="6A3749B5" wp14:editId="6613827D">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rPr>
      <w:drawing>
        <wp:inline distT="0" distB="0" distL="0" distR="0" wp14:anchorId="1581D82B" wp14:editId="314EAC8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21"/>
  </w:num>
  <w:num w:numId="4">
    <w:abstractNumId w:val="22"/>
  </w:num>
  <w:num w:numId="5">
    <w:abstractNumId w:val="23"/>
  </w:num>
  <w:num w:numId="6">
    <w:abstractNumId w:val="17"/>
  </w:num>
  <w:num w:numId="7">
    <w:abstractNumId w:val="0"/>
  </w:num>
  <w:num w:numId="8">
    <w:abstractNumId w:val="3"/>
  </w:num>
  <w:num w:numId="9">
    <w:abstractNumId w:val="11"/>
  </w:num>
  <w:num w:numId="10">
    <w:abstractNumId w:val="5"/>
  </w:num>
  <w:num w:numId="11">
    <w:abstractNumId w:val="6"/>
  </w:num>
  <w:num w:numId="12">
    <w:abstractNumId w:val="15"/>
  </w:num>
  <w:num w:numId="13">
    <w:abstractNumId w:val="4"/>
  </w:num>
  <w:num w:numId="14">
    <w:abstractNumId w:val="8"/>
  </w:num>
  <w:num w:numId="15">
    <w:abstractNumId w:val="16"/>
  </w:num>
  <w:num w:numId="16">
    <w:abstractNumId w:val="19"/>
  </w:num>
  <w:num w:numId="17">
    <w:abstractNumId w:val="9"/>
  </w:num>
  <w:num w:numId="18">
    <w:abstractNumId w:val="1"/>
  </w:num>
  <w:num w:numId="19">
    <w:abstractNumId w:val="14"/>
  </w:num>
  <w:num w:numId="20">
    <w:abstractNumId w:val="18"/>
  </w:num>
  <w:num w:numId="21">
    <w:abstractNumId w:val="10"/>
  </w:num>
  <w:num w:numId="22">
    <w:abstractNumId w:val="2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560C"/>
    <w:rsid w:val="000D6D01"/>
    <w:rsid w:val="000E1F93"/>
    <w:rsid w:val="000E300B"/>
    <w:rsid w:val="000E3ACE"/>
    <w:rsid w:val="000E3FC6"/>
    <w:rsid w:val="000E464B"/>
    <w:rsid w:val="000E485E"/>
    <w:rsid w:val="000E5AC8"/>
    <w:rsid w:val="000F04ED"/>
    <w:rsid w:val="000F18DA"/>
    <w:rsid w:val="000F1FFA"/>
    <w:rsid w:val="000F314C"/>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5E99"/>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13A0"/>
    <w:rsid w:val="00232878"/>
    <w:rsid w:val="0023318C"/>
    <w:rsid w:val="00234AE0"/>
    <w:rsid w:val="00235F82"/>
    <w:rsid w:val="00236689"/>
    <w:rsid w:val="00237C21"/>
    <w:rsid w:val="0024200E"/>
    <w:rsid w:val="002426C3"/>
    <w:rsid w:val="00243F9F"/>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2C4C"/>
    <w:rsid w:val="00286EB4"/>
    <w:rsid w:val="002874A2"/>
    <w:rsid w:val="002921E2"/>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5DB"/>
    <w:rsid w:val="003269A9"/>
    <w:rsid w:val="00327DF9"/>
    <w:rsid w:val="0033073E"/>
    <w:rsid w:val="00331533"/>
    <w:rsid w:val="0033240F"/>
    <w:rsid w:val="0033270E"/>
    <w:rsid w:val="00333875"/>
    <w:rsid w:val="0033604C"/>
    <w:rsid w:val="003407F0"/>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6987"/>
    <w:rsid w:val="00356FB0"/>
    <w:rsid w:val="00360429"/>
    <w:rsid w:val="00361DA5"/>
    <w:rsid w:val="00361F1D"/>
    <w:rsid w:val="00362451"/>
    <w:rsid w:val="00364392"/>
    <w:rsid w:val="00365E61"/>
    <w:rsid w:val="00365EFF"/>
    <w:rsid w:val="00365F51"/>
    <w:rsid w:val="00373E05"/>
    <w:rsid w:val="00375692"/>
    <w:rsid w:val="00375DB6"/>
    <w:rsid w:val="0038012F"/>
    <w:rsid w:val="00380BAB"/>
    <w:rsid w:val="00381783"/>
    <w:rsid w:val="00381A0E"/>
    <w:rsid w:val="003854BD"/>
    <w:rsid w:val="0038751C"/>
    <w:rsid w:val="0038778B"/>
    <w:rsid w:val="00393AE3"/>
    <w:rsid w:val="00394451"/>
    <w:rsid w:val="0039584A"/>
    <w:rsid w:val="0039625A"/>
    <w:rsid w:val="00396E93"/>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04E"/>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37A"/>
    <w:rsid w:val="00416A72"/>
    <w:rsid w:val="00420AE1"/>
    <w:rsid w:val="00424D0F"/>
    <w:rsid w:val="0042728A"/>
    <w:rsid w:val="004276DC"/>
    <w:rsid w:val="0042779B"/>
    <w:rsid w:val="00427BD4"/>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C0B99"/>
    <w:rsid w:val="004C11DE"/>
    <w:rsid w:val="004C13DB"/>
    <w:rsid w:val="004C2577"/>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3D"/>
    <w:rsid w:val="005A1468"/>
    <w:rsid w:val="005A4536"/>
    <w:rsid w:val="005A5AF2"/>
    <w:rsid w:val="005A742F"/>
    <w:rsid w:val="005A7C78"/>
    <w:rsid w:val="005B4F6C"/>
    <w:rsid w:val="005B5AA9"/>
    <w:rsid w:val="005B7055"/>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4D43"/>
    <w:rsid w:val="00606B1E"/>
    <w:rsid w:val="006105E3"/>
    <w:rsid w:val="006115E2"/>
    <w:rsid w:val="00613D08"/>
    <w:rsid w:val="0061491F"/>
    <w:rsid w:val="00615FC7"/>
    <w:rsid w:val="00620DEF"/>
    <w:rsid w:val="0062204C"/>
    <w:rsid w:val="00622EE0"/>
    <w:rsid w:val="00623188"/>
    <w:rsid w:val="00626DD6"/>
    <w:rsid w:val="0062719D"/>
    <w:rsid w:val="00627FDF"/>
    <w:rsid w:val="00630296"/>
    <w:rsid w:val="006331E3"/>
    <w:rsid w:val="00633776"/>
    <w:rsid w:val="00633C62"/>
    <w:rsid w:val="006359FD"/>
    <w:rsid w:val="006361F0"/>
    <w:rsid w:val="006372A4"/>
    <w:rsid w:val="006375ED"/>
    <w:rsid w:val="0064029E"/>
    <w:rsid w:val="00640861"/>
    <w:rsid w:val="00640A36"/>
    <w:rsid w:val="00640BDC"/>
    <w:rsid w:val="0064171C"/>
    <w:rsid w:val="00646004"/>
    <w:rsid w:val="00646AD1"/>
    <w:rsid w:val="006473BA"/>
    <w:rsid w:val="00650E4E"/>
    <w:rsid w:val="00652C29"/>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2162"/>
    <w:rsid w:val="007D2855"/>
    <w:rsid w:val="007D5A53"/>
    <w:rsid w:val="007D62D9"/>
    <w:rsid w:val="007D6A5B"/>
    <w:rsid w:val="007D73C9"/>
    <w:rsid w:val="007D79DF"/>
    <w:rsid w:val="007E1FB4"/>
    <w:rsid w:val="007E28C1"/>
    <w:rsid w:val="007E786E"/>
    <w:rsid w:val="007F0840"/>
    <w:rsid w:val="007F2086"/>
    <w:rsid w:val="007F67A7"/>
    <w:rsid w:val="007F6F0A"/>
    <w:rsid w:val="00800773"/>
    <w:rsid w:val="00801004"/>
    <w:rsid w:val="0080111C"/>
    <w:rsid w:val="00801EFD"/>
    <w:rsid w:val="008058BC"/>
    <w:rsid w:val="00806D7C"/>
    <w:rsid w:val="0080743C"/>
    <w:rsid w:val="00807854"/>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05F"/>
    <w:rsid w:val="008561BF"/>
    <w:rsid w:val="00861DB4"/>
    <w:rsid w:val="00861E25"/>
    <w:rsid w:val="008633B6"/>
    <w:rsid w:val="0086402F"/>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F2F"/>
    <w:rsid w:val="008B55B4"/>
    <w:rsid w:val="008B6A00"/>
    <w:rsid w:val="008B750A"/>
    <w:rsid w:val="008B7AA1"/>
    <w:rsid w:val="008C0269"/>
    <w:rsid w:val="008C076F"/>
    <w:rsid w:val="008C257C"/>
    <w:rsid w:val="008D0FDE"/>
    <w:rsid w:val="008D1051"/>
    <w:rsid w:val="008D22BE"/>
    <w:rsid w:val="008D7542"/>
    <w:rsid w:val="008D7F7C"/>
    <w:rsid w:val="008E0835"/>
    <w:rsid w:val="008E16ED"/>
    <w:rsid w:val="008E280E"/>
    <w:rsid w:val="008E2BA7"/>
    <w:rsid w:val="008E36D8"/>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78F0"/>
    <w:rsid w:val="00942696"/>
    <w:rsid w:val="00942EB6"/>
    <w:rsid w:val="0094307C"/>
    <w:rsid w:val="00944802"/>
    <w:rsid w:val="0094577A"/>
    <w:rsid w:val="009470DD"/>
    <w:rsid w:val="009518D9"/>
    <w:rsid w:val="0095236F"/>
    <w:rsid w:val="00952404"/>
    <w:rsid w:val="00953350"/>
    <w:rsid w:val="00955BDA"/>
    <w:rsid w:val="0096328F"/>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5BE"/>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1641"/>
    <w:rsid w:val="00A2357E"/>
    <w:rsid w:val="00A24629"/>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76D7"/>
    <w:rsid w:val="00A47D62"/>
    <w:rsid w:val="00A53CDD"/>
    <w:rsid w:val="00A53EE6"/>
    <w:rsid w:val="00A54810"/>
    <w:rsid w:val="00A5538A"/>
    <w:rsid w:val="00A564AE"/>
    <w:rsid w:val="00A5710E"/>
    <w:rsid w:val="00A57A4A"/>
    <w:rsid w:val="00A57C0E"/>
    <w:rsid w:val="00A60380"/>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79DB"/>
    <w:rsid w:val="00AC06B6"/>
    <w:rsid w:val="00AC1A7F"/>
    <w:rsid w:val="00AC7830"/>
    <w:rsid w:val="00AD0466"/>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E798E"/>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47C4C"/>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57B"/>
    <w:rsid w:val="00C43D8B"/>
    <w:rsid w:val="00C44042"/>
    <w:rsid w:val="00C46AF0"/>
    <w:rsid w:val="00C525F2"/>
    <w:rsid w:val="00C52956"/>
    <w:rsid w:val="00C53AE1"/>
    <w:rsid w:val="00C53CAD"/>
    <w:rsid w:val="00C54893"/>
    <w:rsid w:val="00C560A1"/>
    <w:rsid w:val="00C56E9E"/>
    <w:rsid w:val="00C56EB6"/>
    <w:rsid w:val="00C571E2"/>
    <w:rsid w:val="00C63FC8"/>
    <w:rsid w:val="00C645F4"/>
    <w:rsid w:val="00C64F57"/>
    <w:rsid w:val="00C65D21"/>
    <w:rsid w:val="00C66E11"/>
    <w:rsid w:val="00C6789D"/>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9733F"/>
    <w:rsid w:val="00CA184E"/>
    <w:rsid w:val="00CA23C4"/>
    <w:rsid w:val="00CA575F"/>
    <w:rsid w:val="00CA5AEC"/>
    <w:rsid w:val="00CA6114"/>
    <w:rsid w:val="00CA704A"/>
    <w:rsid w:val="00CA7D59"/>
    <w:rsid w:val="00CB0797"/>
    <w:rsid w:val="00CB21FF"/>
    <w:rsid w:val="00CB5CAE"/>
    <w:rsid w:val="00CB644C"/>
    <w:rsid w:val="00CB78ED"/>
    <w:rsid w:val="00CC0004"/>
    <w:rsid w:val="00CC4E55"/>
    <w:rsid w:val="00CC4E94"/>
    <w:rsid w:val="00CC550E"/>
    <w:rsid w:val="00CC5AC6"/>
    <w:rsid w:val="00CD0DCE"/>
    <w:rsid w:val="00CD1628"/>
    <w:rsid w:val="00CD1D27"/>
    <w:rsid w:val="00CD27B7"/>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0524"/>
    <w:rsid w:val="00D211AE"/>
    <w:rsid w:val="00D21662"/>
    <w:rsid w:val="00D22EE1"/>
    <w:rsid w:val="00D23DE4"/>
    <w:rsid w:val="00D23F50"/>
    <w:rsid w:val="00D24867"/>
    <w:rsid w:val="00D318E3"/>
    <w:rsid w:val="00D323A7"/>
    <w:rsid w:val="00D346BF"/>
    <w:rsid w:val="00D34A4B"/>
    <w:rsid w:val="00D416EB"/>
    <w:rsid w:val="00D41B20"/>
    <w:rsid w:val="00D44615"/>
    <w:rsid w:val="00D45321"/>
    <w:rsid w:val="00D46F57"/>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643D"/>
    <w:rsid w:val="00D76DE0"/>
    <w:rsid w:val="00D80DF0"/>
    <w:rsid w:val="00D83ED5"/>
    <w:rsid w:val="00D86043"/>
    <w:rsid w:val="00D870D4"/>
    <w:rsid w:val="00D9046A"/>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5C19"/>
    <w:rsid w:val="00DC7068"/>
    <w:rsid w:val="00DD0411"/>
    <w:rsid w:val="00DD265A"/>
    <w:rsid w:val="00DD6B9B"/>
    <w:rsid w:val="00DD6CE2"/>
    <w:rsid w:val="00DE07A1"/>
    <w:rsid w:val="00DE21A2"/>
    <w:rsid w:val="00DE2776"/>
    <w:rsid w:val="00DE3B11"/>
    <w:rsid w:val="00DE6E4E"/>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40C6A"/>
    <w:rsid w:val="00E410B7"/>
    <w:rsid w:val="00E43977"/>
    <w:rsid w:val="00E4415D"/>
    <w:rsid w:val="00E44AB1"/>
    <w:rsid w:val="00E44AB8"/>
    <w:rsid w:val="00E47BD8"/>
    <w:rsid w:val="00E50D3F"/>
    <w:rsid w:val="00E520BE"/>
    <w:rsid w:val="00E5484A"/>
    <w:rsid w:val="00E54E17"/>
    <w:rsid w:val="00E56542"/>
    <w:rsid w:val="00E56A7A"/>
    <w:rsid w:val="00E60419"/>
    <w:rsid w:val="00E60E01"/>
    <w:rsid w:val="00E617D3"/>
    <w:rsid w:val="00E61E36"/>
    <w:rsid w:val="00E633C1"/>
    <w:rsid w:val="00E65C68"/>
    <w:rsid w:val="00E667B0"/>
    <w:rsid w:val="00E67390"/>
    <w:rsid w:val="00E71365"/>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34E2"/>
    <w:rsid w:val="00EA52D1"/>
    <w:rsid w:val="00EA703E"/>
    <w:rsid w:val="00EA791F"/>
    <w:rsid w:val="00EB671F"/>
    <w:rsid w:val="00EB6D0B"/>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6FF"/>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320D"/>
    <w:rsid w:val="00FA35D6"/>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C7478"/>
    <w:rsid w:val="00FD118C"/>
    <w:rsid w:val="00FD2A7C"/>
    <w:rsid w:val="00FD332F"/>
    <w:rsid w:val="00FD7395"/>
    <w:rsid w:val="00FE1CC1"/>
    <w:rsid w:val="00FE385E"/>
    <w:rsid w:val="00FE3CE2"/>
    <w:rsid w:val="00FE542E"/>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5FC4ED1F"/>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7D2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504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a-resultadotitulo">
    <w:name w:val="lista-resultado__titulo"/>
    <w:basedOn w:val="Fontepargpadro"/>
    <w:rsid w:val="00861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5/pdf/00336985.pdf"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2.stj.jus.br/websecstj/cgi/revista/REJ.cgi/ITA?seq=1827390&amp;tipo=0&amp;nreg=201700435362&amp;SeqCgrmaSessao=&amp;CodOrgaoJgdr=&amp;dt=20190523&amp;formato=HTML&amp;salvar=false"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dir.stf.jus.br/paginadorpub/paginador.jsp?docTP=TP&amp;docID=749835922"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etcdf.tc.df.gov.br/?a=consultaETCDF&amp;f=formPrincipal&amp;nrproc=12798&amp;anoproc=201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squisa.apps.tcu.gov.br/" TargetMode="External"/><Relationship Id="rId14" Type="http://schemas.openxmlformats.org/officeDocument/2006/relationships/hyperlink" Target="http://www1.tce.pr.gov.br/conteudo/boletim-informativo-de-jurisprudencia/280400/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7DFC7-A928-46CE-9371-05A035C0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2019</Words>
  <Characters>10905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cp:revision>
  <cp:lastPrinted>2019-04-01T19:45:00Z</cp:lastPrinted>
  <dcterms:created xsi:type="dcterms:W3CDTF">2019-06-24T20:34:00Z</dcterms:created>
  <dcterms:modified xsi:type="dcterms:W3CDTF">2019-06-24T20:34:00Z</dcterms:modified>
</cp:coreProperties>
</file>