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E5052" w14:textId="77777777" w:rsidR="00362451" w:rsidRPr="00D255CD" w:rsidRDefault="00362451" w:rsidP="00D255CD">
      <w:pPr>
        <w:pStyle w:val="Cabealho"/>
        <w:spacing w:line="276" w:lineRule="auto"/>
        <w:jc w:val="center"/>
        <w:rPr>
          <w:rFonts w:ascii="Arial" w:hAnsi="Arial" w:cs="Arial"/>
          <w:sz w:val="20"/>
          <w:szCs w:val="20"/>
        </w:rPr>
      </w:pPr>
      <w:r w:rsidRPr="00D255CD">
        <w:rPr>
          <w:rFonts w:ascii="Arial" w:hAnsi="Arial" w:cs="Arial"/>
          <w:b/>
          <w:sz w:val="20"/>
          <w:szCs w:val="20"/>
        </w:rPr>
        <w:t>TESES AMBIENTAIS</w:t>
      </w:r>
      <w:r w:rsidRPr="00D255CD">
        <w:rPr>
          <w:rFonts w:ascii="Arial" w:hAnsi="Arial" w:cs="Arial"/>
          <w:sz w:val="20"/>
          <w:szCs w:val="20"/>
        </w:rPr>
        <w:t xml:space="preserve"> </w:t>
      </w:r>
    </w:p>
    <w:p w14:paraId="72FC24A4" w14:textId="77777777" w:rsidR="00362451" w:rsidRPr="00D255CD" w:rsidRDefault="00362451" w:rsidP="00D255CD">
      <w:pPr>
        <w:spacing w:line="276" w:lineRule="auto"/>
        <w:jc w:val="center"/>
        <w:rPr>
          <w:rFonts w:ascii="Arial" w:hAnsi="Arial" w:cs="Arial"/>
          <w:b/>
          <w:sz w:val="20"/>
          <w:szCs w:val="20"/>
        </w:rPr>
      </w:pPr>
    </w:p>
    <w:p w14:paraId="4E169306" w14:textId="0A073B82" w:rsidR="00681EC7" w:rsidRPr="00D255CD" w:rsidRDefault="00F45FE6" w:rsidP="00D255CD">
      <w:pPr>
        <w:pStyle w:val="Cabealho"/>
        <w:spacing w:line="276" w:lineRule="auto"/>
        <w:jc w:val="center"/>
        <w:rPr>
          <w:rFonts w:ascii="Arial" w:hAnsi="Arial" w:cs="Arial"/>
          <w:b/>
          <w:sz w:val="20"/>
          <w:szCs w:val="20"/>
        </w:rPr>
      </w:pPr>
      <w:r w:rsidRPr="00D255CD">
        <w:rPr>
          <w:rFonts w:ascii="Arial" w:hAnsi="Arial" w:cs="Arial"/>
          <w:b/>
          <w:sz w:val="20"/>
          <w:szCs w:val="20"/>
        </w:rPr>
        <w:t>Número 0</w:t>
      </w:r>
      <w:r w:rsidR="00514A9E" w:rsidRPr="00D255CD">
        <w:rPr>
          <w:rFonts w:ascii="Arial" w:hAnsi="Arial" w:cs="Arial"/>
          <w:b/>
          <w:sz w:val="20"/>
          <w:szCs w:val="20"/>
        </w:rPr>
        <w:t>8</w:t>
      </w:r>
      <w:r w:rsidR="00681EC7" w:rsidRPr="00D255CD">
        <w:rPr>
          <w:rFonts w:ascii="Arial" w:hAnsi="Arial" w:cs="Arial"/>
          <w:b/>
          <w:sz w:val="20"/>
          <w:szCs w:val="20"/>
        </w:rPr>
        <w:t xml:space="preserve"> </w:t>
      </w:r>
    </w:p>
    <w:p w14:paraId="5313394D" w14:textId="77777777" w:rsidR="00D9046A" w:rsidRPr="00D255CD" w:rsidRDefault="00D9046A" w:rsidP="00D255CD">
      <w:pPr>
        <w:spacing w:line="276" w:lineRule="auto"/>
        <w:jc w:val="center"/>
        <w:rPr>
          <w:rFonts w:ascii="Arial" w:hAnsi="Arial" w:cs="Arial"/>
          <w:b/>
          <w:sz w:val="20"/>
          <w:szCs w:val="20"/>
        </w:rPr>
      </w:pPr>
    </w:p>
    <w:p w14:paraId="69C8ED4A" w14:textId="1C372866" w:rsidR="00681EC7" w:rsidRPr="00D255CD" w:rsidRDefault="00681EC7" w:rsidP="00D255CD">
      <w:pPr>
        <w:spacing w:line="276" w:lineRule="auto"/>
        <w:jc w:val="both"/>
        <w:rPr>
          <w:rFonts w:ascii="Arial" w:hAnsi="Arial" w:cs="Arial"/>
          <w:sz w:val="20"/>
          <w:szCs w:val="20"/>
        </w:rPr>
      </w:pPr>
      <w:r w:rsidRPr="00D255CD">
        <w:rPr>
          <w:rFonts w:ascii="Arial" w:hAnsi="Arial" w:cs="Arial"/>
          <w:sz w:val="20"/>
          <w:szCs w:val="20"/>
        </w:rPr>
        <w:t>Este Boletim</w:t>
      </w:r>
      <w:r w:rsidR="00362451" w:rsidRPr="00D255CD">
        <w:rPr>
          <w:rFonts w:ascii="Arial" w:hAnsi="Arial" w:cs="Arial"/>
          <w:sz w:val="20"/>
          <w:szCs w:val="20"/>
        </w:rPr>
        <w:t xml:space="preserve"> </w:t>
      </w:r>
      <w:r w:rsidR="005445E2" w:rsidRPr="00D255CD">
        <w:rPr>
          <w:rFonts w:ascii="Arial" w:hAnsi="Arial" w:cs="Arial"/>
          <w:sz w:val="20"/>
          <w:szCs w:val="20"/>
        </w:rPr>
        <w:t xml:space="preserve">relaciona as </w:t>
      </w:r>
      <w:r w:rsidRPr="00D255CD">
        <w:rPr>
          <w:rFonts w:ascii="Arial" w:hAnsi="Arial" w:cs="Arial"/>
          <w:sz w:val="20"/>
          <w:szCs w:val="20"/>
        </w:rPr>
        <w:t xml:space="preserve">teses fixadas em Direito Ambiental pelo Supremo Tribunal Federal - STF, Superior Tribunal de Justiça - STJ, Tribunal de Contas da União </w:t>
      </w:r>
      <w:r w:rsidR="008A1058" w:rsidRPr="00D255CD">
        <w:rPr>
          <w:rFonts w:ascii="Arial" w:hAnsi="Arial" w:cs="Arial"/>
          <w:sz w:val="20"/>
          <w:szCs w:val="20"/>
        </w:rPr>
        <w:t>–</w:t>
      </w:r>
      <w:r w:rsidRPr="00D255CD">
        <w:rPr>
          <w:rFonts w:ascii="Arial" w:hAnsi="Arial" w:cs="Arial"/>
          <w:sz w:val="20"/>
          <w:szCs w:val="20"/>
        </w:rPr>
        <w:t xml:space="preserve"> TCU</w:t>
      </w:r>
      <w:r w:rsidR="008A1058" w:rsidRPr="00D255CD">
        <w:rPr>
          <w:rFonts w:ascii="Arial" w:hAnsi="Arial" w:cs="Arial"/>
          <w:sz w:val="20"/>
          <w:szCs w:val="20"/>
        </w:rPr>
        <w:t xml:space="preserve">, </w:t>
      </w:r>
      <w:r w:rsidRPr="00D255CD">
        <w:rPr>
          <w:rFonts w:ascii="Arial" w:hAnsi="Arial" w:cs="Arial"/>
          <w:sz w:val="20"/>
          <w:szCs w:val="20"/>
        </w:rPr>
        <w:t>Tribunal de Contas do Paraná - TCE/PR</w:t>
      </w:r>
      <w:r w:rsidR="008A1058" w:rsidRPr="00D255CD">
        <w:rPr>
          <w:rFonts w:ascii="Arial" w:hAnsi="Arial" w:cs="Arial"/>
          <w:sz w:val="20"/>
          <w:szCs w:val="20"/>
        </w:rPr>
        <w:t xml:space="preserve"> e demais</w:t>
      </w:r>
      <w:r w:rsidR="00427BD4" w:rsidRPr="00D255CD">
        <w:rPr>
          <w:rFonts w:ascii="Arial" w:hAnsi="Arial" w:cs="Arial"/>
          <w:sz w:val="20"/>
          <w:szCs w:val="20"/>
        </w:rPr>
        <w:t xml:space="preserve"> Tribunais de Contas Estaduais e Municipais </w:t>
      </w:r>
      <w:r w:rsidR="00D20524" w:rsidRPr="00D255CD">
        <w:rPr>
          <w:rFonts w:ascii="Arial" w:hAnsi="Arial" w:cs="Arial"/>
          <w:sz w:val="20"/>
          <w:szCs w:val="20"/>
        </w:rPr>
        <w:t xml:space="preserve">acerca </w:t>
      </w:r>
      <w:r w:rsidR="005445E2" w:rsidRPr="00D255CD">
        <w:rPr>
          <w:rFonts w:ascii="Arial" w:hAnsi="Arial" w:cs="Arial"/>
          <w:sz w:val="20"/>
          <w:szCs w:val="20"/>
        </w:rPr>
        <w:t>d</w:t>
      </w:r>
      <w:r w:rsidRPr="00D255CD">
        <w:rPr>
          <w:rFonts w:ascii="Arial" w:hAnsi="Arial" w:cs="Arial"/>
          <w:sz w:val="20"/>
          <w:szCs w:val="20"/>
        </w:rPr>
        <w:t>o controle externo</w:t>
      </w:r>
      <w:r w:rsidR="008A1058" w:rsidRPr="00D255CD">
        <w:rPr>
          <w:rFonts w:ascii="Arial" w:hAnsi="Arial" w:cs="Arial"/>
          <w:sz w:val="20"/>
          <w:szCs w:val="20"/>
        </w:rPr>
        <w:t xml:space="preserve"> aplicado à avaliação de uma </w:t>
      </w:r>
      <w:r w:rsidRPr="00D255CD">
        <w:rPr>
          <w:rFonts w:ascii="Arial" w:hAnsi="Arial" w:cs="Arial"/>
          <w:sz w:val="20"/>
          <w:szCs w:val="20"/>
        </w:rPr>
        <w:t>gestão ambiental eficiente, transparente e propositiva</w:t>
      </w:r>
      <w:r w:rsidR="005445E2" w:rsidRPr="00D255CD">
        <w:rPr>
          <w:rFonts w:ascii="Arial" w:hAnsi="Arial" w:cs="Arial"/>
          <w:sz w:val="20"/>
          <w:szCs w:val="20"/>
        </w:rPr>
        <w:t>, não representando</w:t>
      </w:r>
      <w:r w:rsidRPr="00D255CD">
        <w:rPr>
          <w:rFonts w:ascii="Arial" w:hAnsi="Arial" w:cs="Arial"/>
          <w:sz w:val="20"/>
          <w:szCs w:val="20"/>
        </w:rPr>
        <w:t xml:space="preserve"> repositório oficia</w:t>
      </w:r>
      <w:r w:rsidR="00DF6F7F" w:rsidRPr="00D255CD">
        <w:rPr>
          <w:rFonts w:ascii="Arial" w:hAnsi="Arial" w:cs="Arial"/>
          <w:sz w:val="20"/>
          <w:szCs w:val="20"/>
        </w:rPr>
        <w:t>l</w:t>
      </w:r>
      <w:r w:rsidRPr="00D255CD">
        <w:rPr>
          <w:rFonts w:ascii="Arial" w:hAnsi="Arial" w:cs="Arial"/>
          <w:sz w:val="20"/>
          <w:szCs w:val="20"/>
        </w:rPr>
        <w:t xml:space="preserve"> de jurisprudência.</w:t>
      </w:r>
    </w:p>
    <w:p w14:paraId="5C4426F1" w14:textId="77777777" w:rsidR="00681EC7" w:rsidRPr="00D255CD" w:rsidRDefault="00681EC7" w:rsidP="00D255CD">
      <w:pPr>
        <w:spacing w:line="276" w:lineRule="auto"/>
        <w:jc w:val="both"/>
        <w:rPr>
          <w:rFonts w:ascii="Arial" w:hAnsi="Arial" w:cs="Arial"/>
          <w:sz w:val="20"/>
          <w:szCs w:val="20"/>
        </w:rPr>
      </w:pPr>
    </w:p>
    <w:p w14:paraId="3D96DD71" w14:textId="77777777" w:rsidR="00FE7B14" w:rsidRPr="00D255CD" w:rsidRDefault="00FE7B14" w:rsidP="00D255CD">
      <w:pPr>
        <w:spacing w:line="276" w:lineRule="auto"/>
        <w:jc w:val="both"/>
        <w:rPr>
          <w:rFonts w:ascii="Arial" w:hAnsi="Arial" w:cs="Arial"/>
          <w:sz w:val="20"/>
          <w:szCs w:val="20"/>
        </w:rPr>
      </w:pPr>
      <w:r w:rsidRPr="00D255CD">
        <w:rPr>
          <w:rFonts w:ascii="Arial" w:hAnsi="Arial" w:cs="Arial"/>
          <w:noProof/>
          <w:sz w:val="20"/>
          <w:szCs w:val="20"/>
        </w:rPr>
        <mc:AlternateContent>
          <mc:Choice Requires="wps">
            <w:drawing>
              <wp:anchor distT="0" distB="0" distL="114300" distR="114300" simplePos="0" relativeHeight="251660800" behindDoc="0" locked="0" layoutInCell="1" allowOverlap="1" wp14:anchorId="2D6DCC47" wp14:editId="68427C1C">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5FBA157C" w14:textId="77777777" w:rsidR="00AE4F42" w:rsidRPr="00D255CD" w:rsidRDefault="00AE4F42"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S</w:t>
      </w:r>
      <w:r w:rsidR="00221D15" w:rsidRPr="00D255CD">
        <w:rPr>
          <w:rFonts w:ascii="Arial" w:hAnsi="Arial" w:cs="Arial"/>
          <w:b/>
          <w:sz w:val="20"/>
          <w:szCs w:val="20"/>
        </w:rPr>
        <w:t>U</w:t>
      </w:r>
      <w:r w:rsidRPr="00D255CD">
        <w:rPr>
          <w:rFonts w:ascii="Arial" w:hAnsi="Arial" w:cs="Arial"/>
          <w:b/>
          <w:sz w:val="20"/>
          <w:szCs w:val="20"/>
        </w:rPr>
        <w:t>MÁRIO</w:t>
      </w:r>
    </w:p>
    <w:p w14:paraId="00D7234C" w14:textId="75205644" w:rsidR="00DB721B" w:rsidRPr="00D255CD" w:rsidRDefault="00DB721B" w:rsidP="00D255CD">
      <w:pPr>
        <w:autoSpaceDE w:val="0"/>
        <w:autoSpaceDN w:val="0"/>
        <w:adjustRightInd w:val="0"/>
        <w:spacing w:line="276" w:lineRule="auto"/>
        <w:jc w:val="both"/>
        <w:rPr>
          <w:rFonts w:ascii="Arial" w:hAnsi="Arial" w:cs="Arial"/>
          <w:sz w:val="20"/>
          <w:szCs w:val="20"/>
        </w:rPr>
      </w:pPr>
    </w:p>
    <w:p w14:paraId="646C82B7" w14:textId="77777777" w:rsidR="00D255CD" w:rsidRPr="00D255CD" w:rsidRDefault="00D255CD" w:rsidP="00D255CD">
      <w:pPr>
        <w:spacing w:line="276" w:lineRule="auto"/>
        <w:jc w:val="both"/>
        <w:rPr>
          <w:rFonts w:ascii="Arial" w:hAnsi="Arial" w:cs="Arial"/>
          <w:color w:val="000000"/>
          <w:sz w:val="20"/>
          <w:szCs w:val="20"/>
          <w:shd w:val="clear" w:color="auto" w:fill="FFFFFF"/>
        </w:rPr>
      </w:pPr>
      <w:r w:rsidRPr="00D255CD">
        <w:rPr>
          <w:rFonts w:ascii="Arial" w:hAnsi="Arial" w:cs="Arial"/>
          <w:color w:val="000000"/>
          <w:sz w:val="20"/>
          <w:szCs w:val="20"/>
          <w:shd w:val="clear" w:color="auto" w:fill="FFFFFF"/>
        </w:rPr>
        <w:t>1</w:t>
      </w:r>
      <w:r w:rsidRPr="00D255CD">
        <w:rPr>
          <w:rFonts w:ascii="Arial" w:hAnsi="Arial" w:cs="Arial"/>
          <w:color w:val="000000" w:themeColor="text1"/>
          <w:sz w:val="20"/>
          <w:szCs w:val="20"/>
        </w:rPr>
        <w:t>. Prestação de Contas Anual do Instituto Ambiental do Paraná. Exercício de 2017. Regularidade das contas. Emissão de recomendação ao Governo do Estado do Paraná e à SEAP para adoção de providências quanto à realização de concurso público para provimento de servidores para atuar junto ao IAP.</w:t>
      </w:r>
      <w:r w:rsidRPr="00D255CD">
        <w:rPr>
          <w:rFonts w:ascii="Arial" w:hAnsi="Arial" w:cs="Arial"/>
          <w:color w:val="000000"/>
          <w:sz w:val="20"/>
          <w:szCs w:val="20"/>
          <w:shd w:val="clear" w:color="auto" w:fill="FFFFFF"/>
        </w:rPr>
        <w:t xml:space="preserve"> </w:t>
      </w:r>
    </w:p>
    <w:p w14:paraId="2662379D" w14:textId="77777777" w:rsidR="00D255CD" w:rsidRDefault="00D255CD" w:rsidP="00D255CD">
      <w:pPr>
        <w:spacing w:line="276" w:lineRule="auto"/>
        <w:jc w:val="both"/>
        <w:rPr>
          <w:rStyle w:val="Hyperlink"/>
          <w:rFonts w:ascii="Arial" w:hAnsi="Arial" w:cs="Arial"/>
          <w:color w:val="000000" w:themeColor="text1"/>
          <w:sz w:val="20"/>
          <w:szCs w:val="20"/>
          <w:u w:val="none"/>
        </w:rPr>
      </w:pPr>
    </w:p>
    <w:p w14:paraId="31DF911B" w14:textId="18378E7E" w:rsidR="00D255CD" w:rsidRPr="00D255CD" w:rsidRDefault="00D255CD" w:rsidP="00D255CD">
      <w:pPr>
        <w:spacing w:line="276" w:lineRule="auto"/>
        <w:jc w:val="both"/>
        <w:rPr>
          <w:rFonts w:ascii="Arial" w:hAnsi="Arial" w:cs="Arial"/>
          <w:color w:val="000000" w:themeColor="text1"/>
          <w:sz w:val="20"/>
          <w:szCs w:val="20"/>
        </w:rPr>
      </w:pPr>
      <w:r w:rsidRPr="00D255CD">
        <w:rPr>
          <w:rStyle w:val="Hyperlink"/>
          <w:rFonts w:ascii="Arial" w:hAnsi="Arial" w:cs="Arial"/>
          <w:color w:val="000000" w:themeColor="text1"/>
          <w:sz w:val="20"/>
          <w:szCs w:val="20"/>
          <w:u w:val="none"/>
        </w:rPr>
        <w:t xml:space="preserve">2. </w:t>
      </w:r>
      <w:r w:rsidRPr="00D255CD">
        <w:rPr>
          <w:rFonts w:ascii="Arial" w:hAnsi="Arial" w:cs="Arial"/>
          <w:color w:val="000000" w:themeColor="text1"/>
          <w:sz w:val="20"/>
          <w:szCs w:val="20"/>
        </w:rPr>
        <w:t>Auditoria. Avaliação do planejamento dos investimentos federais em infraestrutura hídrica. Investimentos federais carentes de planejamento sistêmico, institucionalizado e estruturado no longo prazo. Política pública setorial mal formulada. Descumprimento de determinação estabelecida desde a vigência do plano plurianual (PPA) 2012-2015. Formulação do plano nacional de segurança hídrica (PNSH) sem a participação efetiva do ministério responsável. Risco de que resultados futuros não apresentem quadros de melhora. Determinações. Ciência.</w:t>
      </w:r>
    </w:p>
    <w:p w14:paraId="0AF90216" w14:textId="77777777" w:rsidR="00D255CD" w:rsidRDefault="00D255CD" w:rsidP="00D255CD">
      <w:pPr>
        <w:spacing w:line="276" w:lineRule="auto"/>
        <w:jc w:val="both"/>
        <w:rPr>
          <w:rFonts w:ascii="Arial" w:hAnsi="Arial" w:cs="Arial"/>
          <w:color w:val="000000" w:themeColor="text1"/>
          <w:sz w:val="20"/>
          <w:szCs w:val="20"/>
        </w:rPr>
      </w:pPr>
    </w:p>
    <w:p w14:paraId="68CE7E7D" w14:textId="20FC5296" w:rsidR="00D255CD" w:rsidRPr="00D255CD" w:rsidRDefault="00D255CD" w:rsidP="00D255CD">
      <w:pPr>
        <w:spacing w:line="276" w:lineRule="auto"/>
        <w:jc w:val="both"/>
        <w:rPr>
          <w:rFonts w:ascii="Arial" w:hAnsi="Arial" w:cs="Arial"/>
          <w:color w:val="000000" w:themeColor="text1"/>
          <w:sz w:val="20"/>
          <w:szCs w:val="20"/>
        </w:rPr>
      </w:pPr>
      <w:r w:rsidRPr="00D255CD">
        <w:rPr>
          <w:rFonts w:ascii="Arial" w:hAnsi="Arial" w:cs="Arial"/>
          <w:color w:val="000000" w:themeColor="text1"/>
          <w:sz w:val="20"/>
          <w:szCs w:val="20"/>
        </w:rPr>
        <w:t>3. Auditoria Especial. Disposição dos resíduos sólidos domiciliares. Diagnóstico anual sobre destino final de resíduos sólidos do TCE-PE. Uso de “lixões” como forma de descarte dos resíduos. Irregularidade. Inadequada disposição final de resíduos sólidos urbanos.</w:t>
      </w:r>
    </w:p>
    <w:p w14:paraId="438B2DD5" w14:textId="77777777" w:rsidR="00D255CD" w:rsidRDefault="00D255CD" w:rsidP="00D255CD">
      <w:pPr>
        <w:spacing w:line="276" w:lineRule="auto"/>
        <w:jc w:val="both"/>
        <w:rPr>
          <w:rFonts w:ascii="Arial" w:hAnsi="Arial" w:cs="Arial"/>
          <w:color w:val="000000"/>
          <w:sz w:val="20"/>
          <w:szCs w:val="20"/>
          <w:shd w:val="clear" w:color="auto" w:fill="FFFFFF"/>
        </w:rPr>
      </w:pPr>
    </w:p>
    <w:p w14:paraId="54D77EC4" w14:textId="0DD1C54F" w:rsidR="00D255CD" w:rsidRPr="00D255CD" w:rsidRDefault="00D255CD" w:rsidP="00D255CD">
      <w:pPr>
        <w:spacing w:line="276" w:lineRule="auto"/>
        <w:jc w:val="both"/>
        <w:rPr>
          <w:rFonts w:ascii="Arial" w:eastAsiaTheme="minorHAnsi" w:hAnsi="Arial" w:cs="Arial"/>
          <w:color w:val="000000"/>
          <w:sz w:val="20"/>
          <w:szCs w:val="20"/>
          <w:shd w:val="clear" w:color="auto" w:fill="FFFFFF"/>
          <w:lang w:eastAsia="en-US"/>
        </w:rPr>
      </w:pPr>
      <w:r w:rsidRPr="00D255CD">
        <w:rPr>
          <w:rFonts w:ascii="Arial" w:hAnsi="Arial" w:cs="Arial"/>
          <w:color w:val="000000"/>
          <w:sz w:val="20"/>
          <w:szCs w:val="20"/>
          <w:shd w:val="clear" w:color="auto" w:fill="FFFFFF"/>
        </w:rPr>
        <w:t xml:space="preserve">4. </w:t>
      </w:r>
      <w:r w:rsidRPr="00D255CD">
        <w:rPr>
          <w:rFonts w:ascii="Arial" w:eastAsiaTheme="minorHAnsi" w:hAnsi="Arial" w:cs="Arial"/>
          <w:color w:val="000000"/>
          <w:sz w:val="20"/>
          <w:szCs w:val="20"/>
          <w:shd w:val="clear" w:color="auto" w:fill="FFFFFF"/>
          <w:lang w:eastAsia="en-US"/>
        </w:rPr>
        <w:t>Recurso Extraordinário. Lei estadual 12.131/2004, Rio Grande do Sul. Código Estadual de Proteção aos Animais. Sacrifício ritual de animais em cultos de religiões de matriz africana. Permissão. Constitucionalidade.</w:t>
      </w:r>
    </w:p>
    <w:p w14:paraId="7B2D1AFA" w14:textId="77777777" w:rsidR="00D255CD" w:rsidRDefault="00D255CD" w:rsidP="00D255CD">
      <w:pPr>
        <w:spacing w:line="276" w:lineRule="auto"/>
        <w:jc w:val="both"/>
        <w:rPr>
          <w:rFonts w:ascii="Arial" w:hAnsi="Arial" w:cs="Arial"/>
          <w:color w:val="000000"/>
          <w:sz w:val="20"/>
          <w:szCs w:val="20"/>
          <w:shd w:val="clear" w:color="auto" w:fill="FFFFFF"/>
        </w:rPr>
      </w:pPr>
    </w:p>
    <w:p w14:paraId="6A26FA9E" w14:textId="4D6A1ED1" w:rsidR="00D255CD" w:rsidRPr="00D255CD" w:rsidRDefault="00D255CD" w:rsidP="00D255CD">
      <w:pPr>
        <w:spacing w:line="276" w:lineRule="auto"/>
        <w:jc w:val="both"/>
        <w:rPr>
          <w:rFonts w:ascii="Arial" w:hAnsi="Arial" w:cs="Arial"/>
          <w:color w:val="000000"/>
          <w:sz w:val="20"/>
          <w:szCs w:val="20"/>
          <w:shd w:val="clear" w:color="auto" w:fill="FFFFFF"/>
        </w:rPr>
      </w:pPr>
      <w:r w:rsidRPr="00D255CD">
        <w:rPr>
          <w:rFonts w:ascii="Arial" w:hAnsi="Arial" w:cs="Arial"/>
          <w:color w:val="000000"/>
          <w:sz w:val="20"/>
          <w:szCs w:val="20"/>
          <w:shd w:val="clear" w:color="auto" w:fill="FFFFFF"/>
        </w:rPr>
        <w:t>5. Processo civil. Recurso especial. Ambiental. Apreensão de veículo. Transporte de aves silvestres sem autorização. Revisão da jurisprudência. Comprovação da utilização específica e exclusiva do bem na prática do ilícito ambiental. Desnecessidade. Efeito dissuasório da legislação. Recrudescimento da atividade fiscalizatória. Recurso provido.</w:t>
      </w:r>
    </w:p>
    <w:p w14:paraId="749A744C" w14:textId="77777777" w:rsidR="00D255CD" w:rsidRPr="00D255CD" w:rsidRDefault="00D255CD" w:rsidP="00D255CD">
      <w:pPr>
        <w:autoSpaceDE w:val="0"/>
        <w:autoSpaceDN w:val="0"/>
        <w:adjustRightInd w:val="0"/>
        <w:spacing w:line="276" w:lineRule="auto"/>
        <w:jc w:val="both"/>
        <w:rPr>
          <w:rFonts w:ascii="Arial" w:hAnsi="Arial" w:cs="Arial"/>
          <w:sz w:val="20"/>
          <w:szCs w:val="20"/>
        </w:rPr>
      </w:pPr>
    </w:p>
    <w:p w14:paraId="6B25001B" w14:textId="77777777" w:rsidR="005A143D" w:rsidRPr="00D255CD" w:rsidRDefault="005A143D" w:rsidP="00D255CD">
      <w:pPr>
        <w:spacing w:line="276" w:lineRule="auto"/>
        <w:jc w:val="both"/>
        <w:rPr>
          <w:rStyle w:val="Hyperlink"/>
          <w:rFonts w:ascii="Arial" w:hAnsi="Arial" w:cs="Arial"/>
          <w:b/>
          <w:color w:val="000000" w:themeColor="text1"/>
          <w:sz w:val="20"/>
          <w:szCs w:val="20"/>
          <w:u w:val="none"/>
        </w:rPr>
      </w:pPr>
    </w:p>
    <w:p w14:paraId="2059E48E" w14:textId="77777777" w:rsidR="00B34863" w:rsidRPr="00D255CD" w:rsidRDefault="00B34863"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 xml:space="preserve">TRIBUNAL DE CONTAS DO ESTADO DO PARANÁ </w:t>
      </w:r>
    </w:p>
    <w:p w14:paraId="33A1EEE8" w14:textId="77777777" w:rsidR="00B036BD" w:rsidRPr="00D255CD" w:rsidRDefault="00B036BD" w:rsidP="00D255CD">
      <w:pPr>
        <w:spacing w:line="276" w:lineRule="auto"/>
        <w:jc w:val="both"/>
        <w:rPr>
          <w:rFonts w:ascii="Arial" w:hAnsi="Arial" w:cs="Arial"/>
          <w:b/>
          <w:color w:val="000000"/>
          <w:sz w:val="20"/>
          <w:szCs w:val="20"/>
          <w:shd w:val="clear" w:color="auto" w:fill="FFFFFF"/>
        </w:rPr>
      </w:pPr>
    </w:p>
    <w:p w14:paraId="20DAB31C" w14:textId="5425FE63" w:rsidR="00DE4B94" w:rsidRPr="00D255CD" w:rsidRDefault="00A476D7" w:rsidP="00D255CD">
      <w:pPr>
        <w:spacing w:line="276" w:lineRule="auto"/>
        <w:jc w:val="both"/>
        <w:rPr>
          <w:rFonts w:ascii="Arial" w:hAnsi="Arial" w:cs="Arial"/>
          <w:b/>
          <w:color w:val="000000"/>
          <w:sz w:val="20"/>
          <w:szCs w:val="20"/>
          <w:shd w:val="clear" w:color="auto" w:fill="FFFFFF"/>
        </w:rPr>
      </w:pPr>
      <w:r w:rsidRPr="00D255CD">
        <w:rPr>
          <w:rFonts w:ascii="Arial" w:hAnsi="Arial" w:cs="Arial"/>
          <w:b/>
          <w:color w:val="000000"/>
          <w:sz w:val="20"/>
          <w:szCs w:val="20"/>
          <w:shd w:val="clear" w:color="auto" w:fill="FFFFFF"/>
        </w:rPr>
        <w:t>1</w:t>
      </w:r>
      <w:r w:rsidRPr="00D255CD">
        <w:rPr>
          <w:rFonts w:ascii="Arial" w:hAnsi="Arial" w:cs="Arial"/>
          <w:b/>
          <w:color w:val="000000" w:themeColor="text1"/>
          <w:sz w:val="20"/>
          <w:szCs w:val="20"/>
        </w:rPr>
        <w:t xml:space="preserve">. </w:t>
      </w:r>
      <w:r w:rsidR="00BA6733" w:rsidRPr="00D255CD">
        <w:rPr>
          <w:rFonts w:ascii="Arial" w:hAnsi="Arial" w:cs="Arial"/>
          <w:b/>
          <w:color w:val="000000" w:themeColor="text1"/>
          <w:sz w:val="20"/>
          <w:szCs w:val="20"/>
        </w:rPr>
        <w:t xml:space="preserve">Prestação de Contas Anual do Instituto Ambiental do Paraná. Exercício de 2017. Regularidade das contas. Emissão de recomendação ao Governo do Estado do Paraná e </w:t>
      </w:r>
      <w:r w:rsidR="00BA6733" w:rsidRPr="00D255CD">
        <w:rPr>
          <w:rFonts w:ascii="Arial" w:hAnsi="Arial" w:cs="Arial"/>
          <w:b/>
          <w:color w:val="000000" w:themeColor="text1"/>
          <w:sz w:val="20"/>
          <w:szCs w:val="20"/>
        </w:rPr>
        <w:lastRenderedPageBreak/>
        <w:t>à SEAP para adoção de providências quanto à realização de concurso público para provimento de servidores para atuar junto ao IAP</w:t>
      </w:r>
      <w:r w:rsidR="00DE4B94" w:rsidRPr="00D255CD">
        <w:rPr>
          <w:rFonts w:ascii="Arial" w:hAnsi="Arial" w:cs="Arial"/>
          <w:b/>
          <w:color w:val="000000" w:themeColor="text1"/>
          <w:sz w:val="20"/>
          <w:szCs w:val="20"/>
        </w:rPr>
        <w:t>.</w:t>
      </w:r>
      <w:r w:rsidR="00DE4B94" w:rsidRPr="00D255CD">
        <w:rPr>
          <w:rFonts w:ascii="Arial" w:hAnsi="Arial" w:cs="Arial"/>
          <w:b/>
          <w:color w:val="000000"/>
          <w:sz w:val="20"/>
          <w:szCs w:val="20"/>
          <w:shd w:val="clear" w:color="auto" w:fill="FFFFFF"/>
        </w:rPr>
        <w:t xml:space="preserve"> </w:t>
      </w:r>
    </w:p>
    <w:p w14:paraId="0B0B04EC" w14:textId="77777777" w:rsidR="00514A9E" w:rsidRPr="00D255CD" w:rsidRDefault="00514A9E" w:rsidP="00D255CD">
      <w:pPr>
        <w:pStyle w:val="Corpodetexto"/>
        <w:spacing w:line="276" w:lineRule="auto"/>
        <w:jc w:val="both"/>
        <w:rPr>
          <w:rFonts w:ascii="Arial" w:hAnsi="Arial" w:cs="Arial"/>
          <w:sz w:val="20"/>
          <w:szCs w:val="20"/>
          <w:shd w:val="clear" w:color="auto" w:fill="FFFFFF"/>
          <w:lang w:val="pt-BR"/>
        </w:rPr>
      </w:pPr>
    </w:p>
    <w:p w14:paraId="69715330" w14:textId="1B99DC7C" w:rsidR="00514A9E" w:rsidRPr="00D255CD" w:rsidRDefault="00CD3090"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No que tange ao apontamento de ineficiência no controle e fiscalização, foi evidenciada 1) a existência de áreas de disposição final de resíduos sólidos urbanos municipais, lixões, sem atuação de cunho fiscalizatório realizada após agosto de 2014. Também foi apontada 2) ausência de autuações de cunho fiscalizatório em barracões utilizados para triagem de resíduos sólidos urbanos municipais, 3) a ausência de controle sobre cumprimento de condicionantes estabelecidas em licenças ambientais de proteção, em áreas de disposição final de resíduos sólidos urbanos municipais e ainda, 4) inconsistências nas informações de controle acerca da situação dos referidos lixões</w:t>
      </w:r>
      <w:r w:rsidRPr="00D255CD">
        <w:rPr>
          <w:rFonts w:ascii="Arial" w:hAnsi="Arial" w:cs="Arial"/>
          <w:sz w:val="20"/>
          <w:szCs w:val="20"/>
          <w:shd w:val="clear" w:color="auto" w:fill="FFFFFF"/>
          <w:lang w:val="pt-BR"/>
        </w:rPr>
        <w:t>.</w:t>
      </w:r>
    </w:p>
    <w:p w14:paraId="78AC4B13" w14:textId="77777777" w:rsidR="00CD3090" w:rsidRPr="00D255CD" w:rsidRDefault="00CD3090" w:rsidP="00D255CD">
      <w:pPr>
        <w:spacing w:line="276" w:lineRule="auto"/>
        <w:jc w:val="both"/>
        <w:rPr>
          <w:rFonts w:ascii="Arial" w:eastAsiaTheme="minorHAnsi" w:hAnsi="Arial" w:cs="Arial"/>
          <w:b/>
          <w:sz w:val="20"/>
          <w:szCs w:val="20"/>
          <w:lang w:eastAsia="en-US"/>
        </w:rPr>
      </w:pPr>
    </w:p>
    <w:p w14:paraId="137A0F53" w14:textId="7CD97E69" w:rsidR="00A476D7" w:rsidRPr="00D255CD" w:rsidRDefault="00A476D7" w:rsidP="00D255CD">
      <w:pPr>
        <w:spacing w:line="276" w:lineRule="auto"/>
        <w:jc w:val="both"/>
        <w:rPr>
          <w:rFonts w:ascii="Arial" w:hAnsi="Arial" w:cs="Arial"/>
          <w:sz w:val="20"/>
          <w:szCs w:val="20"/>
        </w:rPr>
      </w:pPr>
      <w:r w:rsidRPr="00D255CD">
        <w:rPr>
          <w:rFonts w:ascii="Arial" w:hAnsi="Arial" w:cs="Arial"/>
          <w:sz w:val="20"/>
          <w:szCs w:val="20"/>
        </w:rPr>
        <w:t xml:space="preserve">TCE-PR, </w:t>
      </w:r>
      <w:r w:rsidR="00514A9E" w:rsidRPr="00D255CD">
        <w:rPr>
          <w:rFonts w:ascii="Arial" w:hAnsi="Arial" w:cs="Arial"/>
          <w:sz w:val="20"/>
          <w:szCs w:val="20"/>
        </w:rPr>
        <w:t>Processo nº</w:t>
      </w:r>
      <w:r w:rsidRPr="00D255CD">
        <w:rPr>
          <w:rFonts w:ascii="Arial" w:hAnsi="Arial" w:cs="Arial"/>
          <w:sz w:val="20"/>
          <w:szCs w:val="20"/>
        </w:rPr>
        <w:t xml:space="preserve"> </w:t>
      </w:r>
      <w:r w:rsidR="00CD3090" w:rsidRPr="00D255CD">
        <w:rPr>
          <w:rFonts w:ascii="Arial" w:hAnsi="Arial" w:cs="Arial"/>
          <w:sz w:val="20"/>
          <w:szCs w:val="20"/>
        </w:rPr>
        <w:t>220576</w:t>
      </w:r>
      <w:r w:rsidRPr="00D255CD">
        <w:rPr>
          <w:rFonts w:ascii="Arial" w:hAnsi="Arial" w:cs="Arial"/>
          <w:sz w:val="20"/>
          <w:szCs w:val="20"/>
        </w:rPr>
        <w:t>/1</w:t>
      </w:r>
      <w:r w:rsidR="00CD3090" w:rsidRPr="00D255CD">
        <w:rPr>
          <w:rFonts w:ascii="Arial" w:hAnsi="Arial" w:cs="Arial"/>
          <w:sz w:val="20"/>
          <w:szCs w:val="20"/>
        </w:rPr>
        <w:t>8</w:t>
      </w:r>
      <w:r w:rsidRPr="00D255CD">
        <w:rPr>
          <w:rFonts w:ascii="Arial" w:hAnsi="Arial" w:cs="Arial"/>
          <w:sz w:val="20"/>
          <w:szCs w:val="20"/>
        </w:rPr>
        <w:t>,</w:t>
      </w:r>
      <w:r w:rsidR="00DE4B94" w:rsidRPr="00D255CD">
        <w:rPr>
          <w:rFonts w:ascii="Arial" w:hAnsi="Arial" w:cs="Arial"/>
          <w:sz w:val="20"/>
          <w:szCs w:val="20"/>
        </w:rPr>
        <w:t xml:space="preserve"> </w:t>
      </w:r>
      <w:hyperlink r:id="rId8" w:history="1">
        <w:r w:rsidR="00DE4B94" w:rsidRPr="00D255CD">
          <w:rPr>
            <w:rStyle w:val="Hyperlink"/>
            <w:rFonts w:ascii="Arial" w:hAnsi="Arial" w:cs="Arial"/>
            <w:b/>
            <w:sz w:val="20"/>
            <w:szCs w:val="20"/>
          </w:rPr>
          <w:t xml:space="preserve">Acórdão n.º </w:t>
        </w:r>
        <w:r w:rsidR="00CD3090" w:rsidRPr="00D255CD">
          <w:rPr>
            <w:rStyle w:val="Hyperlink"/>
            <w:rFonts w:ascii="Arial" w:hAnsi="Arial" w:cs="Arial"/>
            <w:b/>
            <w:sz w:val="20"/>
            <w:szCs w:val="20"/>
          </w:rPr>
          <w:t>538</w:t>
        </w:r>
        <w:r w:rsidR="00DE4B94" w:rsidRPr="00D255CD">
          <w:rPr>
            <w:rStyle w:val="Hyperlink"/>
            <w:rFonts w:ascii="Arial" w:hAnsi="Arial" w:cs="Arial"/>
            <w:b/>
            <w:sz w:val="20"/>
            <w:szCs w:val="20"/>
          </w:rPr>
          <w:t>/1</w:t>
        </w:r>
        <w:r w:rsidR="00514A9E" w:rsidRPr="00D255CD">
          <w:rPr>
            <w:rStyle w:val="Hyperlink"/>
            <w:rFonts w:ascii="Arial" w:hAnsi="Arial" w:cs="Arial"/>
            <w:b/>
            <w:sz w:val="20"/>
            <w:szCs w:val="20"/>
          </w:rPr>
          <w:t>9</w:t>
        </w:r>
        <w:r w:rsidR="00DE4B94" w:rsidRPr="00D255CD">
          <w:rPr>
            <w:rStyle w:val="Hyperlink"/>
            <w:rFonts w:ascii="Arial" w:hAnsi="Arial" w:cs="Arial"/>
            <w:b/>
            <w:sz w:val="20"/>
            <w:szCs w:val="20"/>
          </w:rPr>
          <w:t xml:space="preserve"> – Tribunal Pleno</w:t>
        </w:r>
      </w:hyperlink>
      <w:r w:rsidR="00DE4B94" w:rsidRPr="00D255CD">
        <w:rPr>
          <w:rFonts w:ascii="Arial" w:hAnsi="Arial" w:cs="Arial"/>
          <w:sz w:val="20"/>
          <w:szCs w:val="20"/>
        </w:rPr>
        <w:t xml:space="preserve">, </w:t>
      </w:r>
      <w:r w:rsidRPr="00D255CD">
        <w:rPr>
          <w:rFonts w:ascii="Arial" w:hAnsi="Arial" w:cs="Arial"/>
          <w:sz w:val="20"/>
          <w:szCs w:val="20"/>
        </w:rPr>
        <w:t xml:space="preserve">Rel. Cons. </w:t>
      </w:r>
      <w:r w:rsidR="009646AB" w:rsidRPr="00D255CD">
        <w:rPr>
          <w:rFonts w:ascii="Arial" w:hAnsi="Arial" w:cs="Arial"/>
          <w:sz w:val="20"/>
          <w:szCs w:val="20"/>
        </w:rPr>
        <w:t>Fernando Augusto Mello Guimarães.</w:t>
      </w:r>
    </w:p>
    <w:p w14:paraId="4B2184F7" w14:textId="77777777" w:rsidR="00A476D7" w:rsidRPr="00D255CD" w:rsidRDefault="00A476D7" w:rsidP="00D255CD">
      <w:pPr>
        <w:spacing w:line="276" w:lineRule="auto"/>
        <w:jc w:val="both"/>
        <w:rPr>
          <w:rFonts w:ascii="Arial" w:hAnsi="Arial" w:cs="Arial"/>
          <w:sz w:val="20"/>
          <w:szCs w:val="20"/>
        </w:rPr>
      </w:pPr>
    </w:p>
    <w:p w14:paraId="57A04274" w14:textId="77777777" w:rsidR="00B34863" w:rsidRPr="00D255CD" w:rsidRDefault="00B34863"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 xml:space="preserve">TRIBUNAL DE CONTAS DA UNIÃO </w:t>
      </w:r>
    </w:p>
    <w:p w14:paraId="3A222E30" w14:textId="77777777" w:rsidR="00B34863" w:rsidRPr="00D255CD" w:rsidRDefault="00B34863" w:rsidP="00D255CD">
      <w:pPr>
        <w:spacing w:line="276" w:lineRule="auto"/>
        <w:jc w:val="both"/>
        <w:rPr>
          <w:rStyle w:val="Hyperlink"/>
          <w:rFonts w:ascii="Arial" w:hAnsi="Arial" w:cs="Arial"/>
          <w:b/>
          <w:color w:val="000000" w:themeColor="text1"/>
          <w:sz w:val="20"/>
          <w:szCs w:val="20"/>
          <w:highlight w:val="yellow"/>
          <w:u w:val="none"/>
        </w:rPr>
      </w:pPr>
    </w:p>
    <w:p w14:paraId="273FEEDB" w14:textId="588B93F0" w:rsidR="00DF6F7F" w:rsidRPr="00D255CD" w:rsidRDefault="003D704E" w:rsidP="00D255CD">
      <w:pPr>
        <w:spacing w:line="276" w:lineRule="auto"/>
        <w:jc w:val="both"/>
        <w:rPr>
          <w:rFonts w:ascii="Arial" w:hAnsi="Arial" w:cs="Arial"/>
          <w:b/>
          <w:color w:val="000000" w:themeColor="text1"/>
          <w:sz w:val="20"/>
          <w:szCs w:val="20"/>
        </w:rPr>
      </w:pPr>
      <w:bookmarkStart w:id="0" w:name="_Hlk11857020"/>
      <w:r w:rsidRPr="00D255CD">
        <w:rPr>
          <w:rStyle w:val="Hyperlink"/>
          <w:rFonts w:ascii="Arial" w:hAnsi="Arial" w:cs="Arial"/>
          <w:b/>
          <w:color w:val="000000" w:themeColor="text1"/>
          <w:sz w:val="20"/>
          <w:szCs w:val="20"/>
          <w:u w:val="none"/>
        </w:rPr>
        <w:t xml:space="preserve">2. </w:t>
      </w:r>
      <w:bookmarkEnd w:id="0"/>
      <w:r w:rsidR="00CD3090" w:rsidRPr="00D255CD">
        <w:rPr>
          <w:rFonts w:ascii="Arial" w:hAnsi="Arial" w:cs="Arial"/>
          <w:b/>
          <w:color w:val="000000" w:themeColor="text1"/>
          <w:sz w:val="20"/>
          <w:szCs w:val="20"/>
        </w:rPr>
        <w:t>Auditoria. Avaliação do planejamento dos investimentos federais em infraestrutura hídrica. Investimentos federais carentes de planejamento sistêmico, institucionalizado e estruturado no longo prazo. Política pública setorial mal formulada. Descumprimento de determinação estabelecida desde a vigência do plano plurianual (PPA) 2012-2015. Formulação do plano nacional de segurança hídrica (PNSH) sem a participação efetiva do ministério responsável. Risco de que resultados futuros não apresentem quadros de melhora. Determinações. Ciência</w:t>
      </w:r>
      <w:r w:rsidR="00CD3090" w:rsidRPr="00D255CD">
        <w:rPr>
          <w:rFonts w:ascii="Arial" w:hAnsi="Arial" w:cs="Arial"/>
          <w:b/>
          <w:color w:val="000000" w:themeColor="text1"/>
          <w:sz w:val="20"/>
          <w:szCs w:val="20"/>
        </w:rPr>
        <w:t>.</w:t>
      </w:r>
    </w:p>
    <w:p w14:paraId="1D353952" w14:textId="6515C8D4" w:rsidR="00B036BD" w:rsidRPr="00D255CD" w:rsidRDefault="00B036BD" w:rsidP="00D255CD">
      <w:pPr>
        <w:spacing w:line="276" w:lineRule="auto"/>
        <w:jc w:val="both"/>
        <w:rPr>
          <w:rStyle w:val="Hyperlink"/>
          <w:rFonts w:ascii="Arial" w:hAnsi="Arial" w:cs="Arial"/>
          <w:b/>
          <w:color w:val="000000" w:themeColor="text1"/>
          <w:sz w:val="20"/>
          <w:szCs w:val="20"/>
          <w:u w:val="none"/>
        </w:rPr>
      </w:pPr>
    </w:p>
    <w:p w14:paraId="4A2AD116" w14:textId="2BE48A21"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 xml:space="preserve">O presente trabalho teve o objetivo de avaliar o planejamento dos investimentos federais em infraestrutura hídrica, com vistas a mitigar a má distribuição temporal e espacial dos recursos hídricos no território brasileiro, atendendo a comunicação feita pelo Ministro Augusto </w:t>
      </w:r>
      <w:proofErr w:type="spellStart"/>
      <w:r w:rsidRPr="00D255CD">
        <w:rPr>
          <w:rFonts w:ascii="Arial" w:hAnsi="Arial" w:cs="Arial"/>
          <w:sz w:val="20"/>
          <w:szCs w:val="20"/>
          <w:shd w:val="clear" w:color="auto" w:fill="FFFFFF"/>
          <w:lang w:val="pt-BR"/>
        </w:rPr>
        <w:t>Nardes</w:t>
      </w:r>
      <w:proofErr w:type="spellEnd"/>
      <w:r w:rsidRPr="00D255CD">
        <w:rPr>
          <w:rFonts w:ascii="Arial" w:hAnsi="Arial" w:cs="Arial"/>
          <w:sz w:val="20"/>
          <w:szCs w:val="20"/>
          <w:shd w:val="clear" w:color="auto" w:fill="FFFFFF"/>
          <w:lang w:val="pt-BR"/>
        </w:rPr>
        <w:t xml:space="preserve"> (peça 3 do TC 027.887/2017-0).</w:t>
      </w:r>
    </w:p>
    <w:p w14:paraId="67A40797" w14:textId="5D332BA8"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Em virtude do padrão e da repetição das irregularidades percebidas nos trabalhos anteriores de fiscalizações em obras de infraestrutura hídrica e pela dificuldade demonstrada em lidar com os eventos críticos de escassez de água dos últimos anos, com crises instaladas nas diversas regiões do território nacional, assentou-se a decisão de realizar esta auditoria operacional. Tendo em vista que os recursos são escassos, a escolha de quais investimentos devem ser executados e a sua priorização constituem pontos cruciais para a superação da escassez hídrica.</w:t>
      </w:r>
    </w:p>
    <w:p w14:paraId="4E3668BF" w14:textId="60A2E291"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Concluiu-se com as seguintes proposições:</w:t>
      </w:r>
    </w:p>
    <w:p w14:paraId="36B3D53A" w14:textId="77777777"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a) determinar ao Ministério da Integração Nacional, com fundamento no art. 43, inciso I, da Lei 8.443/1992, c/c o art. 250, inciso II, do Regimento Interno do Tribunal de Contas da União, que:</w:t>
      </w:r>
    </w:p>
    <w:p w14:paraId="2C07E398" w14:textId="63DAC2F8"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 xml:space="preserve">a.1) elabore, em conjunto com outros entes governamentais afetos à área, dentre os quais, a Casa Civil da Presidência da República, o Ministério do Planejamento, Desenvolvimento e Gestão e a Agência Nacional de Águas, a proposta de marco legal da Política Nacional de Infraestrutura Hídrica (PNIH), para que seja encaminhada ao Congresso Nacional até o fim da vigência do PPA 2016-2019, com vistas ao cumprimento da meta ‘01LL - Elaborar o marco legal </w:t>
      </w:r>
      <w:r w:rsidRPr="00D255CD">
        <w:rPr>
          <w:rFonts w:ascii="Arial" w:hAnsi="Arial" w:cs="Arial"/>
          <w:sz w:val="20"/>
          <w:szCs w:val="20"/>
          <w:shd w:val="clear" w:color="auto" w:fill="FFFFFF"/>
          <w:lang w:val="pt-BR"/>
        </w:rPr>
        <w:lastRenderedPageBreak/>
        <w:t>da Política Nacional de Infraestrutura Hídrica’, constante do PPA 2016-2019 (Lei 13.249/2016), e do princípio da eficiência administrativa, insculpido no art. 37, caput, da Constituição Federal, considerando ainda o art. 15, § 1º, do Decreto-Lei 200/1967;</w:t>
      </w:r>
    </w:p>
    <w:p w14:paraId="45B309AC" w14:textId="5A768C51"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a.2) acompanhe, juntamente à Agência Nacional de Águas, a conclusão do Plano Nacional de Segurança Hídrica (PNSH), aprovando os produtos intermediários e finais contratados, até a data da entrega definitiva do referido plano, com o objetivo de assegurar que as diretrizes setoriais sejam observadas, com vistas ao cumprimento da meta ‘01LM - Concluir o Plano Nacional de Segurança Hídrica, por meio do diagnóstico da infraestrutura hídrica do país’, constante do PPA 2016-2019 (Lei 13.249/2016), do art. 19 do Decreto 8.980/2017 e do princípio da eficiência administrativa, insculpido no art. 37, caput, da Constituição Federal;</w:t>
      </w:r>
    </w:p>
    <w:p w14:paraId="0086E1F5" w14:textId="1625EBE9"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a.3) demonstre, em documento formal circunstanciado, elaborado conforme o item a.4 seguinte, na priorização e na seleção dos investimentos em infraestrutura hídrica, a utilização de critérios técnicos, objetivos e atualizados, aderentes às políticas públicas setoriais, e a realização de avaliação sistêmica e conjunta de carências e dos projetos disponíveis, inclusive para a seleção das obras que atenderão aos pleitos regionais e parlamentares, com vistas ao cumprimento dos princípios da eficiência administrativa, da economicidade e da finalidade, insculpidos no art. 37, caput, da Constituição Federal, e ao princípio da motivação, previsto no art. 2º da Lei 9.784/1999;</w:t>
      </w:r>
    </w:p>
    <w:p w14:paraId="519718A5" w14:textId="47D7F627"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a.4) regulamente em normativo interno o processo de elaboração do planejamento dos investimentos em obras de infraestrutura hídrica sob sua responsabilidade, contendo, minimamente, as etapas, os setores responsáveis, os prazos, a metodologia, os critérios técnicos e objetivos para a seleção e a priorização de investimentos, os produtos esperados e as formas de acompanhamento e avaliação dos resultados, focados na mitigação dos problemas sociais atrelados à escassez hídrica, com vistas ao cumprimento do art. 6°, inciso I, do Decreto-Lei 200/1967 e do princípio da eficiência administrativa, insculpido no art. 37, caput,  da Constituição Federal;</w:t>
      </w:r>
    </w:p>
    <w:p w14:paraId="2C9944F7" w14:textId="77777777"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b) determinar ao Ministério da Integração Nacional e ao Ministério do Planejamento, Desenvolvimento e Gestão, com fulcro no art. 43, inciso I, da Lei 8.443/1992, combinado com o art. 250, inciso II, do RI/TCU, que elaborem, para inclusão no próximo PPA, metas e indicadores que permitam aferir com maior clareza os objetivos e os benefícios sociais almejados, em sintonia com as políticas públicas setoriais relacionadas à mitigação dos problemas sociais ligados à escassez hídrica, com vistas ao cumprimento do art. 6°, inciso I, do Decreto-lei 200/1967 e do princípio da eficiência administrativa, insculpido no art. 37, caput, da Constituição Federal;</w:t>
      </w:r>
    </w:p>
    <w:p w14:paraId="0EF78090" w14:textId="77777777"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c) determinar ao Ministério da Integração Nacional, com fulcro no art. 43, inciso I, da Lei 8.443/1992, combinado com o art. 250, inciso II, do RI/TCU, que apresente a este Tribunal, no prazo de noventa dias, plano de ação para implementação das determinações anteriormente descritas, contendo, no mínimo, as medidas a serem adotadas, os responsáveis pelas ações, o prazo previsto para cada uma delas e os produtos a serem obtidos;</w:t>
      </w:r>
    </w:p>
    <w:p w14:paraId="3BA76939" w14:textId="480BDD11" w:rsidR="006D5DB6" w:rsidRPr="00D255CD" w:rsidRDefault="006D5DB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d) enviar cópia do acórdão que vier a ser proferido pelo Tribunal, juntamente com o relatório e o voto que o fundamentarem, ao Ministério da Integração Nacional, ao Ministério do Planejamento, Desenvolvimento e Gestão, à Agência Nacional de Águas, à Casa Civil da Presidência da República e à Comissão de Desenvolvimento Regional e Turismo, do Senado Federal;</w:t>
      </w:r>
    </w:p>
    <w:p w14:paraId="62822AE1" w14:textId="77777777" w:rsidR="006D5DB6" w:rsidRPr="00D255CD" w:rsidRDefault="006D5DB6" w:rsidP="00D255CD">
      <w:pPr>
        <w:spacing w:line="276" w:lineRule="auto"/>
        <w:jc w:val="both"/>
        <w:rPr>
          <w:rStyle w:val="Hyperlink"/>
          <w:rFonts w:ascii="Arial" w:hAnsi="Arial" w:cs="Arial"/>
          <w:b/>
          <w:color w:val="000000" w:themeColor="text1"/>
          <w:sz w:val="20"/>
          <w:szCs w:val="20"/>
          <w:u w:val="none"/>
        </w:rPr>
      </w:pPr>
    </w:p>
    <w:p w14:paraId="33FF2DD8" w14:textId="55DFBCDE" w:rsidR="00861DB4" w:rsidRPr="00D255CD" w:rsidRDefault="00861DB4" w:rsidP="00D255CD">
      <w:pPr>
        <w:pStyle w:val="Corpodetexto"/>
        <w:spacing w:line="276" w:lineRule="auto"/>
        <w:jc w:val="both"/>
        <w:rPr>
          <w:rStyle w:val="Hyperlink"/>
          <w:rFonts w:ascii="Arial" w:hAnsi="Arial" w:cs="Arial"/>
          <w:b/>
          <w:color w:val="000000" w:themeColor="text1"/>
          <w:sz w:val="20"/>
          <w:szCs w:val="20"/>
          <w:u w:val="none"/>
          <w:lang w:val="pt-BR"/>
        </w:rPr>
      </w:pPr>
      <w:r w:rsidRPr="00D255CD">
        <w:rPr>
          <w:rFonts w:ascii="Arial" w:hAnsi="Arial" w:cs="Arial"/>
          <w:sz w:val="20"/>
          <w:szCs w:val="20"/>
          <w:lang w:val="pt-BR"/>
        </w:rPr>
        <w:t>TC</w:t>
      </w:r>
      <w:r w:rsidR="00D22EE1" w:rsidRPr="00D255CD">
        <w:rPr>
          <w:rFonts w:ascii="Arial" w:hAnsi="Arial" w:cs="Arial"/>
          <w:sz w:val="20"/>
          <w:szCs w:val="20"/>
          <w:lang w:val="pt-BR"/>
        </w:rPr>
        <w:t xml:space="preserve">U, Proc. </w:t>
      </w:r>
      <w:r w:rsidR="00DF6F7F" w:rsidRPr="00D255CD">
        <w:rPr>
          <w:rFonts w:ascii="Arial" w:hAnsi="Arial" w:cs="Arial"/>
          <w:sz w:val="20"/>
          <w:szCs w:val="20"/>
          <w:lang w:val="pt-BR"/>
        </w:rPr>
        <w:t>03</w:t>
      </w:r>
      <w:r w:rsidR="00FD0A26" w:rsidRPr="00D255CD">
        <w:rPr>
          <w:rFonts w:ascii="Arial" w:hAnsi="Arial" w:cs="Arial"/>
          <w:sz w:val="20"/>
          <w:szCs w:val="20"/>
          <w:lang w:val="pt-BR"/>
        </w:rPr>
        <w:t>0</w:t>
      </w:r>
      <w:r w:rsidR="00DF6F7F" w:rsidRPr="00D255CD">
        <w:rPr>
          <w:rFonts w:ascii="Arial" w:hAnsi="Arial" w:cs="Arial"/>
          <w:sz w:val="20"/>
          <w:szCs w:val="20"/>
          <w:lang w:val="pt-BR"/>
        </w:rPr>
        <w:t>.</w:t>
      </w:r>
      <w:r w:rsidR="00FD0A26" w:rsidRPr="00D255CD">
        <w:rPr>
          <w:rFonts w:ascii="Arial" w:hAnsi="Arial" w:cs="Arial"/>
          <w:sz w:val="20"/>
          <w:szCs w:val="20"/>
          <w:lang w:val="pt-BR"/>
        </w:rPr>
        <w:t>005</w:t>
      </w:r>
      <w:r w:rsidR="00DF6F7F" w:rsidRPr="00D255CD">
        <w:rPr>
          <w:rFonts w:ascii="Arial" w:hAnsi="Arial" w:cs="Arial"/>
          <w:sz w:val="20"/>
          <w:szCs w:val="20"/>
          <w:lang w:val="pt-BR"/>
        </w:rPr>
        <w:t>/201</w:t>
      </w:r>
      <w:r w:rsidR="00FD0A26" w:rsidRPr="00D255CD">
        <w:rPr>
          <w:rFonts w:ascii="Arial" w:hAnsi="Arial" w:cs="Arial"/>
          <w:sz w:val="20"/>
          <w:szCs w:val="20"/>
          <w:lang w:val="pt-BR"/>
        </w:rPr>
        <w:t>7</w:t>
      </w:r>
      <w:r w:rsidR="00DF6F7F" w:rsidRPr="00D255CD">
        <w:rPr>
          <w:rFonts w:ascii="Arial" w:hAnsi="Arial" w:cs="Arial"/>
          <w:sz w:val="20"/>
          <w:szCs w:val="20"/>
          <w:lang w:val="pt-BR"/>
        </w:rPr>
        <w:t>-</w:t>
      </w:r>
      <w:r w:rsidR="00FD0A26" w:rsidRPr="00D255CD">
        <w:rPr>
          <w:rFonts w:ascii="Arial" w:hAnsi="Arial" w:cs="Arial"/>
          <w:sz w:val="20"/>
          <w:szCs w:val="20"/>
          <w:lang w:val="pt-BR"/>
        </w:rPr>
        <w:t>5</w:t>
      </w:r>
      <w:r w:rsidR="00D22EE1" w:rsidRPr="00D255CD">
        <w:rPr>
          <w:rFonts w:ascii="Arial" w:hAnsi="Arial" w:cs="Arial"/>
          <w:sz w:val="20"/>
          <w:szCs w:val="20"/>
          <w:lang w:val="pt-BR"/>
        </w:rPr>
        <w:t>,</w:t>
      </w:r>
      <w:r w:rsidR="00DF6F7F" w:rsidRPr="00D255CD">
        <w:rPr>
          <w:rFonts w:ascii="Arial" w:hAnsi="Arial" w:cs="Arial"/>
          <w:sz w:val="20"/>
          <w:szCs w:val="20"/>
          <w:lang w:val="pt-BR"/>
        </w:rPr>
        <w:t xml:space="preserve"> </w:t>
      </w:r>
      <w:hyperlink r:id="rId9" w:history="1">
        <w:r w:rsidR="00DF6F7F" w:rsidRPr="00D255CD">
          <w:rPr>
            <w:rStyle w:val="Hyperlink"/>
            <w:rFonts w:ascii="Arial" w:hAnsi="Arial" w:cs="Arial"/>
            <w:b/>
            <w:sz w:val="20"/>
            <w:szCs w:val="20"/>
            <w:lang w:val="pt-BR"/>
          </w:rPr>
          <w:t>Acórd</w:t>
        </w:r>
        <w:r w:rsidR="00DF6F7F" w:rsidRPr="00D255CD">
          <w:rPr>
            <w:rStyle w:val="Hyperlink"/>
            <w:rFonts w:ascii="Arial" w:hAnsi="Arial" w:cs="Arial"/>
            <w:b/>
            <w:sz w:val="20"/>
            <w:szCs w:val="20"/>
            <w:lang w:val="pt-BR"/>
          </w:rPr>
          <w:t>ã</w:t>
        </w:r>
        <w:r w:rsidR="00DF6F7F" w:rsidRPr="00D255CD">
          <w:rPr>
            <w:rStyle w:val="Hyperlink"/>
            <w:rFonts w:ascii="Arial" w:hAnsi="Arial" w:cs="Arial"/>
            <w:b/>
            <w:sz w:val="20"/>
            <w:szCs w:val="20"/>
            <w:lang w:val="pt-BR"/>
          </w:rPr>
          <w:t xml:space="preserve">o n.º </w:t>
        </w:r>
        <w:r w:rsidR="00FD0A26" w:rsidRPr="00D255CD">
          <w:rPr>
            <w:rStyle w:val="Hyperlink"/>
            <w:rFonts w:ascii="Arial" w:hAnsi="Arial" w:cs="Arial"/>
            <w:b/>
            <w:sz w:val="20"/>
            <w:szCs w:val="20"/>
            <w:lang w:val="pt-BR"/>
          </w:rPr>
          <w:t>2272</w:t>
        </w:r>
        <w:r w:rsidR="00DF6F7F" w:rsidRPr="00D255CD">
          <w:rPr>
            <w:rStyle w:val="Hyperlink"/>
            <w:rFonts w:ascii="Arial" w:hAnsi="Arial" w:cs="Arial"/>
            <w:b/>
            <w:sz w:val="20"/>
            <w:szCs w:val="20"/>
            <w:lang w:val="pt-BR"/>
          </w:rPr>
          <w:t>/201</w:t>
        </w:r>
        <w:r w:rsidR="00FD0A26" w:rsidRPr="00D255CD">
          <w:rPr>
            <w:rStyle w:val="Hyperlink"/>
            <w:rFonts w:ascii="Arial" w:hAnsi="Arial" w:cs="Arial"/>
            <w:b/>
            <w:sz w:val="20"/>
            <w:szCs w:val="20"/>
            <w:lang w:val="pt-BR"/>
          </w:rPr>
          <w:t>9</w:t>
        </w:r>
        <w:r w:rsidR="00DF6F7F" w:rsidRPr="00D255CD">
          <w:rPr>
            <w:rStyle w:val="Hyperlink"/>
            <w:rFonts w:ascii="Arial" w:hAnsi="Arial" w:cs="Arial"/>
            <w:b/>
            <w:sz w:val="20"/>
            <w:szCs w:val="20"/>
            <w:lang w:val="pt-BR"/>
          </w:rPr>
          <w:t>-</w:t>
        </w:r>
        <w:r w:rsidR="00FD0A26" w:rsidRPr="00D255CD">
          <w:rPr>
            <w:rStyle w:val="Hyperlink"/>
            <w:rFonts w:ascii="Arial" w:hAnsi="Arial" w:cs="Arial"/>
            <w:b/>
            <w:sz w:val="20"/>
            <w:szCs w:val="20"/>
            <w:lang w:val="pt-BR"/>
          </w:rPr>
          <w:t>Plenário</w:t>
        </w:r>
      </w:hyperlink>
      <w:r w:rsidRPr="00D255CD">
        <w:rPr>
          <w:rFonts w:ascii="Arial" w:hAnsi="Arial" w:cs="Arial"/>
          <w:sz w:val="20"/>
          <w:szCs w:val="20"/>
          <w:lang w:val="pt-BR"/>
        </w:rPr>
        <w:t>, Relator Ministro</w:t>
      </w:r>
      <w:r w:rsidR="00D22EE1" w:rsidRPr="00D255CD">
        <w:rPr>
          <w:rFonts w:ascii="Arial" w:hAnsi="Arial" w:cs="Arial"/>
          <w:sz w:val="20"/>
          <w:szCs w:val="20"/>
          <w:lang w:val="pt-BR"/>
        </w:rPr>
        <w:t xml:space="preserve"> </w:t>
      </w:r>
      <w:r w:rsidR="00FD0A26" w:rsidRPr="00D255CD">
        <w:rPr>
          <w:rFonts w:ascii="Arial" w:hAnsi="Arial" w:cs="Arial"/>
          <w:sz w:val="20"/>
          <w:szCs w:val="20"/>
          <w:lang w:val="pt-BR"/>
        </w:rPr>
        <w:t xml:space="preserve">Augusto </w:t>
      </w:r>
      <w:proofErr w:type="spellStart"/>
      <w:r w:rsidR="00FD0A26" w:rsidRPr="00D255CD">
        <w:rPr>
          <w:rFonts w:ascii="Arial" w:hAnsi="Arial" w:cs="Arial"/>
          <w:sz w:val="20"/>
          <w:szCs w:val="20"/>
          <w:lang w:val="pt-BR"/>
        </w:rPr>
        <w:t>Nardes</w:t>
      </w:r>
      <w:proofErr w:type="spellEnd"/>
      <w:r w:rsidRPr="00D255CD">
        <w:rPr>
          <w:rFonts w:ascii="Arial" w:hAnsi="Arial" w:cs="Arial"/>
          <w:sz w:val="20"/>
          <w:szCs w:val="20"/>
          <w:lang w:val="pt-BR"/>
        </w:rPr>
        <w:t>.</w:t>
      </w:r>
    </w:p>
    <w:p w14:paraId="5F8E8FBC" w14:textId="77777777" w:rsidR="00B036BD" w:rsidRPr="00D255CD" w:rsidRDefault="00B036BD" w:rsidP="00D255CD">
      <w:pPr>
        <w:spacing w:line="276" w:lineRule="auto"/>
        <w:jc w:val="both"/>
        <w:rPr>
          <w:rStyle w:val="Hyperlink"/>
          <w:rFonts w:ascii="Arial" w:hAnsi="Arial" w:cs="Arial"/>
          <w:b/>
          <w:color w:val="000000" w:themeColor="text1"/>
          <w:sz w:val="20"/>
          <w:szCs w:val="20"/>
          <w:u w:val="none"/>
        </w:rPr>
      </w:pPr>
    </w:p>
    <w:p w14:paraId="7B2CF815" w14:textId="0526ECCA" w:rsidR="00B34863" w:rsidRPr="00D255CD" w:rsidRDefault="00B34863"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 xml:space="preserve">TRIBUNAL DE CONTAS DO </w:t>
      </w:r>
      <w:r w:rsidR="002D722B" w:rsidRPr="00D255CD">
        <w:rPr>
          <w:rFonts w:ascii="Arial" w:hAnsi="Arial" w:cs="Arial"/>
          <w:b/>
          <w:sz w:val="20"/>
          <w:szCs w:val="20"/>
        </w:rPr>
        <w:t xml:space="preserve">ESTADO DE </w:t>
      </w:r>
      <w:r w:rsidR="00E06816" w:rsidRPr="00D255CD">
        <w:rPr>
          <w:rFonts w:ascii="Arial" w:hAnsi="Arial" w:cs="Arial"/>
          <w:b/>
          <w:sz w:val="20"/>
          <w:szCs w:val="20"/>
        </w:rPr>
        <w:t>PERNAMBUCO</w:t>
      </w:r>
    </w:p>
    <w:p w14:paraId="07364733" w14:textId="77777777" w:rsidR="00CD37A1" w:rsidRPr="00D255CD" w:rsidRDefault="00CD37A1" w:rsidP="00D255CD">
      <w:pPr>
        <w:spacing w:line="276" w:lineRule="auto"/>
        <w:jc w:val="both"/>
        <w:rPr>
          <w:rFonts w:ascii="Arial" w:hAnsi="Arial" w:cs="Arial"/>
          <w:b/>
          <w:color w:val="000000"/>
          <w:sz w:val="20"/>
          <w:szCs w:val="20"/>
          <w:shd w:val="clear" w:color="auto" w:fill="FFFFFF"/>
        </w:rPr>
      </w:pPr>
    </w:p>
    <w:p w14:paraId="0096A91E" w14:textId="719F1407" w:rsidR="002D722B" w:rsidRPr="00D255CD" w:rsidRDefault="003D704E" w:rsidP="00D255CD">
      <w:pPr>
        <w:spacing w:line="276" w:lineRule="auto"/>
        <w:jc w:val="both"/>
        <w:rPr>
          <w:rFonts w:ascii="Arial" w:hAnsi="Arial" w:cs="Arial"/>
          <w:b/>
          <w:color w:val="000000" w:themeColor="text1"/>
          <w:sz w:val="20"/>
          <w:szCs w:val="20"/>
        </w:rPr>
      </w:pPr>
      <w:bookmarkStart w:id="1" w:name="_Hlk5027744"/>
      <w:r w:rsidRPr="00D255CD">
        <w:rPr>
          <w:rFonts w:ascii="Arial" w:hAnsi="Arial" w:cs="Arial"/>
          <w:b/>
          <w:color w:val="000000" w:themeColor="text1"/>
          <w:sz w:val="20"/>
          <w:szCs w:val="20"/>
        </w:rPr>
        <w:t xml:space="preserve">3. </w:t>
      </w:r>
      <w:bookmarkEnd w:id="1"/>
      <w:r w:rsidR="00E06816" w:rsidRPr="00D255CD">
        <w:rPr>
          <w:rFonts w:ascii="Arial" w:hAnsi="Arial" w:cs="Arial"/>
          <w:b/>
          <w:color w:val="000000" w:themeColor="text1"/>
          <w:sz w:val="20"/>
          <w:szCs w:val="20"/>
        </w:rPr>
        <w:t>Auditoria Especial</w:t>
      </w:r>
      <w:r w:rsidR="00E06816" w:rsidRPr="00D255CD">
        <w:rPr>
          <w:rFonts w:ascii="Arial" w:hAnsi="Arial" w:cs="Arial"/>
          <w:b/>
          <w:color w:val="000000" w:themeColor="text1"/>
          <w:sz w:val="20"/>
          <w:szCs w:val="20"/>
        </w:rPr>
        <w:t>.</w:t>
      </w:r>
      <w:r w:rsidR="00E06816" w:rsidRPr="00D255CD">
        <w:rPr>
          <w:rFonts w:ascii="Arial" w:hAnsi="Arial" w:cs="Arial"/>
          <w:b/>
          <w:color w:val="000000" w:themeColor="text1"/>
          <w:sz w:val="20"/>
          <w:szCs w:val="20"/>
        </w:rPr>
        <w:t xml:space="preserve"> </w:t>
      </w:r>
      <w:r w:rsidR="00E06816" w:rsidRPr="00D255CD">
        <w:rPr>
          <w:rFonts w:ascii="Arial" w:hAnsi="Arial" w:cs="Arial"/>
          <w:b/>
          <w:color w:val="000000" w:themeColor="text1"/>
          <w:sz w:val="20"/>
          <w:szCs w:val="20"/>
        </w:rPr>
        <w:t>D</w:t>
      </w:r>
      <w:r w:rsidR="00E06816" w:rsidRPr="00D255CD">
        <w:rPr>
          <w:rFonts w:ascii="Arial" w:hAnsi="Arial" w:cs="Arial"/>
          <w:b/>
          <w:color w:val="000000" w:themeColor="text1"/>
          <w:sz w:val="20"/>
          <w:szCs w:val="20"/>
        </w:rPr>
        <w:t>isposição dos resíduos sólidos domiciliares</w:t>
      </w:r>
      <w:r w:rsidR="00E06816" w:rsidRPr="00D255CD">
        <w:rPr>
          <w:rFonts w:ascii="Arial" w:hAnsi="Arial" w:cs="Arial"/>
          <w:b/>
          <w:color w:val="000000" w:themeColor="text1"/>
          <w:sz w:val="20"/>
          <w:szCs w:val="20"/>
        </w:rPr>
        <w:t>. D</w:t>
      </w:r>
      <w:r w:rsidR="00E06816" w:rsidRPr="00D255CD">
        <w:rPr>
          <w:rFonts w:ascii="Arial" w:hAnsi="Arial" w:cs="Arial"/>
          <w:b/>
          <w:color w:val="000000" w:themeColor="text1"/>
          <w:sz w:val="20"/>
          <w:szCs w:val="20"/>
        </w:rPr>
        <w:t>iagnóstico anual sobre destino final de resíduos sólidos do TCE-PE</w:t>
      </w:r>
      <w:r w:rsidR="00E06816" w:rsidRPr="00D255CD">
        <w:rPr>
          <w:rFonts w:ascii="Arial" w:hAnsi="Arial" w:cs="Arial"/>
          <w:b/>
          <w:color w:val="000000" w:themeColor="text1"/>
          <w:sz w:val="20"/>
          <w:szCs w:val="20"/>
        </w:rPr>
        <w:t>.</w:t>
      </w:r>
      <w:r w:rsidR="00E06816" w:rsidRPr="00D255CD">
        <w:rPr>
          <w:rFonts w:ascii="Arial" w:hAnsi="Arial" w:cs="Arial"/>
          <w:b/>
          <w:color w:val="000000" w:themeColor="text1"/>
          <w:sz w:val="20"/>
          <w:szCs w:val="20"/>
        </w:rPr>
        <w:t xml:space="preserve"> </w:t>
      </w:r>
      <w:r w:rsidR="00E06816" w:rsidRPr="00D255CD">
        <w:rPr>
          <w:rFonts w:ascii="Arial" w:hAnsi="Arial" w:cs="Arial"/>
          <w:b/>
          <w:color w:val="000000" w:themeColor="text1"/>
          <w:sz w:val="20"/>
          <w:szCs w:val="20"/>
        </w:rPr>
        <w:t>U</w:t>
      </w:r>
      <w:r w:rsidR="00E06816" w:rsidRPr="00D255CD">
        <w:rPr>
          <w:rFonts w:ascii="Arial" w:hAnsi="Arial" w:cs="Arial"/>
          <w:b/>
          <w:color w:val="000000" w:themeColor="text1"/>
          <w:sz w:val="20"/>
          <w:szCs w:val="20"/>
        </w:rPr>
        <w:t xml:space="preserve">so de “lixões” como forma de descarte dos resíduos. </w:t>
      </w:r>
      <w:r w:rsidR="00E06816" w:rsidRPr="00D255CD">
        <w:rPr>
          <w:rFonts w:ascii="Arial" w:hAnsi="Arial" w:cs="Arial"/>
          <w:b/>
          <w:color w:val="000000" w:themeColor="text1"/>
          <w:sz w:val="20"/>
          <w:szCs w:val="20"/>
        </w:rPr>
        <w:t>I</w:t>
      </w:r>
      <w:r w:rsidR="00E06816" w:rsidRPr="00D255CD">
        <w:rPr>
          <w:rFonts w:ascii="Arial" w:hAnsi="Arial" w:cs="Arial"/>
          <w:b/>
          <w:color w:val="000000" w:themeColor="text1"/>
          <w:sz w:val="20"/>
          <w:szCs w:val="20"/>
        </w:rPr>
        <w:t>rregularidade</w:t>
      </w:r>
      <w:r w:rsidR="00E06816" w:rsidRPr="00D255CD">
        <w:rPr>
          <w:rFonts w:ascii="Arial" w:hAnsi="Arial" w:cs="Arial"/>
          <w:b/>
          <w:color w:val="000000" w:themeColor="text1"/>
          <w:sz w:val="20"/>
          <w:szCs w:val="20"/>
        </w:rPr>
        <w:t>.</w:t>
      </w:r>
      <w:r w:rsidR="00E06816" w:rsidRPr="00D255CD">
        <w:rPr>
          <w:rFonts w:ascii="Arial" w:hAnsi="Arial" w:cs="Arial"/>
          <w:b/>
          <w:color w:val="000000" w:themeColor="text1"/>
          <w:sz w:val="20"/>
          <w:szCs w:val="20"/>
        </w:rPr>
        <w:t xml:space="preserve"> </w:t>
      </w:r>
      <w:r w:rsidR="00E06816" w:rsidRPr="00D255CD">
        <w:rPr>
          <w:rFonts w:ascii="Arial" w:hAnsi="Arial" w:cs="Arial"/>
          <w:b/>
          <w:color w:val="000000" w:themeColor="text1"/>
          <w:sz w:val="20"/>
          <w:szCs w:val="20"/>
        </w:rPr>
        <w:t>I</w:t>
      </w:r>
      <w:r w:rsidR="00E06816" w:rsidRPr="00D255CD">
        <w:rPr>
          <w:rFonts w:ascii="Arial" w:hAnsi="Arial" w:cs="Arial"/>
          <w:b/>
          <w:color w:val="000000" w:themeColor="text1"/>
          <w:sz w:val="20"/>
          <w:szCs w:val="20"/>
        </w:rPr>
        <w:t>nadequada disposição final de resíduos sólidos urbanos.</w:t>
      </w:r>
    </w:p>
    <w:p w14:paraId="090D5E51" w14:textId="77777777" w:rsidR="00E06816" w:rsidRPr="00D255CD" w:rsidRDefault="00E06816" w:rsidP="00D255CD">
      <w:pPr>
        <w:pStyle w:val="Corpodetexto"/>
        <w:spacing w:line="276" w:lineRule="auto"/>
        <w:jc w:val="both"/>
        <w:rPr>
          <w:rFonts w:ascii="Arial" w:hAnsi="Arial" w:cs="Arial"/>
          <w:sz w:val="20"/>
          <w:szCs w:val="20"/>
          <w:shd w:val="clear" w:color="auto" w:fill="FFFFFF"/>
          <w:lang w:val="pt-BR"/>
        </w:rPr>
      </w:pPr>
    </w:p>
    <w:p w14:paraId="4E68E7E3" w14:textId="352FE267" w:rsidR="002D722B" w:rsidRPr="00D255CD" w:rsidRDefault="00E06816" w:rsidP="00D255CD">
      <w:pPr>
        <w:pStyle w:val="Corpodetexto"/>
        <w:spacing w:line="276" w:lineRule="auto"/>
        <w:jc w:val="both"/>
        <w:rPr>
          <w:rFonts w:ascii="Arial" w:hAnsi="Arial" w:cs="Arial"/>
          <w:sz w:val="20"/>
          <w:szCs w:val="20"/>
          <w:shd w:val="clear" w:color="auto" w:fill="FFFFFF"/>
          <w:lang w:val="pt-BR"/>
        </w:rPr>
      </w:pPr>
      <w:r w:rsidRPr="00D255CD">
        <w:rPr>
          <w:rFonts w:ascii="Arial" w:hAnsi="Arial" w:cs="Arial"/>
          <w:sz w:val="20"/>
          <w:szCs w:val="20"/>
          <w:shd w:val="clear" w:color="auto" w:fill="FFFFFF"/>
          <w:lang w:val="pt-BR"/>
        </w:rPr>
        <w:t>O</w:t>
      </w:r>
      <w:r w:rsidRPr="00D255CD">
        <w:rPr>
          <w:rFonts w:ascii="Arial" w:hAnsi="Arial" w:cs="Arial"/>
          <w:sz w:val="20"/>
          <w:szCs w:val="20"/>
          <w:shd w:val="clear" w:color="auto" w:fill="FFFFFF"/>
          <w:lang w:val="pt-BR"/>
        </w:rPr>
        <w:t>bjetivo</w:t>
      </w:r>
      <w:r w:rsidRPr="00D255CD">
        <w:rPr>
          <w:rFonts w:ascii="Arial" w:hAnsi="Arial" w:cs="Arial"/>
          <w:sz w:val="20"/>
          <w:szCs w:val="20"/>
          <w:shd w:val="clear" w:color="auto" w:fill="FFFFFF"/>
          <w:lang w:val="pt-BR"/>
        </w:rPr>
        <w:t xml:space="preserve"> da auditoria</w:t>
      </w:r>
      <w:r w:rsidRPr="00D255CD">
        <w:rPr>
          <w:rFonts w:ascii="Arial" w:hAnsi="Arial" w:cs="Arial"/>
          <w:sz w:val="20"/>
          <w:szCs w:val="20"/>
          <w:shd w:val="clear" w:color="auto" w:fill="FFFFFF"/>
          <w:lang w:val="pt-BR"/>
        </w:rPr>
        <w:t>: auditar a situação da disposição dos resíduos sólidos domiciliares, em função dos dados obtidos no diagnóstico anual sobre destino final de resíduos sólidos do TCE-PE, que apontou para o uso de “lixões” como forma de descarte dos resíduos. O Relatório de Auditoria aponta uma irregularidade, qual seja: inadequada disposição final de resíduos sólidos urbanos.</w:t>
      </w:r>
    </w:p>
    <w:p w14:paraId="708F5F12" w14:textId="77777777" w:rsidR="00E06816" w:rsidRPr="00D255CD" w:rsidRDefault="00E06816" w:rsidP="00D255CD">
      <w:pPr>
        <w:spacing w:line="276" w:lineRule="auto"/>
        <w:jc w:val="both"/>
        <w:rPr>
          <w:rFonts w:ascii="Arial" w:hAnsi="Arial" w:cs="Arial"/>
          <w:bCs/>
          <w:color w:val="000000"/>
          <w:sz w:val="20"/>
          <w:szCs w:val="20"/>
          <w:shd w:val="clear" w:color="auto" w:fill="FFFFFF"/>
        </w:rPr>
      </w:pPr>
    </w:p>
    <w:p w14:paraId="6726F55A" w14:textId="7CAEF289" w:rsidR="008B7AA1" w:rsidRPr="00D255CD" w:rsidRDefault="00C645F4" w:rsidP="00D255CD">
      <w:pPr>
        <w:spacing w:line="276" w:lineRule="auto"/>
        <w:jc w:val="both"/>
        <w:rPr>
          <w:rFonts w:ascii="Arial" w:hAnsi="Arial" w:cs="Arial"/>
          <w:color w:val="000000"/>
          <w:sz w:val="20"/>
          <w:szCs w:val="20"/>
          <w:shd w:val="clear" w:color="auto" w:fill="FFFFFF"/>
        </w:rPr>
      </w:pPr>
      <w:r w:rsidRPr="00D255CD">
        <w:rPr>
          <w:rFonts w:ascii="Arial" w:hAnsi="Arial" w:cs="Arial"/>
          <w:color w:val="000000"/>
          <w:sz w:val="20"/>
          <w:szCs w:val="20"/>
          <w:shd w:val="clear" w:color="auto" w:fill="FFFFFF"/>
        </w:rPr>
        <w:t>TC</w:t>
      </w:r>
      <w:r w:rsidR="002D722B" w:rsidRPr="00D255CD">
        <w:rPr>
          <w:rFonts w:ascii="Arial" w:hAnsi="Arial" w:cs="Arial"/>
          <w:color w:val="000000"/>
          <w:sz w:val="20"/>
          <w:szCs w:val="20"/>
          <w:shd w:val="clear" w:color="auto" w:fill="FFFFFF"/>
        </w:rPr>
        <w:t>E-</w:t>
      </w:r>
      <w:r w:rsidR="00E06816" w:rsidRPr="00D255CD">
        <w:rPr>
          <w:rFonts w:ascii="Arial" w:hAnsi="Arial" w:cs="Arial"/>
          <w:color w:val="000000"/>
          <w:sz w:val="20"/>
          <w:szCs w:val="20"/>
          <w:shd w:val="clear" w:color="auto" w:fill="FFFFFF"/>
        </w:rPr>
        <w:t>PE</w:t>
      </w:r>
      <w:r w:rsidRPr="00D255CD">
        <w:rPr>
          <w:rFonts w:ascii="Arial" w:hAnsi="Arial" w:cs="Arial"/>
          <w:color w:val="000000"/>
          <w:sz w:val="20"/>
          <w:szCs w:val="20"/>
          <w:shd w:val="clear" w:color="auto" w:fill="FFFFFF"/>
        </w:rPr>
        <w:t>,</w:t>
      </w:r>
      <w:r w:rsidR="002D722B" w:rsidRPr="00D255CD">
        <w:rPr>
          <w:rFonts w:ascii="Arial" w:hAnsi="Arial" w:cs="Arial"/>
          <w:color w:val="000000"/>
          <w:sz w:val="20"/>
          <w:szCs w:val="20"/>
          <w:shd w:val="clear" w:color="auto" w:fill="FFFFFF"/>
        </w:rPr>
        <w:t xml:space="preserve"> </w:t>
      </w:r>
      <w:hyperlink r:id="rId10" w:history="1">
        <w:r w:rsidR="002D722B" w:rsidRPr="00D255CD">
          <w:rPr>
            <w:rStyle w:val="Hyperlink"/>
            <w:rFonts w:ascii="Arial" w:hAnsi="Arial" w:cs="Arial"/>
            <w:b/>
            <w:sz w:val="20"/>
            <w:szCs w:val="20"/>
            <w:shd w:val="clear" w:color="auto" w:fill="FFFFFF"/>
          </w:rPr>
          <w:t>Processo n.º</w:t>
        </w:r>
        <w:r w:rsidR="00E06816" w:rsidRPr="00D255CD">
          <w:rPr>
            <w:rStyle w:val="Hyperlink"/>
            <w:rFonts w:ascii="Arial" w:hAnsi="Arial" w:cs="Arial"/>
            <w:b/>
            <w:sz w:val="20"/>
            <w:szCs w:val="20"/>
            <w:shd w:val="clear" w:color="auto" w:fill="FFFFFF"/>
            <w:lang w:eastAsia="en-US"/>
          </w:rPr>
          <w:t xml:space="preserve"> 1858551-6</w:t>
        </w:r>
      </w:hyperlink>
      <w:r w:rsidRPr="00D255CD">
        <w:rPr>
          <w:rFonts w:ascii="Arial" w:hAnsi="Arial" w:cs="Arial"/>
          <w:color w:val="000000"/>
          <w:sz w:val="20"/>
          <w:szCs w:val="20"/>
          <w:shd w:val="clear" w:color="auto" w:fill="FFFFFF"/>
        </w:rPr>
        <w:t xml:space="preserve">, </w:t>
      </w:r>
      <w:r w:rsidR="00E06816" w:rsidRPr="00D255CD">
        <w:rPr>
          <w:rFonts w:ascii="Arial" w:hAnsi="Arial" w:cs="Arial"/>
          <w:color w:val="000000"/>
          <w:sz w:val="20"/>
          <w:szCs w:val="20"/>
          <w:shd w:val="clear" w:color="auto" w:fill="FFFFFF"/>
        </w:rPr>
        <w:t>Relator</w:t>
      </w:r>
      <w:r w:rsidR="00DD314C" w:rsidRPr="00D255CD">
        <w:rPr>
          <w:rFonts w:ascii="Arial" w:hAnsi="Arial" w:cs="Arial"/>
          <w:color w:val="000000"/>
          <w:sz w:val="20"/>
          <w:szCs w:val="20"/>
          <w:shd w:val="clear" w:color="auto" w:fill="FFFFFF"/>
        </w:rPr>
        <w:t xml:space="preserve"> Conselheiro Dirceu Rodolfo de Melo Júnior.</w:t>
      </w:r>
    </w:p>
    <w:p w14:paraId="5C9F6A44" w14:textId="77777777" w:rsidR="008E36D8" w:rsidRPr="00D255CD" w:rsidRDefault="008E36D8" w:rsidP="00D255CD">
      <w:pPr>
        <w:spacing w:line="276" w:lineRule="auto"/>
        <w:jc w:val="both"/>
        <w:rPr>
          <w:rFonts w:ascii="Arial" w:hAnsi="Arial" w:cs="Arial"/>
          <w:color w:val="000000"/>
          <w:sz w:val="20"/>
          <w:szCs w:val="20"/>
          <w:shd w:val="clear" w:color="auto" w:fill="FFFFFF"/>
        </w:rPr>
      </w:pPr>
    </w:p>
    <w:p w14:paraId="6ABC941C" w14:textId="77777777" w:rsidR="00B34863" w:rsidRPr="00D255CD" w:rsidRDefault="00B34863"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 xml:space="preserve">SUPREMO TRIBUNAL FEDERAL </w:t>
      </w:r>
    </w:p>
    <w:p w14:paraId="5F8AD51B" w14:textId="77777777" w:rsidR="00FE542E" w:rsidRPr="00D255CD" w:rsidRDefault="00FE542E" w:rsidP="00D255CD">
      <w:pPr>
        <w:spacing w:line="276" w:lineRule="auto"/>
        <w:jc w:val="both"/>
        <w:rPr>
          <w:rFonts w:ascii="Arial" w:hAnsi="Arial" w:cs="Arial"/>
          <w:color w:val="000000"/>
          <w:sz w:val="20"/>
          <w:szCs w:val="20"/>
          <w:shd w:val="clear" w:color="auto" w:fill="FFFFFF"/>
        </w:rPr>
      </w:pPr>
    </w:p>
    <w:p w14:paraId="1873A08B" w14:textId="431470E6" w:rsidR="003D48A6" w:rsidRPr="00D255CD" w:rsidRDefault="003D704E" w:rsidP="00D255CD">
      <w:pPr>
        <w:spacing w:line="276" w:lineRule="auto"/>
        <w:jc w:val="both"/>
        <w:rPr>
          <w:rFonts w:ascii="Arial" w:eastAsiaTheme="minorHAnsi" w:hAnsi="Arial" w:cs="Arial"/>
          <w:b/>
          <w:color w:val="000000"/>
          <w:sz w:val="20"/>
          <w:szCs w:val="20"/>
          <w:shd w:val="clear" w:color="auto" w:fill="FFFFFF"/>
          <w:lang w:eastAsia="en-US"/>
        </w:rPr>
      </w:pPr>
      <w:bookmarkStart w:id="2" w:name="_Hlk11860758"/>
      <w:bookmarkStart w:id="3" w:name="_Hlk5027767"/>
      <w:r w:rsidRPr="00D255CD">
        <w:rPr>
          <w:rFonts w:ascii="Arial" w:hAnsi="Arial" w:cs="Arial"/>
          <w:b/>
          <w:color w:val="000000"/>
          <w:sz w:val="20"/>
          <w:szCs w:val="20"/>
          <w:shd w:val="clear" w:color="auto" w:fill="FFFFFF"/>
        </w:rPr>
        <w:t xml:space="preserve">4. </w:t>
      </w:r>
      <w:bookmarkEnd w:id="2"/>
      <w:r w:rsidR="00DD6D0C" w:rsidRPr="00D255CD">
        <w:rPr>
          <w:rFonts w:ascii="Arial" w:eastAsiaTheme="minorHAnsi" w:hAnsi="Arial" w:cs="Arial"/>
          <w:b/>
          <w:color w:val="000000"/>
          <w:sz w:val="20"/>
          <w:szCs w:val="20"/>
          <w:shd w:val="clear" w:color="auto" w:fill="FFFFFF"/>
          <w:lang w:eastAsia="en-US"/>
        </w:rPr>
        <w:t xml:space="preserve">Recurso Extraordinário. </w:t>
      </w:r>
      <w:r w:rsidR="00DD6D0C" w:rsidRPr="00D255CD">
        <w:rPr>
          <w:rFonts w:ascii="Arial" w:eastAsiaTheme="minorHAnsi" w:hAnsi="Arial" w:cs="Arial"/>
          <w:b/>
          <w:color w:val="000000"/>
          <w:sz w:val="20"/>
          <w:szCs w:val="20"/>
          <w:shd w:val="clear" w:color="auto" w:fill="FFFFFF"/>
          <w:lang w:eastAsia="en-US"/>
        </w:rPr>
        <w:t>Lei estadual 12.131/2004</w:t>
      </w:r>
      <w:r w:rsidR="00DD6D0C" w:rsidRPr="00D255CD">
        <w:rPr>
          <w:rFonts w:ascii="Arial" w:eastAsiaTheme="minorHAnsi" w:hAnsi="Arial" w:cs="Arial"/>
          <w:b/>
          <w:color w:val="000000"/>
          <w:sz w:val="20"/>
          <w:szCs w:val="20"/>
          <w:shd w:val="clear" w:color="auto" w:fill="FFFFFF"/>
          <w:lang w:eastAsia="en-US"/>
        </w:rPr>
        <w:t xml:space="preserve">, Rio Grande do Sul. </w:t>
      </w:r>
      <w:r w:rsidR="00DD6D0C" w:rsidRPr="00D255CD">
        <w:rPr>
          <w:rFonts w:ascii="Arial" w:eastAsiaTheme="minorHAnsi" w:hAnsi="Arial" w:cs="Arial"/>
          <w:b/>
          <w:color w:val="000000"/>
          <w:sz w:val="20"/>
          <w:szCs w:val="20"/>
          <w:shd w:val="clear" w:color="auto" w:fill="FFFFFF"/>
          <w:lang w:eastAsia="en-US"/>
        </w:rPr>
        <w:t>Código Estadual de Proteção aos Animai</w:t>
      </w:r>
      <w:r w:rsidR="00DD6D0C" w:rsidRPr="00D255CD">
        <w:rPr>
          <w:rFonts w:ascii="Arial" w:eastAsiaTheme="minorHAnsi" w:hAnsi="Arial" w:cs="Arial"/>
          <w:b/>
          <w:color w:val="000000"/>
          <w:sz w:val="20"/>
          <w:szCs w:val="20"/>
          <w:shd w:val="clear" w:color="auto" w:fill="FFFFFF"/>
          <w:lang w:eastAsia="en-US"/>
        </w:rPr>
        <w:t xml:space="preserve">s. </w:t>
      </w:r>
      <w:r w:rsidR="008237A8" w:rsidRPr="00D255CD">
        <w:rPr>
          <w:rFonts w:ascii="Arial" w:eastAsiaTheme="minorHAnsi" w:hAnsi="Arial" w:cs="Arial"/>
          <w:b/>
          <w:color w:val="000000"/>
          <w:sz w:val="20"/>
          <w:szCs w:val="20"/>
          <w:shd w:val="clear" w:color="auto" w:fill="FFFFFF"/>
          <w:lang w:eastAsia="en-US"/>
        </w:rPr>
        <w:t xml:space="preserve">Sacrifício </w:t>
      </w:r>
      <w:r w:rsidR="00DD6D0C" w:rsidRPr="00D255CD">
        <w:rPr>
          <w:rFonts w:ascii="Arial" w:eastAsiaTheme="minorHAnsi" w:hAnsi="Arial" w:cs="Arial"/>
          <w:b/>
          <w:color w:val="000000"/>
          <w:sz w:val="20"/>
          <w:szCs w:val="20"/>
          <w:shd w:val="clear" w:color="auto" w:fill="FFFFFF"/>
          <w:lang w:eastAsia="en-US"/>
        </w:rPr>
        <w:t>ritual de animais em cultos de religiões de matriz africana</w:t>
      </w:r>
      <w:r w:rsidR="00DD6D0C" w:rsidRPr="00D255CD">
        <w:rPr>
          <w:rFonts w:ascii="Arial" w:eastAsiaTheme="minorHAnsi" w:hAnsi="Arial" w:cs="Arial"/>
          <w:b/>
          <w:color w:val="000000"/>
          <w:sz w:val="20"/>
          <w:szCs w:val="20"/>
          <w:shd w:val="clear" w:color="auto" w:fill="FFFFFF"/>
          <w:lang w:eastAsia="en-US"/>
        </w:rPr>
        <w:t>.</w:t>
      </w:r>
      <w:r w:rsidR="008237A8" w:rsidRPr="00D255CD">
        <w:rPr>
          <w:rFonts w:ascii="Arial" w:eastAsiaTheme="minorHAnsi" w:hAnsi="Arial" w:cs="Arial"/>
          <w:b/>
          <w:color w:val="000000"/>
          <w:sz w:val="20"/>
          <w:szCs w:val="20"/>
          <w:shd w:val="clear" w:color="auto" w:fill="FFFFFF"/>
          <w:lang w:eastAsia="en-US"/>
        </w:rPr>
        <w:t xml:space="preserve"> Permissão. Constitucionalidade.</w:t>
      </w:r>
    </w:p>
    <w:p w14:paraId="63580A57" w14:textId="77777777" w:rsidR="003D48A6" w:rsidRPr="00D255CD" w:rsidRDefault="003D48A6" w:rsidP="00D255CD">
      <w:pPr>
        <w:spacing w:line="276" w:lineRule="auto"/>
        <w:jc w:val="both"/>
        <w:rPr>
          <w:rFonts w:ascii="Arial" w:eastAsiaTheme="minorHAnsi" w:hAnsi="Arial" w:cs="Arial"/>
          <w:b/>
          <w:color w:val="000000"/>
          <w:sz w:val="20"/>
          <w:szCs w:val="20"/>
          <w:shd w:val="clear" w:color="auto" w:fill="FFFFFF"/>
          <w:lang w:eastAsia="en-US"/>
        </w:rPr>
      </w:pPr>
    </w:p>
    <w:p w14:paraId="167CF6B9" w14:textId="77777777" w:rsidR="00DD6D0C" w:rsidRPr="00D255CD" w:rsidRDefault="00DD6D0C" w:rsidP="00D255CD">
      <w:pPr>
        <w:spacing w:line="276" w:lineRule="auto"/>
        <w:jc w:val="both"/>
        <w:rPr>
          <w:rFonts w:ascii="Arial" w:hAnsi="Arial" w:cs="Arial"/>
          <w:bCs/>
          <w:sz w:val="20"/>
          <w:szCs w:val="20"/>
        </w:rPr>
      </w:pPr>
      <w:r w:rsidRPr="00D255CD">
        <w:rPr>
          <w:rFonts w:ascii="Arial" w:hAnsi="Arial" w:cs="Arial"/>
          <w:bCs/>
          <w:sz w:val="20"/>
          <w:szCs w:val="20"/>
        </w:rPr>
        <w:t xml:space="preserve">O Tribunal, por maioria, negou provimento ao recurso extraordinário, nos termos do voto do Ministro Edson </w:t>
      </w:r>
      <w:proofErr w:type="spellStart"/>
      <w:r w:rsidRPr="00D255CD">
        <w:rPr>
          <w:rFonts w:ascii="Arial" w:hAnsi="Arial" w:cs="Arial"/>
          <w:bCs/>
          <w:sz w:val="20"/>
          <w:szCs w:val="20"/>
        </w:rPr>
        <w:t>Fachin</w:t>
      </w:r>
      <w:proofErr w:type="spellEnd"/>
      <w:r w:rsidRPr="00D255CD">
        <w:rPr>
          <w:rFonts w:ascii="Arial" w:hAnsi="Arial" w:cs="Arial"/>
          <w:bCs/>
          <w:sz w:val="20"/>
          <w:szCs w:val="20"/>
        </w:rPr>
        <w:t>, Redator para o acórdão, vencidos, em parte, os Ministros Marco Aurélio (Relator), Alexandre de Moraes e Gilmar Mendes, que também admitiam a constitucionalidade da lei, dando-lhe interpretação conforme. Em seguida, por maioria, fixou-se a seguinte tese: “É constitucional a lei de proteção animal que, a fim de resguardar a liberdade religiosa, permite o sacrifício ritual de animais em cultos de religiões de matriz africana”</w:t>
      </w:r>
      <w:r w:rsidRPr="00D255CD">
        <w:rPr>
          <w:rFonts w:ascii="Arial" w:hAnsi="Arial" w:cs="Arial"/>
          <w:bCs/>
          <w:sz w:val="20"/>
          <w:szCs w:val="20"/>
        </w:rPr>
        <w:t>.</w:t>
      </w:r>
    </w:p>
    <w:p w14:paraId="7C353FBC" w14:textId="3DB22AD6" w:rsidR="00967EE5" w:rsidRPr="00D255CD" w:rsidRDefault="00967EE5" w:rsidP="00D255CD">
      <w:pPr>
        <w:spacing w:line="276" w:lineRule="auto"/>
        <w:jc w:val="both"/>
        <w:rPr>
          <w:rFonts w:ascii="Arial" w:eastAsiaTheme="minorHAnsi" w:hAnsi="Arial" w:cs="Arial"/>
          <w:sz w:val="20"/>
          <w:szCs w:val="20"/>
        </w:rPr>
      </w:pPr>
      <w:r w:rsidRPr="00D255CD">
        <w:rPr>
          <w:rFonts w:ascii="Arial" w:eastAsiaTheme="minorHAnsi" w:hAnsi="Arial" w:cs="Arial"/>
          <w:sz w:val="20"/>
          <w:szCs w:val="20"/>
        </w:rPr>
        <w:br/>
      </w:r>
      <w:hyperlink r:id="rId11" w:history="1">
        <w:r w:rsidR="00DD6D0C" w:rsidRPr="00D255CD">
          <w:rPr>
            <w:rStyle w:val="Hyperlink"/>
            <w:rFonts w:ascii="Arial" w:hAnsi="Arial" w:cs="Arial"/>
            <w:bCs/>
            <w:sz w:val="20"/>
            <w:szCs w:val="20"/>
          </w:rPr>
          <w:t>RE 494601/RS</w:t>
        </w:r>
      </w:hyperlink>
      <w:r w:rsidR="00DD6D0C" w:rsidRPr="00D255CD">
        <w:rPr>
          <w:rFonts w:ascii="Arial" w:hAnsi="Arial" w:cs="Arial"/>
          <w:bCs/>
          <w:sz w:val="20"/>
          <w:szCs w:val="20"/>
        </w:rPr>
        <w:t xml:space="preserve">, rel. orig. Min. Marco Aurélio, red. p/ o ac. Min. Edson </w:t>
      </w:r>
      <w:proofErr w:type="spellStart"/>
      <w:r w:rsidR="00DD6D0C" w:rsidRPr="00D255CD">
        <w:rPr>
          <w:rFonts w:ascii="Arial" w:hAnsi="Arial" w:cs="Arial"/>
          <w:bCs/>
          <w:sz w:val="20"/>
          <w:szCs w:val="20"/>
        </w:rPr>
        <w:t>Fachin</w:t>
      </w:r>
      <w:proofErr w:type="spellEnd"/>
      <w:r w:rsidR="00DD6D0C" w:rsidRPr="00D255CD">
        <w:rPr>
          <w:rFonts w:ascii="Arial" w:hAnsi="Arial" w:cs="Arial"/>
          <w:bCs/>
          <w:sz w:val="20"/>
          <w:szCs w:val="20"/>
        </w:rPr>
        <w:t>, julgamento em 28.3.2019.</w:t>
      </w:r>
    </w:p>
    <w:bookmarkEnd w:id="3"/>
    <w:p w14:paraId="19CA102C" w14:textId="77777777" w:rsidR="002A365A" w:rsidRPr="00D255CD" w:rsidRDefault="002A365A" w:rsidP="00D255CD">
      <w:pPr>
        <w:spacing w:line="276" w:lineRule="auto"/>
        <w:jc w:val="both"/>
        <w:rPr>
          <w:rStyle w:val="Hyperlink"/>
          <w:rFonts w:ascii="Arial" w:hAnsi="Arial" w:cs="Arial"/>
          <w:b/>
          <w:color w:val="auto"/>
          <w:sz w:val="20"/>
          <w:szCs w:val="20"/>
          <w:u w:val="none"/>
        </w:rPr>
      </w:pPr>
    </w:p>
    <w:p w14:paraId="77DB263F" w14:textId="77777777" w:rsidR="00B34863" w:rsidRPr="00D255CD" w:rsidRDefault="00B34863" w:rsidP="00D255CD">
      <w:pPr>
        <w:shd w:val="pct10" w:color="auto" w:fill="auto"/>
        <w:spacing w:line="276" w:lineRule="auto"/>
        <w:jc w:val="center"/>
        <w:rPr>
          <w:rFonts w:ascii="Arial" w:hAnsi="Arial" w:cs="Arial"/>
          <w:b/>
          <w:sz w:val="20"/>
          <w:szCs w:val="20"/>
        </w:rPr>
      </w:pPr>
      <w:r w:rsidRPr="00D255CD">
        <w:rPr>
          <w:rFonts w:ascii="Arial" w:hAnsi="Arial" w:cs="Arial"/>
          <w:b/>
          <w:sz w:val="20"/>
          <w:szCs w:val="20"/>
        </w:rPr>
        <w:t xml:space="preserve">SUPERIOR TRIBUNAL DE JUSTIÇA </w:t>
      </w:r>
    </w:p>
    <w:p w14:paraId="2D573CEB" w14:textId="77777777" w:rsidR="009149FD" w:rsidRPr="00D255CD" w:rsidRDefault="009149FD" w:rsidP="00D255CD">
      <w:pPr>
        <w:spacing w:line="276" w:lineRule="auto"/>
        <w:jc w:val="both"/>
        <w:rPr>
          <w:rFonts w:ascii="Arial" w:hAnsi="Arial" w:cs="Arial"/>
          <w:b/>
          <w:color w:val="000000"/>
          <w:sz w:val="20"/>
          <w:szCs w:val="20"/>
          <w:shd w:val="clear" w:color="auto" w:fill="FFFFFF"/>
        </w:rPr>
      </w:pPr>
    </w:p>
    <w:p w14:paraId="2F309F4E" w14:textId="45F5CA51" w:rsidR="008237A8" w:rsidRPr="00D255CD" w:rsidRDefault="0080743C" w:rsidP="00D255CD">
      <w:pPr>
        <w:spacing w:line="276" w:lineRule="auto"/>
        <w:jc w:val="both"/>
        <w:rPr>
          <w:rFonts w:ascii="Arial" w:hAnsi="Arial" w:cs="Arial"/>
          <w:b/>
          <w:color w:val="000000"/>
          <w:sz w:val="20"/>
          <w:szCs w:val="20"/>
          <w:shd w:val="clear" w:color="auto" w:fill="FFFFFF"/>
        </w:rPr>
      </w:pPr>
      <w:bookmarkStart w:id="4" w:name="_Hlk11860784"/>
      <w:r w:rsidRPr="00D255CD">
        <w:rPr>
          <w:rFonts w:ascii="Arial" w:hAnsi="Arial" w:cs="Arial"/>
          <w:b/>
          <w:color w:val="000000"/>
          <w:sz w:val="20"/>
          <w:szCs w:val="20"/>
          <w:shd w:val="clear" w:color="auto" w:fill="FFFFFF"/>
        </w:rPr>
        <w:t>5</w:t>
      </w:r>
      <w:r w:rsidR="008B750A" w:rsidRPr="00D255CD">
        <w:rPr>
          <w:rFonts w:ascii="Arial" w:hAnsi="Arial" w:cs="Arial"/>
          <w:b/>
          <w:color w:val="000000"/>
          <w:sz w:val="20"/>
          <w:szCs w:val="20"/>
          <w:shd w:val="clear" w:color="auto" w:fill="FFFFFF"/>
        </w:rPr>
        <w:t xml:space="preserve">. </w:t>
      </w:r>
      <w:bookmarkEnd w:id="4"/>
      <w:r w:rsidR="00D255CD" w:rsidRPr="00D255CD">
        <w:rPr>
          <w:rFonts w:ascii="Arial" w:hAnsi="Arial" w:cs="Arial"/>
          <w:b/>
          <w:color w:val="000000"/>
          <w:sz w:val="20"/>
          <w:szCs w:val="20"/>
          <w:shd w:val="clear" w:color="auto" w:fill="FFFFFF"/>
        </w:rPr>
        <w:t>Processo civil. Recurso especial. Ambiental. Apreensão de veículo. Transporte de aves silvestres sem autorização. Revisão da jurisprudência. Comprovação da utilização específica e exclusiva do bem na prática do ilícito ambiental. Desnecessidade. Efeito dissuasório da legislação. Recrudescimento da atividade fiscalizatória. Recurso provido</w:t>
      </w:r>
      <w:r w:rsidR="008237A8" w:rsidRPr="00D255CD">
        <w:rPr>
          <w:rFonts w:ascii="Arial" w:hAnsi="Arial" w:cs="Arial"/>
          <w:b/>
          <w:color w:val="000000"/>
          <w:sz w:val="20"/>
          <w:szCs w:val="20"/>
          <w:shd w:val="clear" w:color="auto" w:fill="FFFFFF"/>
        </w:rPr>
        <w:t>.</w:t>
      </w:r>
    </w:p>
    <w:p w14:paraId="4160D630" w14:textId="77777777" w:rsidR="00D255CD" w:rsidRPr="00D255CD" w:rsidRDefault="00D255CD" w:rsidP="00D255CD">
      <w:pPr>
        <w:spacing w:line="276" w:lineRule="auto"/>
        <w:jc w:val="both"/>
        <w:rPr>
          <w:rFonts w:ascii="Arial" w:hAnsi="Arial" w:cs="Arial"/>
          <w:bCs/>
          <w:sz w:val="20"/>
          <w:szCs w:val="20"/>
        </w:rPr>
      </w:pPr>
      <w:bookmarkStart w:id="5" w:name="_GoBack"/>
      <w:bookmarkEnd w:id="5"/>
    </w:p>
    <w:p w14:paraId="775C2F94" w14:textId="015F5587" w:rsidR="008237A8" w:rsidRPr="00D255CD" w:rsidRDefault="008237A8" w:rsidP="00D255CD">
      <w:pPr>
        <w:spacing w:line="276" w:lineRule="auto"/>
        <w:jc w:val="both"/>
        <w:rPr>
          <w:rFonts w:ascii="Arial" w:hAnsi="Arial" w:cs="Arial"/>
          <w:bCs/>
          <w:sz w:val="20"/>
          <w:szCs w:val="20"/>
        </w:rPr>
      </w:pPr>
      <w:r w:rsidRPr="00D255CD">
        <w:rPr>
          <w:rFonts w:ascii="Arial" w:hAnsi="Arial" w:cs="Arial"/>
          <w:bCs/>
          <w:sz w:val="20"/>
          <w:szCs w:val="20"/>
        </w:rPr>
        <w:t>1. A efetividade da política de preservação do meio ambiente, especialmente no momento em que a comunidade internacional lança os olhos sobre o papel das autoridades públicas brasileiras no exercício de tal mister, atrai para o Judiciário o dever de interpretar a legislação à luz de tal realidade, recrudescendo a proteção ambiental e a correspondente atividade fiscalizatória.</w:t>
      </w:r>
    </w:p>
    <w:p w14:paraId="67C28908" w14:textId="77777777" w:rsidR="00D255CD" w:rsidRPr="00D255CD" w:rsidRDefault="00D255CD" w:rsidP="00D255CD">
      <w:pPr>
        <w:spacing w:line="276" w:lineRule="auto"/>
        <w:jc w:val="both"/>
        <w:rPr>
          <w:rFonts w:ascii="Arial" w:hAnsi="Arial" w:cs="Arial"/>
          <w:bCs/>
          <w:sz w:val="20"/>
          <w:szCs w:val="20"/>
        </w:rPr>
      </w:pPr>
    </w:p>
    <w:p w14:paraId="269A279B" w14:textId="3B05C77B" w:rsidR="008237A8" w:rsidRPr="00D255CD" w:rsidRDefault="008237A8" w:rsidP="00D255CD">
      <w:pPr>
        <w:spacing w:line="276" w:lineRule="auto"/>
        <w:jc w:val="both"/>
        <w:rPr>
          <w:rFonts w:ascii="Arial" w:hAnsi="Arial" w:cs="Arial"/>
          <w:bCs/>
          <w:sz w:val="20"/>
          <w:szCs w:val="20"/>
        </w:rPr>
      </w:pPr>
      <w:r w:rsidRPr="00D255CD">
        <w:rPr>
          <w:rFonts w:ascii="Arial" w:hAnsi="Arial" w:cs="Arial"/>
          <w:bCs/>
          <w:sz w:val="20"/>
          <w:szCs w:val="20"/>
        </w:rPr>
        <w:lastRenderedPageBreak/>
        <w:t>2. Merece ser superada a orientação jurisprudencial desta Corte Superior que condiciona a apreensão de veículos utilizados na prática de infração ambiental à comprovação de que os bens sejam específica e exclusivamente empregados na atividade ilícita.</w:t>
      </w:r>
    </w:p>
    <w:p w14:paraId="54FC6664" w14:textId="77777777" w:rsidR="00D255CD" w:rsidRPr="00D255CD" w:rsidRDefault="00D255CD" w:rsidP="00D255CD">
      <w:pPr>
        <w:spacing w:line="276" w:lineRule="auto"/>
        <w:jc w:val="both"/>
        <w:rPr>
          <w:rFonts w:ascii="Arial" w:hAnsi="Arial" w:cs="Arial"/>
          <w:bCs/>
          <w:sz w:val="20"/>
          <w:szCs w:val="20"/>
        </w:rPr>
      </w:pPr>
    </w:p>
    <w:p w14:paraId="02EE37A9" w14:textId="2D0FDF75" w:rsidR="008237A8" w:rsidRPr="00D255CD" w:rsidRDefault="008237A8" w:rsidP="00D255CD">
      <w:pPr>
        <w:spacing w:line="276" w:lineRule="auto"/>
        <w:jc w:val="both"/>
        <w:rPr>
          <w:rFonts w:ascii="Arial" w:hAnsi="Arial" w:cs="Arial"/>
          <w:bCs/>
          <w:sz w:val="20"/>
          <w:szCs w:val="20"/>
        </w:rPr>
      </w:pPr>
      <w:r w:rsidRPr="00D255CD">
        <w:rPr>
          <w:rFonts w:ascii="Arial" w:hAnsi="Arial" w:cs="Arial"/>
          <w:bCs/>
          <w:sz w:val="20"/>
          <w:szCs w:val="20"/>
        </w:rPr>
        <w:t xml:space="preserve">3. Os </w:t>
      </w:r>
      <w:proofErr w:type="spellStart"/>
      <w:r w:rsidRPr="00D255CD">
        <w:rPr>
          <w:rFonts w:ascii="Arial" w:hAnsi="Arial" w:cs="Arial"/>
          <w:bCs/>
          <w:sz w:val="20"/>
          <w:szCs w:val="20"/>
        </w:rPr>
        <w:t>arts</w:t>
      </w:r>
      <w:proofErr w:type="spellEnd"/>
      <w:r w:rsidRPr="00D255CD">
        <w:rPr>
          <w:rFonts w:ascii="Arial" w:hAnsi="Arial" w:cs="Arial"/>
          <w:bCs/>
          <w:sz w:val="20"/>
          <w:szCs w:val="20"/>
        </w:rPr>
        <w:t>. 25 e 72, IV, da Lei n. 9.605/1998 estabelecem como efeito imediato da infração a apreensão dos bens e instrumentos utilizados na prática do ilícito ambiental. A exigência de requisito não expressamente previsto na legislação de regência para a aplicação dessas sanções compromete a eficácia dissuasória inerente à medida, consistindo em incentivo, sob a perspectiva da teoria econômica do crime, às condutas lesivas ao meio ambiente.</w:t>
      </w:r>
    </w:p>
    <w:p w14:paraId="4353E170" w14:textId="77777777" w:rsidR="00D255CD" w:rsidRPr="00D255CD" w:rsidRDefault="00D255CD" w:rsidP="00D255CD">
      <w:pPr>
        <w:spacing w:line="276" w:lineRule="auto"/>
        <w:jc w:val="both"/>
        <w:rPr>
          <w:rFonts w:ascii="Arial" w:hAnsi="Arial" w:cs="Arial"/>
          <w:bCs/>
          <w:sz w:val="20"/>
          <w:szCs w:val="20"/>
        </w:rPr>
      </w:pPr>
    </w:p>
    <w:p w14:paraId="07D9F36A" w14:textId="71F0F0D4" w:rsidR="008237A8" w:rsidRPr="00D255CD" w:rsidRDefault="008237A8" w:rsidP="00D255CD">
      <w:pPr>
        <w:spacing w:line="276" w:lineRule="auto"/>
        <w:jc w:val="both"/>
        <w:rPr>
          <w:rFonts w:ascii="Arial" w:hAnsi="Arial" w:cs="Arial"/>
          <w:bCs/>
          <w:sz w:val="20"/>
          <w:szCs w:val="20"/>
        </w:rPr>
      </w:pPr>
      <w:r w:rsidRPr="00D255CD">
        <w:rPr>
          <w:rFonts w:ascii="Arial" w:hAnsi="Arial" w:cs="Arial"/>
          <w:bCs/>
          <w:sz w:val="20"/>
          <w:szCs w:val="20"/>
        </w:rPr>
        <w:t>4. No caso, o veículo foi apreendido por Fiscal do Ibama por ter realizado o transporte de animais silvestres sem a devida autorização ambiental, sendo de rigor a apreensão do bem, nos termos da legislação ambiental.</w:t>
      </w:r>
    </w:p>
    <w:p w14:paraId="02F81A95" w14:textId="77777777" w:rsidR="00D255CD" w:rsidRPr="00D255CD" w:rsidRDefault="00D255CD" w:rsidP="00D255CD">
      <w:pPr>
        <w:spacing w:line="276" w:lineRule="auto"/>
        <w:jc w:val="both"/>
        <w:rPr>
          <w:rFonts w:ascii="Arial" w:hAnsi="Arial" w:cs="Arial"/>
          <w:bCs/>
          <w:sz w:val="20"/>
          <w:szCs w:val="20"/>
        </w:rPr>
      </w:pPr>
    </w:p>
    <w:p w14:paraId="4F5BD2A5" w14:textId="03FC593D" w:rsidR="008237A8" w:rsidRPr="00D255CD" w:rsidRDefault="008237A8" w:rsidP="00D255CD">
      <w:pPr>
        <w:spacing w:line="276" w:lineRule="auto"/>
        <w:jc w:val="both"/>
        <w:rPr>
          <w:rFonts w:ascii="Arial" w:hAnsi="Arial" w:cs="Arial"/>
          <w:bCs/>
          <w:sz w:val="20"/>
          <w:szCs w:val="20"/>
        </w:rPr>
      </w:pPr>
      <w:r w:rsidRPr="00D255CD">
        <w:rPr>
          <w:rFonts w:ascii="Arial" w:hAnsi="Arial" w:cs="Arial"/>
          <w:bCs/>
          <w:sz w:val="20"/>
          <w:szCs w:val="20"/>
        </w:rPr>
        <w:t>5. Recurso especial a que se dá provimento.</w:t>
      </w:r>
    </w:p>
    <w:p w14:paraId="1F29EE01" w14:textId="77777777" w:rsidR="00D255CD" w:rsidRPr="00D255CD" w:rsidRDefault="00D255CD" w:rsidP="00D255CD">
      <w:pPr>
        <w:spacing w:line="276" w:lineRule="auto"/>
        <w:jc w:val="both"/>
        <w:rPr>
          <w:rFonts w:ascii="Arial" w:hAnsi="Arial" w:cs="Arial"/>
          <w:bCs/>
          <w:sz w:val="20"/>
          <w:szCs w:val="20"/>
        </w:rPr>
      </w:pPr>
    </w:p>
    <w:p w14:paraId="625490BD" w14:textId="44F9C6B8" w:rsidR="00A54810" w:rsidRPr="00D255CD" w:rsidRDefault="00D255CD" w:rsidP="00D255CD">
      <w:pPr>
        <w:spacing w:line="276" w:lineRule="auto"/>
        <w:jc w:val="both"/>
        <w:rPr>
          <w:rFonts w:ascii="Arial" w:hAnsi="Arial" w:cs="Arial"/>
          <w:bCs/>
          <w:sz w:val="20"/>
          <w:szCs w:val="20"/>
        </w:rPr>
      </w:pPr>
      <w:hyperlink r:id="rId12" w:history="1">
        <w:proofErr w:type="spellStart"/>
        <w:r w:rsidR="008237A8" w:rsidRPr="00D255CD">
          <w:rPr>
            <w:rStyle w:val="Hyperlink"/>
            <w:rFonts w:ascii="Arial" w:hAnsi="Arial" w:cs="Arial"/>
            <w:bCs/>
            <w:sz w:val="20"/>
            <w:szCs w:val="20"/>
          </w:rPr>
          <w:t>REsp</w:t>
        </w:r>
        <w:proofErr w:type="spellEnd"/>
        <w:r w:rsidR="008237A8" w:rsidRPr="00D255CD">
          <w:rPr>
            <w:rStyle w:val="Hyperlink"/>
            <w:rFonts w:ascii="Arial" w:hAnsi="Arial" w:cs="Arial"/>
            <w:bCs/>
            <w:sz w:val="20"/>
            <w:szCs w:val="20"/>
          </w:rPr>
          <w:t xml:space="preserve"> 1820640/PE</w:t>
        </w:r>
      </w:hyperlink>
      <w:r w:rsidR="008237A8" w:rsidRPr="00D255CD">
        <w:rPr>
          <w:rFonts w:ascii="Arial" w:hAnsi="Arial" w:cs="Arial"/>
          <w:bCs/>
          <w:sz w:val="20"/>
          <w:szCs w:val="20"/>
        </w:rPr>
        <w:t xml:space="preserve">, Rel. Ministro OG FERNANDES, SEGUNDA TURMA, julgado em 01/10/2019, </w:t>
      </w:r>
      <w:proofErr w:type="spellStart"/>
      <w:r w:rsidR="008237A8" w:rsidRPr="00D255CD">
        <w:rPr>
          <w:rFonts w:ascii="Arial" w:hAnsi="Arial" w:cs="Arial"/>
          <w:bCs/>
          <w:sz w:val="20"/>
          <w:szCs w:val="20"/>
        </w:rPr>
        <w:t>DJe</w:t>
      </w:r>
      <w:proofErr w:type="spellEnd"/>
      <w:r w:rsidR="008237A8" w:rsidRPr="00D255CD">
        <w:rPr>
          <w:rFonts w:ascii="Arial" w:hAnsi="Arial" w:cs="Arial"/>
          <w:bCs/>
          <w:sz w:val="20"/>
          <w:szCs w:val="20"/>
        </w:rPr>
        <w:t xml:space="preserve"> 09/10/2019</w:t>
      </w:r>
      <w:r w:rsidRPr="00D255CD">
        <w:rPr>
          <w:rFonts w:ascii="Arial" w:hAnsi="Arial" w:cs="Arial"/>
          <w:bCs/>
          <w:sz w:val="20"/>
          <w:szCs w:val="20"/>
        </w:rPr>
        <w:t>.</w:t>
      </w:r>
    </w:p>
    <w:p w14:paraId="57EBC30A" w14:textId="77777777" w:rsidR="00D255CD" w:rsidRPr="00D255CD" w:rsidRDefault="00D255CD" w:rsidP="00D255CD">
      <w:pPr>
        <w:pStyle w:val="Pr-formataoHTML"/>
        <w:shd w:val="clear" w:color="auto" w:fill="FFFFFF"/>
        <w:spacing w:line="276" w:lineRule="auto"/>
        <w:jc w:val="both"/>
        <w:rPr>
          <w:rFonts w:ascii="Arial" w:hAnsi="Arial" w:cs="Arial"/>
        </w:rPr>
      </w:pPr>
    </w:p>
    <w:p w14:paraId="14A79721" w14:textId="77777777" w:rsidR="00543DF0" w:rsidRPr="00D255CD" w:rsidRDefault="00543DF0" w:rsidP="00D255CD">
      <w:pPr>
        <w:pStyle w:val="Default"/>
        <w:spacing w:line="276" w:lineRule="auto"/>
        <w:jc w:val="both"/>
        <w:rPr>
          <w:b/>
          <w:sz w:val="20"/>
          <w:szCs w:val="20"/>
        </w:rPr>
      </w:pPr>
      <w:r w:rsidRPr="00D255CD">
        <w:rPr>
          <w:b/>
          <w:sz w:val="20"/>
          <w:szCs w:val="20"/>
        </w:rPr>
        <w:t xml:space="preserve">Acesse também: </w:t>
      </w:r>
    </w:p>
    <w:p w14:paraId="7C5D90F2" w14:textId="77777777" w:rsidR="0002789E" w:rsidRPr="00D255CD" w:rsidRDefault="00D255CD" w:rsidP="00D255CD">
      <w:pPr>
        <w:pStyle w:val="Default"/>
        <w:spacing w:line="276" w:lineRule="auto"/>
        <w:jc w:val="center"/>
        <w:rPr>
          <w:rStyle w:val="Hyperlink"/>
          <w:sz w:val="20"/>
          <w:szCs w:val="20"/>
        </w:rPr>
      </w:pPr>
      <w:hyperlink r:id="rId13" w:history="1">
        <w:r w:rsidR="0002789E" w:rsidRPr="00D255CD">
          <w:rPr>
            <w:rStyle w:val="Hyperlink"/>
            <w:b/>
            <w:sz w:val="20"/>
            <w:szCs w:val="20"/>
          </w:rPr>
          <w:t>Pesquisas Prontas</w:t>
        </w:r>
      </w:hyperlink>
    </w:p>
    <w:p w14:paraId="2C8E8A74" w14:textId="77777777" w:rsidR="0002789E" w:rsidRPr="00D255CD" w:rsidRDefault="0002789E" w:rsidP="00D255CD">
      <w:pPr>
        <w:pStyle w:val="Default"/>
        <w:spacing w:line="276" w:lineRule="auto"/>
        <w:jc w:val="center"/>
        <w:rPr>
          <w:rStyle w:val="Hyperlink"/>
          <w:b/>
          <w:sz w:val="20"/>
          <w:szCs w:val="20"/>
        </w:rPr>
      </w:pPr>
    </w:p>
    <w:p w14:paraId="73624566" w14:textId="77777777" w:rsidR="0002789E" w:rsidRPr="00D255CD" w:rsidRDefault="00D255CD" w:rsidP="00D255CD">
      <w:pPr>
        <w:pStyle w:val="Default"/>
        <w:spacing w:line="276" w:lineRule="auto"/>
        <w:jc w:val="center"/>
        <w:rPr>
          <w:rStyle w:val="Hyperlink"/>
          <w:b/>
          <w:sz w:val="20"/>
          <w:szCs w:val="20"/>
        </w:rPr>
      </w:pPr>
      <w:hyperlink r:id="rId14" w:history="1">
        <w:r w:rsidR="0002789E" w:rsidRPr="00D255CD">
          <w:rPr>
            <w:rStyle w:val="Hyperlink"/>
            <w:b/>
            <w:sz w:val="20"/>
            <w:szCs w:val="20"/>
          </w:rPr>
          <w:t>Boletim Informativo de Jurisprudência</w:t>
        </w:r>
      </w:hyperlink>
    </w:p>
    <w:p w14:paraId="1C0D6247" w14:textId="77777777" w:rsidR="0002789E" w:rsidRPr="00D255CD" w:rsidRDefault="0002789E" w:rsidP="00D255CD">
      <w:pPr>
        <w:pStyle w:val="Default"/>
        <w:spacing w:line="276" w:lineRule="auto"/>
        <w:jc w:val="center"/>
        <w:rPr>
          <w:rStyle w:val="Hyperlink"/>
          <w:b/>
          <w:sz w:val="20"/>
          <w:szCs w:val="20"/>
        </w:rPr>
      </w:pPr>
    </w:p>
    <w:p w14:paraId="487FF9F6" w14:textId="77777777" w:rsidR="0002789E" w:rsidRPr="00D255CD" w:rsidRDefault="00D255CD" w:rsidP="00D255CD">
      <w:pPr>
        <w:pStyle w:val="Default"/>
        <w:spacing w:line="276" w:lineRule="auto"/>
        <w:jc w:val="center"/>
        <w:rPr>
          <w:sz w:val="20"/>
          <w:szCs w:val="20"/>
        </w:rPr>
      </w:pPr>
      <w:hyperlink r:id="rId15" w:history="1">
        <w:proofErr w:type="spellStart"/>
        <w:r w:rsidR="0002789E" w:rsidRPr="00D255CD">
          <w:rPr>
            <w:rStyle w:val="Hyperlink"/>
            <w:b/>
            <w:sz w:val="20"/>
            <w:szCs w:val="20"/>
          </w:rPr>
          <w:t>Interjuris</w:t>
        </w:r>
        <w:proofErr w:type="spellEnd"/>
      </w:hyperlink>
    </w:p>
    <w:p w14:paraId="70A526BC" w14:textId="77777777" w:rsidR="0002789E" w:rsidRPr="00D255CD" w:rsidRDefault="0002789E" w:rsidP="00D255CD">
      <w:pPr>
        <w:pStyle w:val="Default"/>
        <w:spacing w:line="276" w:lineRule="auto"/>
        <w:jc w:val="center"/>
        <w:rPr>
          <w:sz w:val="20"/>
          <w:szCs w:val="20"/>
        </w:rPr>
      </w:pPr>
    </w:p>
    <w:p w14:paraId="0ACBE85F" w14:textId="77777777" w:rsidR="0002789E" w:rsidRPr="00D255CD" w:rsidRDefault="00D255CD" w:rsidP="00D255CD">
      <w:pPr>
        <w:pStyle w:val="Default"/>
        <w:spacing w:line="276" w:lineRule="auto"/>
        <w:jc w:val="center"/>
        <w:rPr>
          <w:rStyle w:val="Hyperlink"/>
          <w:b/>
          <w:sz w:val="20"/>
          <w:szCs w:val="20"/>
        </w:rPr>
      </w:pPr>
      <w:hyperlink r:id="rId16" w:history="1">
        <w:r w:rsidR="0002789E" w:rsidRPr="00D255CD">
          <w:rPr>
            <w:rStyle w:val="Hyperlink"/>
            <w:b/>
            <w:sz w:val="20"/>
            <w:szCs w:val="20"/>
          </w:rPr>
          <w:t>Repercussão Geral do Supremo Tribunal Federal - STF e os Tribunais de Contas</w:t>
        </w:r>
      </w:hyperlink>
    </w:p>
    <w:p w14:paraId="4B9E318B" w14:textId="77777777" w:rsidR="0002789E" w:rsidRPr="00D255CD" w:rsidRDefault="0002789E" w:rsidP="00D255CD">
      <w:pPr>
        <w:pStyle w:val="Default"/>
        <w:spacing w:line="276" w:lineRule="auto"/>
        <w:jc w:val="center"/>
        <w:rPr>
          <w:rStyle w:val="Hyperlink"/>
          <w:b/>
          <w:sz w:val="20"/>
          <w:szCs w:val="20"/>
        </w:rPr>
      </w:pPr>
    </w:p>
    <w:p w14:paraId="0EDF81B5" w14:textId="77777777" w:rsidR="0002789E" w:rsidRPr="00D255CD" w:rsidRDefault="00D255CD" w:rsidP="00D255CD">
      <w:pPr>
        <w:pStyle w:val="Default"/>
        <w:spacing w:line="276" w:lineRule="auto"/>
        <w:jc w:val="center"/>
        <w:rPr>
          <w:rStyle w:val="Hyperlink"/>
          <w:b/>
          <w:sz w:val="20"/>
          <w:szCs w:val="20"/>
        </w:rPr>
      </w:pPr>
      <w:hyperlink r:id="rId17" w:history="1">
        <w:r w:rsidR="0002789E" w:rsidRPr="00D255CD">
          <w:rPr>
            <w:rStyle w:val="Hyperlink"/>
            <w:b/>
            <w:sz w:val="20"/>
            <w:szCs w:val="20"/>
          </w:rPr>
          <w:t>Súmulas Selecionadas</w:t>
        </w:r>
      </w:hyperlink>
    </w:p>
    <w:p w14:paraId="2F7FB8EC" w14:textId="77777777" w:rsidR="00270E2F" w:rsidRPr="00D255CD" w:rsidRDefault="00270E2F" w:rsidP="00D255CD">
      <w:pPr>
        <w:pStyle w:val="TCU-Epgrafe"/>
        <w:spacing w:line="276" w:lineRule="auto"/>
        <w:ind w:left="0"/>
        <w:rPr>
          <w:rFonts w:ascii="Arial" w:hAnsi="Arial" w:cs="Arial"/>
          <w:sz w:val="20"/>
        </w:rPr>
      </w:pPr>
      <w:r w:rsidRPr="00D255CD">
        <w:rPr>
          <w:rFonts w:ascii="Arial" w:hAnsi="Arial" w:cs="Arial"/>
          <w:noProof/>
          <w:sz w:val="20"/>
        </w:rPr>
        <mc:AlternateContent>
          <mc:Choice Requires="wps">
            <w:drawing>
              <wp:anchor distT="0" distB="0" distL="114300" distR="114300" simplePos="0" relativeHeight="251664896" behindDoc="0" locked="0" layoutInCell="1" allowOverlap="1" wp14:anchorId="0C935BE1" wp14:editId="0C3872BA">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1E60A1A" w14:textId="77777777" w:rsidR="00984E8B" w:rsidRPr="00D255CD" w:rsidRDefault="00984E8B" w:rsidP="00D255CD">
      <w:pPr>
        <w:spacing w:line="276" w:lineRule="auto"/>
        <w:jc w:val="center"/>
        <w:rPr>
          <w:rStyle w:val="Hyperlink"/>
          <w:rFonts w:ascii="Arial" w:hAnsi="Arial" w:cs="Arial"/>
          <w:i/>
          <w:color w:val="000000" w:themeColor="text1"/>
          <w:sz w:val="20"/>
          <w:szCs w:val="20"/>
          <w:u w:val="none"/>
        </w:rPr>
      </w:pPr>
    </w:p>
    <w:p w14:paraId="011E7585" w14:textId="77777777" w:rsidR="00DB558E" w:rsidRPr="00D255CD" w:rsidRDefault="00DB558E" w:rsidP="00D255CD">
      <w:pPr>
        <w:spacing w:line="276" w:lineRule="auto"/>
        <w:jc w:val="center"/>
        <w:rPr>
          <w:rFonts w:ascii="Arial" w:hAnsi="Arial" w:cs="Arial"/>
          <w:b/>
          <w:sz w:val="20"/>
          <w:szCs w:val="20"/>
        </w:rPr>
      </w:pPr>
      <w:r w:rsidRPr="00D255CD">
        <w:rPr>
          <w:rStyle w:val="Hyperlink"/>
          <w:rFonts w:ascii="Arial" w:hAnsi="Arial" w:cs="Arial"/>
          <w:i/>
          <w:color w:val="000000" w:themeColor="text1"/>
          <w:sz w:val="20"/>
          <w:szCs w:val="20"/>
          <w:u w:val="none"/>
        </w:rPr>
        <w:t>Elaboração: Escola de Gestão Pública - Jurisprudência</w:t>
      </w:r>
    </w:p>
    <w:p w14:paraId="088F1C47" w14:textId="77777777" w:rsidR="00DB558E" w:rsidRPr="00D255CD" w:rsidRDefault="00DB558E" w:rsidP="00D255CD">
      <w:pPr>
        <w:widowControl w:val="0"/>
        <w:autoSpaceDE w:val="0"/>
        <w:autoSpaceDN w:val="0"/>
        <w:spacing w:line="276" w:lineRule="auto"/>
        <w:jc w:val="both"/>
        <w:rPr>
          <w:rFonts w:ascii="Arial" w:hAnsi="Arial" w:cs="Arial"/>
          <w:b/>
          <w:sz w:val="20"/>
          <w:szCs w:val="20"/>
        </w:rPr>
      </w:pPr>
    </w:p>
    <w:p w14:paraId="753C82AB" w14:textId="77777777" w:rsidR="00E01524" w:rsidRPr="00D255CD" w:rsidRDefault="00E01524" w:rsidP="00D255CD">
      <w:pPr>
        <w:pStyle w:val="TCU-Epgrafe"/>
        <w:spacing w:line="276" w:lineRule="auto"/>
        <w:ind w:left="0"/>
        <w:rPr>
          <w:rFonts w:ascii="Arial" w:hAnsi="Arial" w:cs="Arial"/>
          <w:b/>
          <w:sz w:val="20"/>
        </w:rPr>
      </w:pPr>
    </w:p>
    <w:sectPr w:rsidR="00E01524" w:rsidRPr="00D255CD">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DA824" w14:textId="77777777" w:rsidR="00D03777" w:rsidRDefault="00D03777" w:rsidP="00350CC2">
      <w:r>
        <w:separator/>
      </w:r>
    </w:p>
  </w:endnote>
  <w:endnote w:type="continuationSeparator" w:id="0">
    <w:p w14:paraId="7F1B0532" w14:textId="77777777" w:rsidR="00D03777" w:rsidRDefault="00D03777" w:rsidP="003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Univer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4AF15" w14:textId="77777777" w:rsidR="002245DE" w:rsidRDefault="002245DE" w:rsidP="002245DE">
    <w:pPr>
      <w:pStyle w:val="Rodap"/>
      <w:jc w:val="center"/>
      <w:rPr>
        <w:sz w:val="16"/>
        <w:szCs w:val="16"/>
      </w:rPr>
    </w:pPr>
    <w:r>
      <w:rPr>
        <w:noProof/>
        <w:lang w:eastAsia="pt-BR"/>
      </w:rPr>
      <w:drawing>
        <wp:inline distT="0" distB="0" distL="0" distR="0" wp14:anchorId="323DBF1D" wp14:editId="05D98FFC">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C1DAB92"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F076FF">
      <w:rPr>
        <w:noProof/>
        <w:sz w:val="16"/>
        <w:szCs w:val="16"/>
      </w:rPr>
      <w:t>3</w:t>
    </w:r>
    <w:r w:rsidRPr="00722924">
      <w:rPr>
        <w:sz w:val="16"/>
        <w:szCs w:val="16"/>
      </w:rPr>
      <w:fldChar w:fldCharType="end"/>
    </w:r>
  </w:p>
  <w:p w14:paraId="294BCBF1" w14:textId="77777777" w:rsidR="00375DB6" w:rsidRDefault="00375DB6"/>
  <w:p w14:paraId="5BDBB677" w14:textId="77777777" w:rsidR="00375DB6" w:rsidRDefault="00375DB6"/>
  <w:p w14:paraId="16F3CBE0"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3A358" w14:textId="77777777" w:rsidR="00D03777" w:rsidRDefault="00D03777" w:rsidP="00350CC2">
      <w:r>
        <w:separator/>
      </w:r>
    </w:p>
  </w:footnote>
  <w:footnote w:type="continuationSeparator" w:id="0">
    <w:p w14:paraId="126A8602" w14:textId="77777777" w:rsidR="00D03777" w:rsidRDefault="00D03777" w:rsidP="0035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D407" w14:textId="77777777" w:rsidR="006A5FD7" w:rsidRDefault="006A5FD7" w:rsidP="00F14CCC">
    <w:pPr>
      <w:pStyle w:val="Cabealho"/>
      <w:spacing w:after="100" w:afterAutospacing="1"/>
      <w:jc w:val="center"/>
      <w:rPr>
        <w:b/>
      </w:rPr>
    </w:pPr>
  </w:p>
  <w:p w14:paraId="1117CB5D" w14:textId="77777777" w:rsidR="006A5FD7" w:rsidRDefault="006A5FD7" w:rsidP="00F14CCC">
    <w:pPr>
      <w:pStyle w:val="Cabealho"/>
      <w:spacing w:after="100" w:afterAutospacing="1"/>
      <w:jc w:val="center"/>
      <w:rPr>
        <w:b/>
      </w:rPr>
    </w:pPr>
    <w:r>
      <w:rPr>
        <w:noProof/>
        <w:lang w:eastAsia="pt-BR"/>
      </w:rPr>
      <w:drawing>
        <wp:inline distT="0" distB="0" distL="0" distR="0" wp14:anchorId="6A3749B5" wp14:editId="6613827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rPr>
      <w:drawing>
        <wp:inline distT="0" distB="0" distL="0" distR="0" wp14:anchorId="1581D82B" wp14:editId="314EAC8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1"/>
  </w:num>
  <w:num w:numId="4">
    <w:abstractNumId w:val="22"/>
  </w:num>
  <w:num w:numId="5">
    <w:abstractNumId w:val="23"/>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19"/>
  </w:num>
  <w:num w:numId="17">
    <w:abstractNumId w:val="9"/>
  </w:num>
  <w:num w:numId="18">
    <w:abstractNumId w:val="1"/>
  </w:num>
  <w:num w:numId="19">
    <w:abstractNumId w:val="14"/>
  </w:num>
  <w:num w:numId="20">
    <w:abstractNumId w:val="18"/>
  </w:num>
  <w:num w:numId="21">
    <w:abstractNumId w:val="10"/>
  </w:num>
  <w:num w:numId="22">
    <w:abstractNumId w:val="2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3F9F"/>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2C4C"/>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22B"/>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491E"/>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3AE3"/>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48A6"/>
    <w:rsid w:val="003D650C"/>
    <w:rsid w:val="003D6713"/>
    <w:rsid w:val="003D6E90"/>
    <w:rsid w:val="003D704E"/>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37A"/>
    <w:rsid w:val="00416A72"/>
    <w:rsid w:val="00420AE1"/>
    <w:rsid w:val="00424D0F"/>
    <w:rsid w:val="0042728A"/>
    <w:rsid w:val="004276DC"/>
    <w:rsid w:val="0042779B"/>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C0B99"/>
    <w:rsid w:val="004C11DE"/>
    <w:rsid w:val="004C13DB"/>
    <w:rsid w:val="004C2577"/>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4A9E"/>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5E2"/>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3D"/>
    <w:rsid w:val="005A1468"/>
    <w:rsid w:val="005A4536"/>
    <w:rsid w:val="005A5AF2"/>
    <w:rsid w:val="005A742F"/>
    <w:rsid w:val="005A7C78"/>
    <w:rsid w:val="005B4F6C"/>
    <w:rsid w:val="005B5AA9"/>
    <w:rsid w:val="005B7055"/>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4D43"/>
    <w:rsid w:val="00606B1E"/>
    <w:rsid w:val="006105E3"/>
    <w:rsid w:val="006115E2"/>
    <w:rsid w:val="00613D08"/>
    <w:rsid w:val="0061491F"/>
    <w:rsid w:val="00615FC7"/>
    <w:rsid w:val="00620DEF"/>
    <w:rsid w:val="0062204C"/>
    <w:rsid w:val="00622EE0"/>
    <w:rsid w:val="00623188"/>
    <w:rsid w:val="00626DD6"/>
    <w:rsid w:val="0062719D"/>
    <w:rsid w:val="00627FDF"/>
    <w:rsid w:val="00630296"/>
    <w:rsid w:val="006331E3"/>
    <w:rsid w:val="00633776"/>
    <w:rsid w:val="00633C62"/>
    <w:rsid w:val="006359FD"/>
    <w:rsid w:val="006361F0"/>
    <w:rsid w:val="006372A4"/>
    <w:rsid w:val="006375ED"/>
    <w:rsid w:val="0064029E"/>
    <w:rsid w:val="00640861"/>
    <w:rsid w:val="00640A36"/>
    <w:rsid w:val="00640BDC"/>
    <w:rsid w:val="0064171C"/>
    <w:rsid w:val="00646004"/>
    <w:rsid w:val="00646AD1"/>
    <w:rsid w:val="006473BA"/>
    <w:rsid w:val="00650E4E"/>
    <w:rsid w:val="00652C29"/>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535"/>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4C7"/>
    <w:rsid w:val="006D158F"/>
    <w:rsid w:val="006D1B83"/>
    <w:rsid w:val="006D1BE7"/>
    <w:rsid w:val="006D3590"/>
    <w:rsid w:val="006D5C98"/>
    <w:rsid w:val="006D5DB6"/>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7CA"/>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2855"/>
    <w:rsid w:val="007D5A53"/>
    <w:rsid w:val="007D5D8E"/>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58BC"/>
    <w:rsid w:val="00806D7C"/>
    <w:rsid w:val="0080743C"/>
    <w:rsid w:val="00807854"/>
    <w:rsid w:val="00811012"/>
    <w:rsid w:val="00811A90"/>
    <w:rsid w:val="00813846"/>
    <w:rsid w:val="00814325"/>
    <w:rsid w:val="00815C4F"/>
    <w:rsid w:val="008161C2"/>
    <w:rsid w:val="00816767"/>
    <w:rsid w:val="00816942"/>
    <w:rsid w:val="0081738B"/>
    <w:rsid w:val="0082026A"/>
    <w:rsid w:val="008219BA"/>
    <w:rsid w:val="008237A8"/>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058"/>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F2F"/>
    <w:rsid w:val="008B55B4"/>
    <w:rsid w:val="008B6A00"/>
    <w:rsid w:val="008B750A"/>
    <w:rsid w:val="008B7AA1"/>
    <w:rsid w:val="008C0269"/>
    <w:rsid w:val="008C076F"/>
    <w:rsid w:val="008C257C"/>
    <w:rsid w:val="008D0FDE"/>
    <w:rsid w:val="008D1051"/>
    <w:rsid w:val="008D22BE"/>
    <w:rsid w:val="008D7542"/>
    <w:rsid w:val="008D7F7C"/>
    <w:rsid w:val="008E0835"/>
    <w:rsid w:val="008E16ED"/>
    <w:rsid w:val="008E280E"/>
    <w:rsid w:val="008E2BA7"/>
    <w:rsid w:val="008E36D8"/>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78F0"/>
    <w:rsid w:val="00942696"/>
    <w:rsid w:val="00942EB6"/>
    <w:rsid w:val="0094307C"/>
    <w:rsid w:val="00944802"/>
    <w:rsid w:val="0094577A"/>
    <w:rsid w:val="009470DD"/>
    <w:rsid w:val="009518D9"/>
    <w:rsid w:val="0095236F"/>
    <w:rsid w:val="00952404"/>
    <w:rsid w:val="00953350"/>
    <w:rsid w:val="00955BDA"/>
    <w:rsid w:val="0096328F"/>
    <w:rsid w:val="009646AB"/>
    <w:rsid w:val="00965F52"/>
    <w:rsid w:val="0096737A"/>
    <w:rsid w:val="009674C6"/>
    <w:rsid w:val="00967EE5"/>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1641"/>
    <w:rsid w:val="00A2357E"/>
    <w:rsid w:val="00A24629"/>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6D7"/>
    <w:rsid w:val="00A47D62"/>
    <w:rsid w:val="00A53CDD"/>
    <w:rsid w:val="00A53EE6"/>
    <w:rsid w:val="00A54810"/>
    <w:rsid w:val="00A5538A"/>
    <w:rsid w:val="00A564AE"/>
    <w:rsid w:val="00A5710E"/>
    <w:rsid w:val="00A57A4A"/>
    <w:rsid w:val="00A57C0E"/>
    <w:rsid w:val="00A60380"/>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79DB"/>
    <w:rsid w:val="00AC06B6"/>
    <w:rsid w:val="00AC1A7F"/>
    <w:rsid w:val="00AC6AFC"/>
    <w:rsid w:val="00AC7830"/>
    <w:rsid w:val="00AD0466"/>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47C4C"/>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A673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24966"/>
    <w:rsid w:val="00C30A7D"/>
    <w:rsid w:val="00C31169"/>
    <w:rsid w:val="00C3169F"/>
    <w:rsid w:val="00C318F6"/>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5F4"/>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9733F"/>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4E94"/>
    <w:rsid w:val="00CC550E"/>
    <w:rsid w:val="00CC5AC6"/>
    <w:rsid w:val="00CD0DCE"/>
    <w:rsid w:val="00CD1628"/>
    <w:rsid w:val="00CD1D27"/>
    <w:rsid w:val="00CD27B7"/>
    <w:rsid w:val="00CD3090"/>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777"/>
    <w:rsid w:val="00D03845"/>
    <w:rsid w:val="00D03DCB"/>
    <w:rsid w:val="00D05257"/>
    <w:rsid w:val="00D054DF"/>
    <w:rsid w:val="00D057A5"/>
    <w:rsid w:val="00D05D1F"/>
    <w:rsid w:val="00D144D0"/>
    <w:rsid w:val="00D14FC0"/>
    <w:rsid w:val="00D163A3"/>
    <w:rsid w:val="00D1656D"/>
    <w:rsid w:val="00D167CC"/>
    <w:rsid w:val="00D16943"/>
    <w:rsid w:val="00D20524"/>
    <w:rsid w:val="00D211AE"/>
    <w:rsid w:val="00D21662"/>
    <w:rsid w:val="00D22EE1"/>
    <w:rsid w:val="00D23DE4"/>
    <w:rsid w:val="00D23F50"/>
    <w:rsid w:val="00D24867"/>
    <w:rsid w:val="00D255CD"/>
    <w:rsid w:val="00D318E3"/>
    <w:rsid w:val="00D323A7"/>
    <w:rsid w:val="00D346BF"/>
    <w:rsid w:val="00D34A4B"/>
    <w:rsid w:val="00D416EB"/>
    <w:rsid w:val="00D41B20"/>
    <w:rsid w:val="00D44615"/>
    <w:rsid w:val="00D45321"/>
    <w:rsid w:val="00D46F57"/>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C19"/>
    <w:rsid w:val="00DC7068"/>
    <w:rsid w:val="00DD0411"/>
    <w:rsid w:val="00DD265A"/>
    <w:rsid w:val="00DD314C"/>
    <w:rsid w:val="00DD6B9B"/>
    <w:rsid w:val="00DD6CE2"/>
    <w:rsid w:val="00DD6D0C"/>
    <w:rsid w:val="00DE07A1"/>
    <w:rsid w:val="00DE21A2"/>
    <w:rsid w:val="00DE2776"/>
    <w:rsid w:val="00DE3B11"/>
    <w:rsid w:val="00DE4B94"/>
    <w:rsid w:val="00DE6E4E"/>
    <w:rsid w:val="00DE7183"/>
    <w:rsid w:val="00DF1DAC"/>
    <w:rsid w:val="00DF2165"/>
    <w:rsid w:val="00DF5A24"/>
    <w:rsid w:val="00DF60E6"/>
    <w:rsid w:val="00DF6105"/>
    <w:rsid w:val="00DF659E"/>
    <w:rsid w:val="00DF6F7F"/>
    <w:rsid w:val="00E01524"/>
    <w:rsid w:val="00E06816"/>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C7478"/>
    <w:rsid w:val="00FD0A26"/>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C4ED1F"/>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7EE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135D5F"/>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rsid w:val="00135D5F"/>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rsid w:val="007D2855"/>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rsid w:val="0035048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pPr>
    <w:rPr>
      <w:sz w:val="20"/>
      <w:szCs w:val="20"/>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rsid w:val="00F469B9"/>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autoRedefine/>
    <w:uiPriority w:val="39"/>
    <w:semiHidden/>
    <w:unhideWhenUsed/>
    <w:rsid w:val="00135D5F"/>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rsid w:val="00135D5F"/>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pPr>
    <w:rPr>
      <w:szCs w:val="22"/>
      <w:lang w:eastAsia="en-US"/>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pPr>
    <w:rPr>
      <w:szCs w:val="22"/>
      <w:lang w:eastAsia="en-US"/>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ind w:left="2835"/>
      <w:jc w:val="both"/>
    </w:pPr>
    <w:rPr>
      <w:szCs w:val="20"/>
    </w:rPr>
  </w:style>
  <w:style w:type="paragraph" w:styleId="NormalWeb">
    <w:name w:val="Normal (Web)"/>
    <w:basedOn w:val="Normal"/>
    <w:uiPriority w:val="99"/>
    <w:semiHidden/>
    <w:unhideWhenUsed/>
    <w:rsid w:val="00D23DE4"/>
    <w:pPr>
      <w:spacing w:before="100" w:beforeAutospacing="1" w:after="100" w:afterAutospacing="1"/>
    </w:p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p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pPr>
  </w:style>
  <w:style w:type="character" w:customStyle="1" w:styleId="lista-resultadotitulo">
    <w:name w:val="lista-resultado__titulo"/>
    <w:basedOn w:val="Fontepargpadro"/>
    <w:rsid w:val="00861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8736573">
      <w:bodyDiv w:val="1"/>
      <w:marLeft w:val="0"/>
      <w:marRight w:val="0"/>
      <w:marTop w:val="0"/>
      <w:marBottom w:val="0"/>
      <w:divBdr>
        <w:top w:val="none" w:sz="0" w:space="0" w:color="auto"/>
        <w:left w:val="none" w:sz="0" w:space="0" w:color="auto"/>
        <w:bottom w:val="none" w:sz="0" w:space="0" w:color="auto"/>
        <w:right w:val="none" w:sz="0" w:space="0" w:color="auto"/>
      </w:divBdr>
      <w:divsChild>
        <w:div w:id="389497057">
          <w:marLeft w:val="0"/>
          <w:marRight w:val="0"/>
          <w:marTop w:val="0"/>
          <w:marBottom w:val="0"/>
          <w:divBdr>
            <w:top w:val="none" w:sz="0" w:space="0" w:color="auto"/>
            <w:left w:val="none" w:sz="0" w:space="0" w:color="auto"/>
            <w:bottom w:val="none" w:sz="0" w:space="0" w:color="auto"/>
            <w:right w:val="none" w:sz="0" w:space="0" w:color="auto"/>
          </w:divBdr>
          <w:divsChild>
            <w:div w:id="236399599">
              <w:marLeft w:val="0"/>
              <w:marRight w:val="0"/>
              <w:marTop w:val="0"/>
              <w:marBottom w:val="0"/>
              <w:divBdr>
                <w:top w:val="none" w:sz="0" w:space="0" w:color="auto"/>
                <w:left w:val="none" w:sz="0" w:space="0" w:color="auto"/>
                <w:bottom w:val="none" w:sz="0" w:space="0" w:color="auto"/>
                <w:right w:val="none" w:sz="0" w:space="0" w:color="auto"/>
              </w:divBdr>
              <w:divsChild>
                <w:div w:id="12397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87654466">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26453315">
      <w:bodyDiv w:val="1"/>
      <w:marLeft w:val="0"/>
      <w:marRight w:val="0"/>
      <w:marTop w:val="0"/>
      <w:marBottom w:val="0"/>
      <w:divBdr>
        <w:top w:val="none" w:sz="0" w:space="0" w:color="auto"/>
        <w:left w:val="none" w:sz="0" w:space="0" w:color="auto"/>
        <w:bottom w:val="none" w:sz="0" w:space="0" w:color="auto"/>
        <w:right w:val="none" w:sz="0" w:space="0" w:color="auto"/>
      </w:divBdr>
      <w:divsChild>
        <w:div w:id="1644656232">
          <w:marLeft w:val="0"/>
          <w:marRight w:val="0"/>
          <w:marTop w:val="0"/>
          <w:marBottom w:val="0"/>
          <w:divBdr>
            <w:top w:val="none" w:sz="0" w:space="0" w:color="auto"/>
            <w:left w:val="none" w:sz="0" w:space="0" w:color="auto"/>
            <w:bottom w:val="none" w:sz="0" w:space="0" w:color="auto"/>
            <w:right w:val="none" w:sz="0" w:space="0" w:color="auto"/>
          </w:divBdr>
          <w:divsChild>
            <w:div w:id="875897430">
              <w:marLeft w:val="0"/>
              <w:marRight w:val="0"/>
              <w:marTop w:val="0"/>
              <w:marBottom w:val="0"/>
              <w:divBdr>
                <w:top w:val="none" w:sz="0" w:space="0" w:color="auto"/>
                <w:left w:val="none" w:sz="0" w:space="0" w:color="auto"/>
                <w:bottom w:val="none" w:sz="0" w:space="0" w:color="auto"/>
                <w:right w:val="none" w:sz="0" w:space="0" w:color="auto"/>
              </w:divBdr>
              <w:divsChild>
                <w:div w:id="136945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80935069">
      <w:bodyDiv w:val="1"/>
      <w:marLeft w:val="0"/>
      <w:marRight w:val="0"/>
      <w:marTop w:val="0"/>
      <w:marBottom w:val="0"/>
      <w:divBdr>
        <w:top w:val="none" w:sz="0" w:space="0" w:color="auto"/>
        <w:left w:val="none" w:sz="0" w:space="0" w:color="auto"/>
        <w:bottom w:val="none" w:sz="0" w:space="0" w:color="auto"/>
        <w:right w:val="none" w:sz="0" w:space="0" w:color="auto"/>
      </w:divBdr>
      <w:divsChild>
        <w:div w:id="508523609">
          <w:marLeft w:val="0"/>
          <w:marRight w:val="0"/>
          <w:marTop w:val="0"/>
          <w:marBottom w:val="0"/>
          <w:divBdr>
            <w:top w:val="none" w:sz="0" w:space="0" w:color="auto"/>
            <w:left w:val="none" w:sz="0" w:space="0" w:color="auto"/>
            <w:bottom w:val="none" w:sz="0" w:space="0" w:color="auto"/>
            <w:right w:val="none" w:sz="0" w:space="0" w:color="auto"/>
          </w:divBdr>
          <w:divsChild>
            <w:div w:id="831794550">
              <w:marLeft w:val="0"/>
              <w:marRight w:val="0"/>
              <w:marTop w:val="0"/>
              <w:marBottom w:val="0"/>
              <w:divBdr>
                <w:top w:val="none" w:sz="0" w:space="0" w:color="auto"/>
                <w:left w:val="none" w:sz="0" w:space="0" w:color="auto"/>
                <w:bottom w:val="none" w:sz="0" w:space="0" w:color="auto"/>
                <w:right w:val="none" w:sz="0" w:space="0" w:color="auto"/>
              </w:divBdr>
              <w:divsChild>
                <w:div w:id="38831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1643">
      <w:bodyDiv w:val="1"/>
      <w:marLeft w:val="0"/>
      <w:marRight w:val="0"/>
      <w:marTop w:val="0"/>
      <w:marBottom w:val="0"/>
      <w:divBdr>
        <w:top w:val="none" w:sz="0" w:space="0" w:color="auto"/>
        <w:left w:val="none" w:sz="0" w:space="0" w:color="auto"/>
        <w:bottom w:val="none" w:sz="0" w:space="0" w:color="auto"/>
        <w:right w:val="none" w:sz="0" w:space="0" w:color="auto"/>
      </w:divBdr>
      <w:divsChild>
        <w:div w:id="1743288246">
          <w:marLeft w:val="0"/>
          <w:marRight w:val="0"/>
          <w:marTop w:val="0"/>
          <w:marBottom w:val="0"/>
          <w:divBdr>
            <w:top w:val="none" w:sz="0" w:space="0" w:color="auto"/>
            <w:left w:val="none" w:sz="0" w:space="0" w:color="auto"/>
            <w:bottom w:val="none" w:sz="0" w:space="0" w:color="auto"/>
            <w:right w:val="none" w:sz="0" w:space="0" w:color="auto"/>
          </w:divBdr>
          <w:divsChild>
            <w:div w:id="133185383">
              <w:marLeft w:val="0"/>
              <w:marRight w:val="0"/>
              <w:marTop w:val="0"/>
              <w:marBottom w:val="0"/>
              <w:divBdr>
                <w:top w:val="none" w:sz="0" w:space="0" w:color="auto"/>
                <w:left w:val="none" w:sz="0" w:space="0" w:color="auto"/>
                <w:bottom w:val="none" w:sz="0" w:space="0" w:color="auto"/>
                <w:right w:val="none" w:sz="0" w:space="0" w:color="auto"/>
              </w:divBdr>
              <w:divsChild>
                <w:div w:id="5124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75452330">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16697225">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3/pdf/00335166.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2.stj.jus.br/processo/revista/inteiroteor/?num_registro=201801906447&amp;dt_publicacao=16/04/2019"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stf.jus.br/processos/detalhe.asp?incidente=2419108"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2.tce.pe.gov.br/scriptcase/aplicacoesv7/nas/excerto/form_dbo_juris_vwexcerto_Servidor/form_dbo_juris_vwexcerto_Servidor.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as.tcu.gov.br/sagas/SvlVisualizarRelVotoAcRtf?codFiltro=SAGAS-SESSAO-ENCERRADA&amp;seOcultaPagina=S&amp;item0=681326" TargetMode="External"/><Relationship Id="rId14" Type="http://schemas.openxmlformats.org/officeDocument/2006/relationships/hyperlink" Target="http://www1.tce.pr.gov.br/conteudo/boletim-informativo-de-jurisprudencia/280400/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C0439-ED63-47AD-AE63-73DF24F8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2180</Words>
  <Characters>11777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2019-04-01T19:45:00Z</cp:lastPrinted>
  <dcterms:created xsi:type="dcterms:W3CDTF">2019-10-09T18:07:00Z</dcterms:created>
  <dcterms:modified xsi:type="dcterms:W3CDTF">2019-10-09T20:18:00Z</dcterms:modified>
</cp:coreProperties>
</file>