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E5052" w14:textId="77777777" w:rsidR="00362451" w:rsidRPr="00D255CD" w:rsidRDefault="00362451" w:rsidP="00D255CD">
      <w:pPr>
        <w:pStyle w:val="Cabealho"/>
        <w:spacing w:line="276" w:lineRule="auto"/>
        <w:jc w:val="center"/>
        <w:rPr>
          <w:rFonts w:ascii="Arial" w:hAnsi="Arial" w:cs="Arial"/>
          <w:sz w:val="20"/>
          <w:szCs w:val="20"/>
        </w:rPr>
      </w:pPr>
      <w:r w:rsidRPr="00D255CD">
        <w:rPr>
          <w:rFonts w:ascii="Arial" w:hAnsi="Arial" w:cs="Arial"/>
          <w:b/>
          <w:sz w:val="20"/>
          <w:szCs w:val="20"/>
        </w:rPr>
        <w:t>TESES AMBIENTAIS</w:t>
      </w:r>
      <w:r w:rsidRPr="00D255CD">
        <w:rPr>
          <w:rFonts w:ascii="Arial" w:hAnsi="Arial" w:cs="Arial"/>
          <w:sz w:val="20"/>
          <w:szCs w:val="20"/>
        </w:rPr>
        <w:t xml:space="preserve"> </w:t>
      </w:r>
    </w:p>
    <w:p w14:paraId="72FC24A4" w14:textId="77777777" w:rsidR="00362451" w:rsidRPr="00D255CD" w:rsidRDefault="00362451" w:rsidP="00D255CD">
      <w:pPr>
        <w:spacing w:line="276" w:lineRule="auto"/>
        <w:jc w:val="center"/>
        <w:rPr>
          <w:rFonts w:ascii="Arial" w:hAnsi="Arial" w:cs="Arial"/>
          <w:b/>
          <w:sz w:val="20"/>
          <w:szCs w:val="20"/>
        </w:rPr>
      </w:pPr>
    </w:p>
    <w:p w14:paraId="4E169306" w14:textId="0A073B82" w:rsidR="00681EC7" w:rsidRPr="00D255CD" w:rsidRDefault="00F45FE6" w:rsidP="00D255CD">
      <w:pPr>
        <w:pStyle w:val="Cabealho"/>
        <w:spacing w:line="276" w:lineRule="auto"/>
        <w:jc w:val="center"/>
        <w:rPr>
          <w:rFonts w:ascii="Arial" w:hAnsi="Arial" w:cs="Arial"/>
          <w:b/>
          <w:sz w:val="20"/>
          <w:szCs w:val="20"/>
        </w:rPr>
      </w:pPr>
      <w:r w:rsidRPr="00D255CD">
        <w:rPr>
          <w:rFonts w:ascii="Arial" w:hAnsi="Arial" w:cs="Arial"/>
          <w:b/>
          <w:sz w:val="20"/>
          <w:szCs w:val="20"/>
        </w:rPr>
        <w:t>Número 0</w:t>
      </w:r>
      <w:r w:rsidR="00514A9E" w:rsidRPr="00D255CD">
        <w:rPr>
          <w:rFonts w:ascii="Arial" w:hAnsi="Arial" w:cs="Arial"/>
          <w:b/>
          <w:sz w:val="20"/>
          <w:szCs w:val="20"/>
        </w:rPr>
        <w:t>8</w:t>
      </w:r>
      <w:r w:rsidR="00681EC7" w:rsidRPr="00D255CD">
        <w:rPr>
          <w:rFonts w:ascii="Arial" w:hAnsi="Arial" w:cs="Arial"/>
          <w:b/>
          <w:sz w:val="20"/>
          <w:szCs w:val="20"/>
        </w:rPr>
        <w:t xml:space="preserve"> </w:t>
      </w:r>
    </w:p>
    <w:p w14:paraId="5313394D" w14:textId="77777777" w:rsidR="00D9046A" w:rsidRPr="00D255CD" w:rsidRDefault="00D9046A" w:rsidP="00D255CD">
      <w:pPr>
        <w:spacing w:line="276" w:lineRule="auto"/>
        <w:jc w:val="center"/>
        <w:rPr>
          <w:rFonts w:ascii="Arial" w:hAnsi="Arial" w:cs="Arial"/>
          <w:b/>
          <w:sz w:val="20"/>
          <w:szCs w:val="20"/>
        </w:rPr>
      </w:pPr>
    </w:p>
    <w:p w14:paraId="69C8ED4A" w14:textId="1C372866" w:rsidR="00681EC7" w:rsidRPr="00D255CD" w:rsidRDefault="00681EC7" w:rsidP="00D255CD">
      <w:pPr>
        <w:spacing w:line="276" w:lineRule="auto"/>
        <w:jc w:val="both"/>
        <w:rPr>
          <w:rFonts w:ascii="Arial" w:hAnsi="Arial" w:cs="Arial"/>
          <w:sz w:val="20"/>
          <w:szCs w:val="20"/>
        </w:rPr>
      </w:pPr>
      <w:r w:rsidRPr="00D255CD">
        <w:rPr>
          <w:rFonts w:ascii="Arial" w:hAnsi="Arial" w:cs="Arial"/>
          <w:sz w:val="20"/>
          <w:szCs w:val="20"/>
        </w:rPr>
        <w:t>Este Boletim</w:t>
      </w:r>
      <w:r w:rsidR="00362451" w:rsidRPr="00D255CD">
        <w:rPr>
          <w:rFonts w:ascii="Arial" w:hAnsi="Arial" w:cs="Arial"/>
          <w:sz w:val="20"/>
          <w:szCs w:val="20"/>
        </w:rPr>
        <w:t xml:space="preserve"> </w:t>
      </w:r>
      <w:r w:rsidR="005445E2" w:rsidRPr="00D255CD">
        <w:rPr>
          <w:rFonts w:ascii="Arial" w:hAnsi="Arial" w:cs="Arial"/>
          <w:sz w:val="20"/>
          <w:szCs w:val="20"/>
        </w:rPr>
        <w:t xml:space="preserve">relaciona as </w:t>
      </w:r>
      <w:r w:rsidRPr="00D255CD">
        <w:rPr>
          <w:rFonts w:ascii="Arial" w:hAnsi="Arial" w:cs="Arial"/>
          <w:sz w:val="20"/>
          <w:szCs w:val="20"/>
        </w:rPr>
        <w:t xml:space="preserve">teses fixadas em Direito Ambiental pelo Supremo Tribunal Federal - STF, Superior Tribunal de Justiça - STJ, Tribunal de Contas da União </w:t>
      </w:r>
      <w:r w:rsidR="008A1058" w:rsidRPr="00D255CD">
        <w:rPr>
          <w:rFonts w:ascii="Arial" w:hAnsi="Arial" w:cs="Arial"/>
          <w:sz w:val="20"/>
          <w:szCs w:val="20"/>
        </w:rPr>
        <w:t>–</w:t>
      </w:r>
      <w:r w:rsidRPr="00D255CD">
        <w:rPr>
          <w:rFonts w:ascii="Arial" w:hAnsi="Arial" w:cs="Arial"/>
          <w:sz w:val="20"/>
          <w:szCs w:val="20"/>
        </w:rPr>
        <w:t xml:space="preserve"> TCU</w:t>
      </w:r>
      <w:r w:rsidR="008A1058" w:rsidRPr="00D255CD">
        <w:rPr>
          <w:rFonts w:ascii="Arial" w:hAnsi="Arial" w:cs="Arial"/>
          <w:sz w:val="20"/>
          <w:szCs w:val="20"/>
        </w:rPr>
        <w:t xml:space="preserve">, </w:t>
      </w:r>
      <w:r w:rsidRPr="00D255CD">
        <w:rPr>
          <w:rFonts w:ascii="Arial" w:hAnsi="Arial" w:cs="Arial"/>
          <w:sz w:val="20"/>
          <w:szCs w:val="20"/>
        </w:rPr>
        <w:t>Tribunal de Contas do Paraná - TCE/PR</w:t>
      </w:r>
      <w:r w:rsidR="008A1058" w:rsidRPr="00D255CD">
        <w:rPr>
          <w:rFonts w:ascii="Arial" w:hAnsi="Arial" w:cs="Arial"/>
          <w:sz w:val="20"/>
          <w:szCs w:val="20"/>
        </w:rPr>
        <w:t xml:space="preserve"> e demais</w:t>
      </w:r>
      <w:r w:rsidR="00427BD4" w:rsidRPr="00D255CD">
        <w:rPr>
          <w:rFonts w:ascii="Arial" w:hAnsi="Arial" w:cs="Arial"/>
          <w:sz w:val="20"/>
          <w:szCs w:val="20"/>
        </w:rPr>
        <w:t xml:space="preserve"> Tribunais de Contas Estaduais e Municipais </w:t>
      </w:r>
      <w:r w:rsidR="00D20524" w:rsidRPr="00D255CD">
        <w:rPr>
          <w:rFonts w:ascii="Arial" w:hAnsi="Arial" w:cs="Arial"/>
          <w:sz w:val="20"/>
          <w:szCs w:val="20"/>
        </w:rPr>
        <w:t xml:space="preserve">acerca </w:t>
      </w:r>
      <w:r w:rsidR="005445E2" w:rsidRPr="00D255CD">
        <w:rPr>
          <w:rFonts w:ascii="Arial" w:hAnsi="Arial" w:cs="Arial"/>
          <w:sz w:val="20"/>
          <w:szCs w:val="20"/>
        </w:rPr>
        <w:t>d</w:t>
      </w:r>
      <w:r w:rsidRPr="00D255CD">
        <w:rPr>
          <w:rFonts w:ascii="Arial" w:hAnsi="Arial" w:cs="Arial"/>
          <w:sz w:val="20"/>
          <w:szCs w:val="20"/>
        </w:rPr>
        <w:t>o controle externo</w:t>
      </w:r>
      <w:r w:rsidR="008A1058" w:rsidRPr="00D255CD">
        <w:rPr>
          <w:rFonts w:ascii="Arial" w:hAnsi="Arial" w:cs="Arial"/>
          <w:sz w:val="20"/>
          <w:szCs w:val="20"/>
        </w:rPr>
        <w:t xml:space="preserve"> aplicado à avaliação de uma </w:t>
      </w:r>
      <w:r w:rsidRPr="00D255CD">
        <w:rPr>
          <w:rFonts w:ascii="Arial" w:hAnsi="Arial" w:cs="Arial"/>
          <w:sz w:val="20"/>
          <w:szCs w:val="20"/>
        </w:rPr>
        <w:t>gestão ambiental eficiente, transparente e propositiva</w:t>
      </w:r>
      <w:r w:rsidR="005445E2" w:rsidRPr="00D255CD">
        <w:rPr>
          <w:rFonts w:ascii="Arial" w:hAnsi="Arial" w:cs="Arial"/>
          <w:sz w:val="20"/>
          <w:szCs w:val="20"/>
        </w:rPr>
        <w:t>, não representando</w:t>
      </w:r>
      <w:r w:rsidRPr="00D255CD">
        <w:rPr>
          <w:rFonts w:ascii="Arial" w:hAnsi="Arial" w:cs="Arial"/>
          <w:sz w:val="20"/>
          <w:szCs w:val="20"/>
        </w:rPr>
        <w:t xml:space="preserve"> repositório oficia</w:t>
      </w:r>
      <w:r w:rsidR="00DF6F7F" w:rsidRPr="00D255CD">
        <w:rPr>
          <w:rFonts w:ascii="Arial" w:hAnsi="Arial" w:cs="Arial"/>
          <w:sz w:val="20"/>
          <w:szCs w:val="20"/>
        </w:rPr>
        <w:t>l</w:t>
      </w:r>
      <w:r w:rsidRPr="00D255CD">
        <w:rPr>
          <w:rFonts w:ascii="Arial" w:hAnsi="Arial" w:cs="Arial"/>
          <w:sz w:val="20"/>
          <w:szCs w:val="20"/>
        </w:rPr>
        <w:t xml:space="preserve"> de jurisprudência.</w:t>
      </w:r>
    </w:p>
    <w:p w14:paraId="5C4426F1" w14:textId="77777777" w:rsidR="00681EC7" w:rsidRPr="00D255CD" w:rsidRDefault="00681EC7" w:rsidP="00D255CD">
      <w:pPr>
        <w:spacing w:line="276" w:lineRule="auto"/>
        <w:jc w:val="both"/>
        <w:rPr>
          <w:rFonts w:ascii="Arial" w:hAnsi="Arial" w:cs="Arial"/>
          <w:sz w:val="20"/>
          <w:szCs w:val="20"/>
        </w:rPr>
      </w:pPr>
    </w:p>
    <w:p w14:paraId="3D96DD71" w14:textId="77777777" w:rsidR="00FE7B14" w:rsidRPr="00D255CD" w:rsidRDefault="00FE7B14" w:rsidP="00D255CD">
      <w:pPr>
        <w:spacing w:line="276" w:lineRule="auto"/>
        <w:jc w:val="both"/>
        <w:rPr>
          <w:rFonts w:ascii="Arial" w:hAnsi="Arial" w:cs="Arial"/>
          <w:sz w:val="20"/>
          <w:szCs w:val="20"/>
        </w:rPr>
      </w:pPr>
      <w:r w:rsidRPr="00D255CD">
        <w:rPr>
          <w:rFonts w:ascii="Arial" w:hAnsi="Arial" w:cs="Arial"/>
          <w:noProof/>
          <w:sz w:val="20"/>
          <w:szCs w:val="20"/>
        </w:rPr>
        <mc:AlternateContent>
          <mc:Choice Requires="wps">
            <w:drawing>
              <wp:anchor distT="0" distB="0" distL="114300" distR="114300" simplePos="0" relativeHeight="251660800" behindDoc="0" locked="0" layoutInCell="1" allowOverlap="1" wp14:anchorId="2D6DCC47" wp14:editId="68427C1C">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5FBA157C" w14:textId="77777777" w:rsidR="00AE4F42" w:rsidRPr="00D255CD" w:rsidRDefault="00AE4F42" w:rsidP="00D255CD">
      <w:pPr>
        <w:shd w:val="pct10" w:color="auto" w:fill="auto"/>
        <w:spacing w:line="276" w:lineRule="auto"/>
        <w:jc w:val="center"/>
        <w:rPr>
          <w:rFonts w:ascii="Arial" w:hAnsi="Arial" w:cs="Arial"/>
          <w:b/>
          <w:sz w:val="20"/>
          <w:szCs w:val="20"/>
        </w:rPr>
      </w:pPr>
      <w:r w:rsidRPr="00D255CD">
        <w:rPr>
          <w:rFonts w:ascii="Arial" w:hAnsi="Arial" w:cs="Arial"/>
          <w:b/>
          <w:sz w:val="20"/>
          <w:szCs w:val="20"/>
        </w:rPr>
        <w:t>S</w:t>
      </w:r>
      <w:r w:rsidR="00221D15" w:rsidRPr="00D255CD">
        <w:rPr>
          <w:rFonts w:ascii="Arial" w:hAnsi="Arial" w:cs="Arial"/>
          <w:b/>
          <w:sz w:val="20"/>
          <w:szCs w:val="20"/>
        </w:rPr>
        <w:t>U</w:t>
      </w:r>
      <w:r w:rsidRPr="00D255CD">
        <w:rPr>
          <w:rFonts w:ascii="Arial" w:hAnsi="Arial" w:cs="Arial"/>
          <w:b/>
          <w:sz w:val="20"/>
          <w:szCs w:val="20"/>
        </w:rPr>
        <w:t>MÁRIO</w:t>
      </w:r>
    </w:p>
    <w:p w14:paraId="00D7234C" w14:textId="75205644" w:rsidR="00DB721B" w:rsidRPr="00D255CD" w:rsidRDefault="00DB721B" w:rsidP="00D255CD">
      <w:pPr>
        <w:autoSpaceDE w:val="0"/>
        <w:autoSpaceDN w:val="0"/>
        <w:adjustRightInd w:val="0"/>
        <w:spacing w:line="276" w:lineRule="auto"/>
        <w:jc w:val="both"/>
        <w:rPr>
          <w:rFonts w:ascii="Arial" w:hAnsi="Arial" w:cs="Arial"/>
          <w:sz w:val="20"/>
          <w:szCs w:val="20"/>
        </w:rPr>
      </w:pPr>
    </w:p>
    <w:p w14:paraId="646C82B7" w14:textId="77777777" w:rsidR="00D255CD" w:rsidRPr="00D255CD" w:rsidRDefault="00D255CD" w:rsidP="00D255CD">
      <w:pPr>
        <w:spacing w:line="276" w:lineRule="auto"/>
        <w:jc w:val="both"/>
        <w:rPr>
          <w:rFonts w:ascii="Arial" w:hAnsi="Arial" w:cs="Arial"/>
          <w:color w:val="000000"/>
          <w:sz w:val="20"/>
          <w:szCs w:val="20"/>
          <w:shd w:val="clear" w:color="auto" w:fill="FFFFFF"/>
        </w:rPr>
      </w:pPr>
      <w:r w:rsidRPr="00D255CD">
        <w:rPr>
          <w:rFonts w:ascii="Arial" w:hAnsi="Arial" w:cs="Arial"/>
          <w:color w:val="000000"/>
          <w:sz w:val="20"/>
          <w:szCs w:val="20"/>
          <w:shd w:val="clear" w:color="auto" w:fill="FFFFFF"/>
        </w:rPr>
        <w:t>1</w:t>
      </w:r>
      <w:r w:rsidRPr="00D255CD">
        <w:rPr>
          <w:rFonts w:ascii="Arial" w:hAnsi="Arial" w:cs="Arial"/>
          <w:color w:val="000000" w:themeColor="text1"/>
          <w:sz w:val="20"/>
          <w:szCs w:val="20"/>
        </w:rPr>
        <w:t>. Prestação de Contas Anual do Instituto Ambiental do Paraná. Exercício de 2017. Regularidade das contas. Emissão de recomendação ao Governo do Estado do Paraná e à SEAP para adoção de providências quanto à realização de concurso público para provimento de servidores para atuar junto ao IAP.</w:t>
      </w:r>
      <w:r w:rsidRPr="00D255CD">
        <w:rPr>
          <w:rFonts w:ascii="Arial" w:hAnsi="Arial" w:cs="Arial"/>
          <w:color w:val="000000"/>
          <w:sz w:val="20"/>
          <w:szCs w:val="20"/>
          <w:shd w:val="clear" w:color="auto" w:fill="FFFFFF"/>
        </w:rPr>
        <w:t xml:space="preserve"> </w:t>
      </w:r>
    </w:p>
    <w:p w14:paraId="2662379D" w14:textId="77777777" w:rsidR="00D255CD" w:rsidRDefault="00D255CD" w:rsidP="00D255CD">
      <w:pPr>
        <w:spacing w:line="276" w:lineRule="auto"/>
        <w:jc w:val="both"/>
        <w:rPr>
          <w:rStyle w:val="Hyperlink"/>
          <w:rFonts w:ascii="Arial" w:hAnsi="Arial" w:cs="Arial"/>
          <w:color w:val="000000" w:themeColor="text1"/>
          <w:sz w:val="20"/>
          <w:szCs w:val="20"/>
          <w:u w:val="none"/>
        </w:rPr>
      </w:pPr>
    </w:p>
    <w:p w14:paraId="31DF911B" w14:textId="18378E7E" w:rsidR="00D255CD" w:rsidRPr="00D255CD" w:rsidRDefault="00D255CD" w:rsidP="00D255CD">
      <w:pPr>
        <w:spacing w:line="276" w:lineRule="auto"/>
        <w:jc w:val="both"/>
        <w:rPr>
          <w:rFonts w:ascii="Arial" w:hAnsi="Arial" w:cs="Arial"/>
          <w:color w:val="000000" w:themeColor="text1"/>
          <w:sz w:val="20"/>
          <w:szCs w:val="20"/>
        </w:rPr>
      </w:pPr>
      <w:r w:rsidRPr="00D255CD">
        <w:rPr>
          <w:rStyle w:val="Hyperlink"/>
          <w:rFonts w:ascii="Arial" w:hAnsi="Arial" w:cs="Arial"/>
          <w:color w:val="000000" w:themeColor="text1"/>
          <w:sz w:val="20"/>
          <w:szCs w:val="20"/>
          <w:u w:val="none"/>
        </w:rPr>
        <w:t xml:space="preserve">2. </w:t>
      </w:r>
      <w:r w:rsidRPr="00D255CD">
        <w:rPr>
          <w:rFonts w:ascii="Arial" w:hAnsi="Arial" w:cs="Arial"/>
          <w:color w:val="000000" w:themeColor="text1"/>
          <w:sz w:val="20"/>
          <w:szCs w:val="20"/>
        </w:rPr>
        <w:t>Auditoria. Avaliação do planejamento dos investimentos federais em infraestrutura hídrica. Investimentos federais carentes de planejamento sistêmico, institucionalizado e estruturado no longo prazo. Política pública setorial mal formulada. Descumprimento de determinação estabelecida desde a vigência do plano plurianual (PPA) 2012-2015. Formulação do plano nacional de segurança hídrica (PNSH) sem a participação efetiva do ministério responsável. Risco de que resultados futuros não apresentem quadros de melhora. Determinações. Ciência.</w:t>
      </w:r>
    </w:p>
    <w:p w14:paraId="0AF90216" w14:textId="77777777" w:rsidR="00D255CD" w:rsidRDefault="00D255CD" w:rsidP="00D255CD">
      <w:pPr>
        <w:spacing w:line="276" w:lineRule="auto"/>
        <w:jc w:val="both"/>
        <w:rPr>
          <w:rFonts w:ascii="Arial" w:hAnsi="Arial" w:cs="Arial"/>
          <w:color w:val="000000" w:themeColor="text1"/>
          <w:sz w:val="20"/>
          <w:szCs w:val="20"/>
        </w:rPr>
      </w:pPr>
    </w:p>
    <w:p w14:paraId="68CE7E7D" w14:textId="20FC5296" w:rsidR="00D255CD" w:rsidRPr="00D255CD" w:rsidRDefault="00D255CD" w:rsidP="00D255CD">
      <w:pPr>
        <w:spacing w:line="276" w:lineRule="auto"/>
        <w:jc w:val="both"/>
        <w:rPr>
          <w:rFonts w:ascii="Arial" w:hAnsi="Arial" w:cs="Arial"/>
          <w:color w:val="000000" w:themeColor="text1"/>
          <w:sz w:val="20"/>
          <w:szCs w:val="20"/>
        </w:rPr>
      </w:pPr>
      <w:r w:rsidRPr="00D255CD">
        <w:rPr>
          <w:rFonts w:ascii="Arial" w:hAnsi="Arial" w:cs="Arial"/>
          <w:color w:val="000000" w:themeColor="text1"/>
          <w:sz w:val="20"/>
          <w:szCs w:val="20"/>
        </w:rPr>
        <w:t>3. Auditoria Especial. Disposição dos resíduos sólidos domiciliares. Diagnóstico anual sobre destino final de resíduos sólidos do TCE-PE. Uso de “lixões” como forma de descarte dos resíduos. Irregularidade. Inadequada disposição final de resíduos sólidos urbanos.</w:t>
      </w:r>
    </w:p>
    <w:p w14:paraId="438B2DD5" w14:textId="77777777" w:rsidR="00D255CD" w:rsidRDefault="00D255CD" w:rsidP="00D255CD">
      <w:pPr>
        <w:spacing w:line="276" w:lineRule="auto"/>
        <w:jc w:val="both"/>
        <w:rPr>
          <w:rFonts w:ascii="Arial" w:hAnsi="Arial" w:cs="Arial"/>
          <w:color w:val="000000"/>
          <w:sz w:val="20"/>
          <w:szCs w:val="20"/>
          <w:shd w:val="clear" w:color="auto" w:fill="FFFFFF"/>
        </w:rPr>
      </w:pPr>
    </w:p>
    <w:p w14:paraId="54D77EC4" w14:textId="0DD1C54F" w:rsidR="00D255CD" w:rsidRPr="00D255CD" w:rsidRDefault="00D255CD" w:rsidP="00D255CD">
      <w:pPr>
        <w:spacing w:line="276" w:lineRule="auto"/>
        <w:jc w:val="both"/>
        <w:rPr>
          <w:rFonts w:ascii="Arial" w:eastAsiaTheme="minorHAnsi" w:hAnsi="Arial" w:cs="Arial"/>
          <w:color w:val="000000"/>
          <w:sz w:val="20"/>
          <w:szCs w:val="20"/>
          <w:shd w:val="clear" w:color="auto" w:fill="FFFFFF"/>
          <w:lang w:eastAsia="en-US"/>
        </w:rPr>
      </w:pPr>
      <w:r w:rsidRPr="00D255CD">
        <w:rPr>
          <w:rFonts w:ascii="Arial" w:hAnsi="Arial" w:cs="Arial"/>
          <w:color w:val="000000"/>
          <w:sz w:val="20"/>
          <w:szCs w:val="20"/>
          <w:shd w:val="clear" w:color="auto" w:fill="FFFFFF"/>
        </w:rPr>
        <w:t xml:space="preserve">4. </w:t>
      </w:r>
      <w:r w:rsidRPr="00D255CD">
        <w:rPr>
          <w:rFonts w:ascii="Arial" w:eastAsiaTheme="minorHAnsi" w:hAnsi="Arial" w:cs="Arial"/>
          <w:color w:val="000000"/>
          <w:sz w:val="20"/>
          <w:szCs w:val="20"/>
          <w:shd w:val="clear" w:color="auto" w:fill="FFFFFF"/>
          <w:lang w:eastAsia="en-US"/>
        </w:rPr>
        <w:t>Recurso Extraordinário. Lei estadual 12.131/2004, Rio Grande do Sul. Código Estadual de Proteção aos Animais. Sacrifício ritual de animais em cultos de religiões de matriz africana. Permissão. Constitucionalidade.</w:t>
      </w:r>
    </w:p>
    <w:p w14:paraId="7B2D1AFA" w14:textId="77777777" w:rsidR="00D255CD" w:rsidRDefault="00D255CD" w:rsidP="00D255CD">
      <w:pPr>
        <w:spacing w:line="276" w:lineRule="auto"/>
        <w:jc w:val="both"/>
        <w:rPr>
          <w:rFonts w:ascii="Arial" w:hAnsi="Arial" w:cs="Arial"/>
          <w:color w:val="000000"/>
          <w:sz w:val="20"/>
          <w:szCs w:val="20"/>
          <w:shd w:val="clear" w:color="auto" w:fill="FFFFFF"/>
        </w:rPr>
      </w:pPr>
    </w:p>
    <w:p w14:paraId="6A26FA9E" w14:textId="4D6A1ED1" w:rsidR="00D255CD" w:rsidRPr="00D255CD" w:rsidRDefault="00D255CD" w:rsidP="00D255CD">
      <w:pPr>
        <w:spacing w:line="276" w:lineRule="auto"/>
        <w:jc w:val="both"/>
        <w:rPr>
          <w:rFonts w:ascii="Arial" w:hAnsi="Arial" w:cs="Arial"/>
          <w:color w:val="000000"/>
          <w:sz w:val="20"/>
          <w:szCs w:val="20"/>
          <w:shd w:val="clear" w:color="auto" w:fill="FFFFFF"/>
        </w:rPr>
      </w:pPr>
      <w:r w:rsidRPr="00D255CD">
        <w:rPr>
          <w:rFonts w:ascii="Arial" w:hAnsi="Arial" w:cs="Arial"/>
          <w:color w:val="000000"/>
          <w:sz w:val="20"/>
          <w:szCs w:val="20"/>
          <w:shd w:val="clear" w:color="auto" w:fill="FFFFFF"/>
        </w:rPr>
        <w:t>5. Processo civil. Recurso especial. Ambiental. Apreensão de veículo. Transporte de aves silvestres sem autorização. Revisão da jurisprudência. Comprovação da utilização específica e exclusiva do bem na prática do ilícito ambiental. Desnecessidade. Efeito dissuasório da legislação. Recrudescimento da atividade fiscalizatória. Recurso provido.</w:t>
      </w:r>
    </w:p>
    <w:p w14:paraId="749A744C" w14:textId="77777777" w:rsidR="00D255CD" w:rsidRPr="00D255CD" w:rsidRDefault="00D255CD" w:rsidP="00D255CD">
      <w:pPr>
        <w:autoSpaceDE w:val="0"/>
        <w:autoSpaceDN w:val="0"/>
        <w:adjustRightInd w:val="0"/>
        <w:spacing w:line="276" w:lineRule="auto"/>
        <w:jc w:val="both"/>
        <w:rPr>
          <w:rFonts w:ascii="Arial" w:hAnsi="Arial" w:cs="Arial"/>
          <w:sz w:val="20"/>
          <w:szCs w:val="20"/>
        </w:rPr>
      </w:pPr>
    </w:p>
    <w:p w14:paraId="6B25001B" w14:textId="77777777" w:rsidR="005A143D" w:rsidRPr="00D255CD" w:rsidRDefault="005A143D" w:rsidP="00D255CD">
      <w:pPr>
        <w:spacing w:line="276" w:lineRule="auto"/>
        <w:jc w:val="both"/>
        <w:rPr>
          <w:rStyle w:val="Hyperlink"/>
          <w:rFonts w:ascii="Arial" w:hAnsi="Arial" w:cs="Arial"/>
          <w:b/>
          <w:color w:val="000000" w:themeColor="text1"/>
          <w:sz w:val="20"/>
          <w:szCs w:val="20"/>
          <w:u w:val="none"/>
        </w:rPr>
      </w:pPr>
    </w:p>
    <w:p w14:paraId="2059E48E" w14:textId="77777777" w:rsidR="00B34863" w:rsidRPr="00D255CD" w:rsidRDefault="00B34863" w:rsidP="00D255CD">
      <w:pPr>
        <w:shd w:val="pct10" w:color="auto" w:fill="auto"/>
        <w:spacing w:line="276" w:lineRule="auto"/>
        <w:jc w:val="center"/>
        <w:rPr>
          <w:rFonts w:ascii="Arial" w:hAnsi="Arial" w:cs="Arial"/>
          <w:b/>
          <w:sz w:val="20"/>
          <w:szCs w:val="20"/>
        </w:rPr>
      </w:pPr>
      <w:r w:rsidRPr="00D255CD">
        <w:rPr>
          <w:rFonts w:ascii="Arial" w:hAnsi="Arial" w:cs="Arial"/>
          <w:b/>
          <w:sz w:val="20"/>
          <w:szCs w:val="20"/>
        </w:rPr>
        <w:t xml:space="preserve">TRIBUNAL DE CONTAS DO ESTADO DO PARANÁ </w:t>
      </w:r>
    </w:p>
    <w:p w14:paraId="33A1EEE8" w14:textId="77777777" w:rsidR="00B036BD" w:rsidRPr="00D255CD" w:rsidRDefault="00B036BD" w:rsidP="00D255CD">
      <w:pPr>
        <w:spacing w:line="276" w:lineRule="auto"/>
        <w:jc w:val="both"/>
        <w:rPr>
          <w:rFonts w:ascii="Arial" w:hAnsi="Arial" w:cs="Arial"/>
          <w:b/>
          <w:color w:val="000000"/>
          <w:sz w:val="20"/>
          <w:szCs w:val="20"/>
          <w:shd w:val="clear" w:color="auto" w:fill="FFFFFF"/>
        </w:rPr>
      </w:pPr>
    </w:p>
    <w:p w14:paraId="20DAB31C" w14:textId="5425FE63" w:rsidR="00DE4B94" w:rsidRPr="00D255CD" w:rsidRDefault="00A476D7" w:rsidP="00D255CD">
      <w:pPr>
        <w:spacing w:line="276" w:lineRule="auto"/>
        <w:jc w:val="both"/>
        <w:rPr>
          <w:rFonts w:ascii="Arial" w:hAnsi="Arial" w:cs="Arial"/>
          <w:b/>
          <w:color w:val="000000"/>
          <w:sz w:val="20"/>
          <w:szCs w:val="20"/>
          <w:shd w:val="clear" w:color="auto" w:fill="FFFFFF"/>
        </w:rPr>
      </w:pPr>
      <w:r w:rsidRPr="00D255CD">
        <w:rPr>
          <w:rFonts w:ascii="Arial" w:hAnsi="Arial" w:cs="Arial"/>
          <w:b/>
          <w:color w:val="000000"/>
          <w:sz w:val="20"/>
          <w:szCs w:val="20"/>
          <w:shd w:val="clear" w:color="auto" w:fill="FFFFFF"/>
        </w:rPr>
        <w:t>1</w:t>
      </w:r>
      <w:r w:rsidRPr="00D255CD">
        <w:rPr>
          <w:rFonts w:ascii="Arial" w:hAnsi="Arial" w:cs="Arial"/>
          <w:b/>
          <w:color w:val="000000" w:themeColor="text1"/>
          <w:sz w:val="20"/>
          <w:szCs w:val="20"/>
        </w:rPr>
        <w:t xml:space="preserve">. </w:t>
      </w:r>
      <w:r w:rsidR="00BA6733" w:rsidRPr="00D255CD">
        <w:rPr>
          <w:rFonts w:ascii="Arial" w:hAnsi="Arial" w:cs="Arial"/>
          <w:b/>
          <w:color w:val="000000" w:themeColor="text1"/>
          <w:sz w:val="20"/>
          <w:szCs w:val="20"/>
        </w:rPr>
        <w:t xml:space="preserve">Prestação de Contas Anual do Instituto Ambiental do Paraná. Exercício de 2017. Regularidade das contas. Emissão de recomendação ao Governo do Estado do Paraná e </w:t>
      </w:r>
      <w:r w:rsidR="00BA6733" w:rsidRPr="00D255CD">
        <w:rPr>
          <w:rFonts w:ascii="Arial" w:hAnsi="Arial" w:cs="Arial"/>
          <w:b/>
          <w:color w:val="000000" w:themeColor="text1"/>
          <w:sz w:val="20"/>
          <w:szCs w:val="20"/>
        </w:rPr>
        <w:lastRenderedPageBreak/>
        <w:t>à SEAP para adoção de providências quanto à realização de concurso público para provimento de servidores para atuar junto ao IAP</w:t>
      </w:r>
      <w:r w:rsidR="00DE4B94" w:rsidRPr="00D255CD">
        <w:rPr>
          <w:rFonts w:ascii="Arial" w:hAnsi="Arial" w:cs="Arial"/>
          <w:b/>
          <w:color w:val="000000" w:themeColor="text1"/>
          <w:sz w:val="20"/>
          <w:szCs w:val="20"/>
        </w:rPr>
        <w:t>.</w:t>
      </w:r>
      <w:r w:rsidR="00DE4B94" w:rsidRPr="00D255CD">
        <w:rPr>
          <w:rFonts w:ascii="Arial" w:hAnsi="Arial" w:cs="Arial"/>
          <w:b/>
          <w:color w:val="000000"/>
          <w:sz w:val="20"/>
          <w:szCs w:val="20"/>
          <w:shd w:val="clear" w:color="auto" w:fill="FFFFFF"/>
        </w:rPr>
        <w:t xml:space="preserve"> </w:t>
      </w:r>
    </w:p>
    <w:p w14:paraId="0B0B04EC" w14:textId="77777777" w:rsidR="00514A9E" w:rsidRPr="00D255CD" w:rsidRDefault="00514A9E" w:rsidP="00D255CD">
      <w:pPr>
        <w:pStyle w:val="Corpodetexto"/>
        <w:spacing w:line="276" w:lineRule="auto"/>
        <w:jc w:val="both"/>
        <w:rPr>
          <w:rFonts w:ascii="Arial" w:hAnsi="Arial" w:cs="Arial"/>
          <w:sz w:val="20"/>
          <w:szCs w:val="20"/>
          <w:shd w:val="clear" w:color="auto" w:fill="FFFFFF"/>
          <w:lang w:val="pt-BR"/>
        </w:rPr>
      </w:pPr>
    </w:p>
    <w:p w14:paraId="69715330" w14:textId="1B99DC7C" w:rsidR="00514A9E" w:rsidRPr="00D255CD" w:rsidRDefault="00CD3090" w:rsidP="00D255CD">
      <w:pPr>
        <w:pStyle w:val="Corpodetexto"/>
        <w:spacing w:line="276" w:lineRule="auto"/>
        <w:jc w:val="both"/>
        <w:rPr>
          <w:rFonts w:ascii="Arial" w:hAnsi="Arial" w:cs="Arial"/>
          <w:sz w:val="20"/>
          <w:szCs w:val="20"/>
          <w:shd w:val="clear" w:color="auto" w:fill="FFFFFF"/>
          <w:lang w:val="pt-BR"/>
        </w:rPr>
      </w:pPr>
      <w:r w:rsidRPr="00D255CD">
        <w:rPr>
          <w:rFonts w:ascii="Arial" w:hAnsi="Arial" w:cs="Arial"/>
          <w:sz w:val="20"/>
          <w:szCs w:val="20"/>
          <w:shd w:val="clear" w:color="auto" w:fill="FFFFFF"/>
          <w:lang w:val="pt-BR"/>
        </w:rPr>
        <w:t>No que tange ao apontamento de ineficiência no controle e fiscalização, foi evidenciada 1) a existência de áreas de disposição final de resíduos sólidos urbanos municipais, lixões, sem atuação de cunho fiscalizatório realizada após agosto de 2014. Também foi apontada 2) ausência de autuações de cunho fiscalizatório em barracões utilizados para triagem de resíduos sólidos urbanos municipais, 3) a ausência de controle sobre cumprimento de condicionantes estabelecidas em licenças ambientais de proteção, em áreas de disposição final de resíduos sólidos urbanos municipais e ainda, 4) inconsistências nas informações de controle acerca da situação dos referidos lixões</w:t>
      </w:r>
      <w:r w:rsidRPr="00D255CD">
        <w:rPr>
          <w:rFonts w:ascii="Arial" w:hAnsi="Arial" w:cs="Arial"/>
          <w:sz w:val="20"/>
          <w:szCs w:val="20"/>
          <w:shd w:val="clear" w:color="auto" w:fill="FFFFFF"/>
          <w:lang w:val="pt-BR"/>
        </w:rPr>
        <w:t>.</w:t>
      </w:r>
    </w:p>
    <w:p w14:paraId="78AC4B13" w14:textId="77777777" w:rsidR="00CD3090" w:rsidRPr="00D255CD" w:rsidRDefault="00CD3090" w:rsidP="00D255CD">
      <w:pPr>
        <w:spacing w:line="276" w:lineRule="auto"/>
        <w:jc w:val="both"/>
        <w:rPr>
          <w:rFonts w:ascii="Arial" w:eastAsiaTheme="minorHAnsi" w:hAnsi="Arial" w:cs="Arial"/>
          <w:b/>
          <w:sz w:val="20"/>
          <w:szCs w:val="20"/>
          <w:lang w:eastAsia="en-US"/>
        </w:rPr>
      </w:pPr>
    </w:p>
    <w:p w14:paraId="137A0F53" w14:textId="7CD97E69" w:rsidR="00A476D7" w:rsidRPr="00D255CD" w:rsidRDefault="00A476D7" w:rsidP="00D255CD">
      <w:pPr>
        <w:spacing w:line="276" w:lineRule="auto"/>
        <w:jc w:val="both"/>
        <w:rPr>
          <w:rFonts w:ascii="Arial" w:hAnsi="Arial" w:cs="Arial"/>
          <w:sz w:val="20"/>
          <w:szCs w:val="20"/>
        </w:rPr>
      </w:pPr>
      <w:r w:rsidRPr="00D255CD">
        <w:rPr>
          <w:rFonts w:ascii="Arial" w:hAnsi="Arial" w:cs="Arial"/>
          <w:sz w:val="20"/>
          <w:szCs w:val="20"/>
        </w:rPr>
        <w:t xml:space="preserve">TCE-PR, </w:t>
      </w:r>
      <w:r w:rsidR="00514A9E" w:rsidRPr="00D255CD">
        <w:rPr>
          <w:rFonts w:ascii="Arial" w:hAnsi="Arial" w:cs="Arial"/>
          <w:sz w:val="20"/>
          <w:szCs w:val="20"/>
        </w:rPr>
        <w:t>Processo nº</w:t>
      </w:r>
      <w:r w:rsidRPr="00D255CD">
        <w:rPr>
          <w:rFonts w:ascii="Arial" w:hAnsi="Arial" w:cs="Arial"/>
          <w:sz w:val="20"/>
          <w:szCs w:val="20"/>
        </w:rPr>
        <w:t xml:space="preserve"> </w:t>
      </w:r>
      <w:r w:rsidR="00CD3090" w:rsidRPr="00D255CD">
        <w:rPr>
          <w:rFonts w:ascii="Arial" w:hAnsi="Arial" w:cs="Arial"/>
          <w:sz w:val="20"/>
          <w:szCs w:val="20"/>
        </w:rPr>
        <w:t>220576</w:t>
      </w:r>
      <w:r w:rsidRPr="00D255CD">
        <w:rPr>
          <w:rFonts w:ascii="Arial" w:hAnsi="Arial" w:cs="Arial"/>
          <w:sz w:val="20"/>
          <w:szCs w:val="20"/>
        </w:rPr>
        <w:t>/1</w:t>
      </w:r>
      <w:r w:rsidR="00CD3090" w:rsidRPr="00D255CD">
        <w:rPr>
          <w:rFonts w:ascii="Arial" w:hAnsi="Arial" w:cs="Arial"/>
          <w:sz w:val="20"/>
          <w:szCs w:val="20"/>
        </w:rPr>
        <w:t>8</w:t>
      </w:r>
      <w:r w:rsidRPr="00D255CD">
        <w:rPr>
          <w:rFonts w:ascii="Arial" w:hAnsi="Arial" w:cs="Arial"/>
          <w:sz w:val="20"/>
          <w:szCs w:val="20"/>
        </w:rPr>
        <w:t>,</w:t>
      </w:r>
      <w:r w:rsidR="00DE4B94" w:rsidRPr="00D255CD">
        <w:rPr>
          <w:rFonts w:ascii="Arial" w:hAnsi="Arial" w:cs="Arial"/>
          <w:sz w:val="20"/>
          <w:szCs w:val="20"/>
        </w:rPr>
        <w:t xml:space="preserve"> </w:t>
      </w:r>
      <w:hyperlink r:id="rId8" w:history="1">
        <w:r w:rsidR="00DE4B94" w:rsidRPr="00D255CD">
          <w:rPr>
            <w:rStyle w:val="Hyperlink"/>
            <w:rFonts w:ascii="Arial" w:hAnsi="Arial" w:cs="Arial"/>
            <w:b/>
            <w:sz w:val="20"/>
            <w:szCs w:val="20"/>
          </w:rPr>
          <w:t xml:space="preserve">Acórdão n.º </w:t>
        </w:r>
        <w:r w:rsidR="00CD3090" w:rsidRPr="00D255CD">
          <w:rPr>
            <w:rStyle w:val="Hyperlink"/>
            <w:rFonts w:ascii="Arial" w:hAnsi="Arial" w:cs="Arial"/>
            <w:b/>
            <w:sz w:val="20"/>
            <w:szCs w:val="20"/>
          </w:rPr>
          <w:t>538</w:t>
        </w:r>
        <w:r w:rsidR="00DE4B94" w:rsidRPr="00D255CD">
          <w:rPr>
            <w:rStyle w:val="Hyperlink"/>
            <w:rFonts w:ascii="Arial" w:hAnsi="Arial" w:cs="Arial"/>
            <w:b/>
            <w:sz w:val="20"/>
            <w:szCs w:val="20"/>
          </w:rPr>
          <w:t>/1</w:t>
        </w:r>
        <w:r w:rsidR="00514A9E" w:rsidRPr="00D255CD">
          <w:rPr>
            <w:rStyle w:val="Hyperlink"/>
            <w:rFonts w:ascii="Arial" w:hAnsi="Arial" w:cs="Arial"/>
            <w:b/>
            <w:sz w:val="20"/>
            <w:szCs w:val="20"/>
          </w:rPr>
          <w:t>9</w:t>
        </w:r>
        <w:r w:rsidR="00DE4B94" w:rsidRPr="00D255CD">
          <w:rPr>
            <w:rStyle w:val="Hyperlink"/>
            <w:rFonts w:ascii="Arial" w:hAnsi="Arial" w:cs="Arial"/>
            <w:b/>
            <w:sz w:val="20"/>
            <w:szCs w:val="20"/>
          </w:rPr>
          <w:t xml:space="preserve"> – Tribunal Pleno</w:t>
        </w:r>
      </w:hyperlink>
      <w:r w:rsidR="00DE4B94" w:rsidRPr="00D255CD">
        <w:rPr>
          <w:rFonts w:ascii="Arial" w:hAnsi="Arial" w:cs="Arial"/>
          <w:sz w:val="20"/>
          <w:szCs w:val="20"/>
        </w:rPr>
        <w:t xml:space="preserve">, </w:t>
      </w:r>
      <w:r w:rsidRPr="00D255CD">
        <w:rPr>
          <w:rFonts w:ascii="Arial" w:hAnsi="Arial" w:cs="Arial"/>
          <w:sz w:val="20"/>
          <w:szCs w:val="20"/>
        </w:rPr>
        <w:t xml:space="preserve">Rel. Cons. </w:t>
      </w:r>
      <w:r w:rsidR="009646AB" w:rsidRPr="00D255CD">
        <w:rPr>
          <w:rFonts w:ascii="Arial" w:hAnsi="Arial" w:cs="Arial"/>
          <w:sz w:val="20"/>
          <w:szCs w:val="20"/>
        </w:rPr>
        <w:t>Fernando Augusto Mello Guimarães.</w:t>
      </w:r>
    </w:p>
    <w:p w14:paraId="4B2184F7" w14:textId="77777777" w:rsidR="00A476D7" w:rsidRPr="00D255CD" w:rsidRDefault="00A476D7" w:rsidP="00D255CD">
      <w:pPr>
        <w:spacing w:line="276" w:lineRule="auto"/>
        <w:jc w:val="both"/>
        <w:rPr>
          <w:rFonts w:ascii="Arial" w:hAnsi="Arial" w:cs="Arial"/>
          <w:sz w:val="20"/>
          <w:szCs w:val="20"/>
        </w:rPr>
      </w:pPr>
    </w:p>
    <w:p w14:paraId="57A04274" w14:textId="77777777" w:rsidR="00B34863" w:rsidRPr="00D255CD" w:rsidRDefault="00B34863" w:rsidP="00D255CD">
      <w:pPr>
        <w:shd w:val="pct10" w:color="auto" w:fill="auto"/>
        <w:spacing w:line="276" w:lineRule="auto"/>
        <w:jc w:val="center"/>
        <w:rPr>
          <w:rFonts w:ascii="Arial" w:hAnsi="Arial" w:cs="Arial"/>
          <w:b/>
          <w:sz w:val="20"/>
          <w:szCs w:val="20"/>
        </w:rPr>
      </w:pPr>
      <w:r w:rsidRPr="00D255CD">
        <w:rPr>
          <w:rFonts w:ascii="Arial" w:hAnsi="Arial" w:cs="Arial"/>
          <w:b/>
          <w:sz w:val="20"/>
          <w:szCs w:val="20"/>
        </w:rPr>
        <w:t xml:space="preserve">TRIBUNAL DE CONTAS DA UNIÃO </w:t>
      </w:r>
    </w:p>
    <w:p w14:paraId="3A222E30" w14:textId="77777777" w:rsidR="00B34863" w:rsidRPr="00D255CD" w:rsidRDefault="00B34863" w:rsidP="00D255CD">
      <w:pPr>
        <w:spacing w:line="276" w:lineRule="auto"/>
        <w:jc w:val="both"/>
        <w:rPr>
          <w:rStyle w:val="Hyperlink"/>
          <w:rFonts w:ascii="Arial" w:hAnsi="Arial" w:cs="Arial"/>
          <w:b/>
          <w:color w:val="000000" w:themeColor="text1"/>
          <w:sz w:val="20"/>
          <w:szCs w:val="20"/>
          <w:highlight w:val="yellow"/>
          <w:u w:val="none"/>
        </w:rPr>
      </w:pPr>
    </w:p>
    <w:p w14:paraId="273FEEDB" w14:textId="588B93F0" w:rsidR="00DF6F7F" w:rsidRPr="00D255CD" w:rsidRDefault="003D704E" w:rsidP="00D255CD">
      <w:pPr>
        <w:spacing w:line="276" w:lineRule="auto"/>
        <w:jc w:val="both"/>
        <w:rPr>
          <w:rFonts w:ascii="Arial" w:hAnsi="Arial" w:cs="Arial"/>
          <w:b/>
          <w:color w:val="000000" w:themeColor="text1"/>
          <w:sz w:val="20"/>
          <w:szCs w:val="20"/>
        </w:rPr>
      </w:pPr>
      <w:bookmarkStart w:id="0" w:name="_Hlk11857020"/>
      <w:r w:rsidRPr="00D255CD">
        <w:rPr>
          <w:rStyle w:val="Hyperlink"/>
          <w:rFonts w:ascii="Arial" w:hAnsi="Arial" w:cs="Arial"/>
          <w:b/>
          <w:color w:val="000000" w:themeColor="text1"/>
          <w:sz w:val="20"/>
          <w:szCs w:val="20"/>
          <w:u w:val="none"/>
        </w:rPr>
        <w:t xml:space="preserve">2. </w:t>
      </w:r>
      <w:bookmarkEnd w:id="0"/>
      <w:r w:rsidR="00CD3090" w:rsidRPr="00D255CD">
        <w:rPr>
          <w:rFonts w:ascii="Arial" w:hAnsi="Arial" w:cs="Arial"/>
          <w:b/>
          <w:color w:val="000000" w:themeColor="text1"/>
          <w:sz w:val="20"/>
          <w:szCs w:val="20"/>
        </w:rPr>
        <w:t>Auditoria. Avaliação do planejamento dos investimentos federais em infraestrutura hídrica. Investimentos federais carentes de planejamento sistêmico, institucionalizado e estruturado no longo prazo. Política pública setorial mal formulada. Descumprimento de determinação estabelecida desde a vigência do plano plurianual (PPA) 2012-2015. Formulação do plano nacional de segurança hídrica (PNSH) sem a participação efetiva do ministério responsável. Risco de que resultados futuros não apresentem quadros de melhora. Determinações. Ciência</w:t>
      </w:r>
      <w:r w:rsidR="00CD3090" w:rsidRPr="00D255CD">
        <w:rPr>
          <w:rFonts w:ascii="Arial" w:hAnsi="Arial" w:cs="Arial"/>
          <w:b/>
          <w:color w:val="000000" w:themeColor="text1"/>
          <w:sz w:val="20"/>
          <w:szCs w:val="20"/>
        </w:rPr>
        <w:t>.</w:t>
      </w:r>
    </w:p>
    <w:p w14:paraId="1D353952" w14:textId="6515C8D4" w:rsidR="00B036BD" w:rsidRPr="00D255CD" w:rsidRDefault="00B036BD" w:rsidP="00D255CD">
      <w:pPr>
        <w:spacing w:line="276" w:lineRule="auto"/>
        <w:jc w:val="both"/>
        <w:rPr>
          <w:rStyle w:val="Hyperlink"/>
          <w:rFonts w:ascii="Arial" w:hAnsi="Arial" w:cs="Arial"/>
          <w:b/>
          <w:color w:val="000000" w:themeColor="text1"/>
          <w:sz w:val="20"/>
          <w:szCs w:val="20"/>
          <w:u w:val="none"/>
        </w:rPr>
      </w:pPr>
    </w:p>
    <w:p w14:paraId="4A2AD116" w14:textId="2BE48A21" w:rsidR="006D5DB6" w:rsidRPr="00D255CD" w:rsidRDefault="006D5DB6" w:rsidP="00D255CD">
      <w:pPr>
        <w:pStyle w:val="Corpodetexto"/>
        <w:spacing w:line="276" w:lineRule="auto"/>
        <w:jc w:val="both"/>
        <w:rPr>
          <w:rFonts w:ascii="Arial" w:hAnsi="Arial" w:cs="Arial"/>
          <w:sz w:val="20"/>
          <w:szCs w:val="20"/>
          <w:shd w:val="clear" w:color="auto" w:fill="FFFFFF"/>
          <w:lang w:val="pt-BR"/>
        </w:rPr>
      </w:pPr>
      <w:r w:rsidRPr="00D255CD">
        <w:rPr>
          <w:rFonts w:ascii="Arial" w:hAnsi="Arial" w:cs="Arial"/>
          <w:sz w:val="20"/>
          <w:szCs w:val="20"/>
          <w:shd w:val="clear" w:color="auto" w:fill="FFFFFF"/>
          <w:lang w:val="pt-BR"/>
        </w:rPr>
        <w:t xml:space="preserve">O presente trabalho teve o objetivo de avaliar o planejamento dos investimentos federais em infraestrutura hídrica, com vistas a mitigar a má distribuição temporal e espacial dos recursos hídricos no território brasileiro, atendendo a comunicação feita pelo Ministro Augusto </w:t>
      </w:r>
      <w:proofErr w:type="spellStart"/>
      <w:r w:rsidRPr="00D255CD">
        <w:rPr>
          <w:rFonts w:ascii="Arial" w:hAnsi="Arial" w:cs="Arial"/>
          <w:sz w:val="20"/>
          <w:szCs w:val="20"/>
          <w:shd w:val="clear" w:color="auto" w:fill="FFFFFF"/>
          <w:lang w:val="pt-BR"/>
        </w:rPr>
        <w:t>Nardes</w:t>
      </w:r>
      <w:proofErr w:type="spellEnd"/>
      <w:r w:rsidRPr="00D255CD">
        <w:rPr>
          <w:rFonts w:ascii="Arial" w:hAnsi="Arial" w:cs="Arial"/>
          <w:sz w:val="20"/>
          <w:szCs w:val="20"/>
          <w:shd w:val="clear" w:color="auto" w:fill="FFFFFF"/>
          <w:lang w:val="pt-BR"/>
        </w:rPr>
        <w:t xml:space="preserve"> (peça 3 do TC 027.887/2017-0).</w:t>
      </w:r>
    </w:p>
    <w:p w14:paraId="67A40797" w14:textId="5D332BA8" w:rsidR="006D5DB6" w:rsidRPr="00D255CD" w:rsidRDefault="006D5DB6" w:rsidP="00D255CD">
      <w:pPr>
        <w:pStyle w:val="Corpodetexto"/>
        <w:spacing w:line="276" w:lineRule="auto"/>
        <w:jc w:val="both"/>
        <w:rPr>
          <w:rFonts w:ascii="Arial" w:hAnsi="Arial" w:cs="Arial"/>
          <w:sz w:val="20"/>
          <w:szCs w:val="20"/>
          <w:shd w:val="clear" w:color="auto" w:fill="FFFFFF"/>
          <w:lang w:val="pt-BR"/>
        </w:rPr>
      </w:pPr>
      <w:r w:rsidRPr="00D255CD">
        <w:rPr>
          <w:rFonts w:ascii="Arial" w:hAnsi="Arial" w:cs="Arial"/>
          <w:sz w:val="20"/>
          <w:szCs w:val="20"/>
          <w:shd w:val="clear" w:color="auto" w:fill="FFFFFF"/>
          <w:lang w:val="pt-BR"/>
        </w:rPr>
        <w:t>Em virtude do padrão e da repetição das irregularidades percebidas nos trabalhos anteriores de fiscalizações em obras de infraestrutura hídrica e pela dificuldade demonstrada em lidar com os eventos críticos de escassez de água dos últimos anos, com crises instaladas nas diversas regiões do território nacional, assentou-se a decisão de realizar esta auditoria operacional. Tendo em vista que os recursos são escassos, a escolha de quais investimentos devem ser executados e a sua priorização constituem pontos cruciais para a superação da escassez hídrica.</w:t>
      </w:r>
    </w:p>
    <w:p w14:paraId="4E3668BF" w14:textId="60A2E291" w:rsidR="006D5DB6" w:rsidRPr="00D255CD" w:rsidRDefault="006D5DB6" w:rsidP="00D255CD">
      <w:pPr>
        <w:pStyle w:val="Corpodetexto"/>
        <w:spacing w:line="276" w:lineRule="auto"/>
        <w:jc w:val="both"/>
        <w:rPr>
          <w:rFonts w:ascii="Arial" w:hAnsi="Arial" w:cs="Arial"/>
          <w:sz w:val="20"/>
          <w:szCs w:val="20"/>
          <w:shd w:val="clear" w:color="auto" w:fill="FFFFFF"/>
          <w:lang w:val="pt-BR"/>
        </w:rPr>
      </w:pPr>
      <w:r w:rsidRPr="00D255CD">
        <w:rPr>
          <w:rFonts w:ascii="Arial" w:hAnsi="Arial" w:cs="Arial"/>
          <w:sz w:val="20"/>
          <w:szCs w:val="20"/>
          <w:shd w:val="clear" w:color="auto" w:fill="FFFFFF"/>
          <w:lang w:val="pt-BR"/>
        </w:rPr>
        <w:t>Concluiu-se com as seguintes proposições:</w:t>
      </w:r>
    </w:p>
    <w:p w14:paraId="36B3D53A" w14:textId="77777777" w:rsidR="006D5DB6" w:rsidRPr="00D255CD" w:rsidRDefault="006D5DB6" w:rsidP="00D255CD">
      <w:pPr>
        <w:pStyle w:val="Corpodetexto"/>
        <w:spacing w:line="276" w:lineRule="auto"/>
        <w:jc w:val="both"/>
        <w:rPr>
          <w:rFonts w:ascii="Arial" w:hAnsi="Arial" w:cs="Arial"/>
          <w:sz w:val="20"/>
          <w:szCs w:val="20"/>
          <w:shd w:val="clear" w:color="auto" w:fill="FFFFFF"/>
          <w:lang w:val="pt-BR"/>
        </w:rPr>
      </w:pPr>
      <w:r w:rsidRPr="00D255CD">
        <w:rPr>
          <w:rFonts w:ascii="Arial" w:hAnsi="Arial" w:cs="Arial"/>
          <w:sz w:val="20"/>
          <w:szCs w:val="20"/>
          <w:shd w:val="clear" w:color="auto" w:fill="FFFFFF"/>
          <w:lang w:val="pt-BR"/>
        </w:rPr>
        <w:t>a) determinar ao Ministério da Integração Nacional, com fundamento no art. 43, inciso I, da Lei 8.443/1992, c/c o art. 250, inciso II, do Regimento Interno do Tribunal de Contas da União, que:</w:t>
      </w:r>
    </w:p>
    <w:p w14:paraId="2C07E398" w14:textId="63DAC2F8" w:rsidR="006D5DB6" w:rsidRPr="00D255CD" w:rsidRDefault="006D5DB6" w:rsidP="00D255CD">
      <w:pPr>
        <w:pStyle w:val="Corpodetexto"/>
        <w:spacing w:line="276" w:lineRule="auto"/>
        <w:jc w:val="both"/>
        <w:rPr>
          <w:rFonts w:ascii="Arial" w:hAnsi="Arial" w:cs="Arial"/>
          <w:sz w:val="20"/>
          <w:szCs w:val="20"/>
          <w:shd w:val="clear" w:color="auto" w:fill="FFFFFF"/>
          <w:lang w:val="pt-BR"/>
        </w:rPr>
      </w:pPr>
      <w:r w:rsidRPr="00D255CD">
        <w:rPr>
          <w:rFonts w:ascii="Arial" w:hAnsi="Arial" w:cs="Arial"/>
          <w:sz w:val="20"/>
          <w:szCs w:val="20"/>
          <w:shd w:val="clear" w:color="auto" w:fill="FFFFFF"/>
          <w:lang w:val="pt-BR"/>
        </w:rPr>
        <w:t xml:space="preserve">a.1) elabore, em conjunto com outros entes governamentais afetos à área, dentre os quais, a Casa Civil da Presidência da República, o Ministério do Planejamento, Desenvolvimento e Gestão e a Agência Nacional de Águas, a proposta de marco legal da Política Nacional de Infraestrutura Hídrica (PNIH), para que seja encaminhada ao Congresso Nacional até o fim da vigência do PPA 2016-2019, com vistas ao cumprimento da meta ‘01LL - Elaborar o marco legal </w:t>
      </w:r>
      <w:r w:rsidRPr="00D255CD">
        <w:rPr>
          <w:rFonts w:ascii="Arial" w:hAnsi="Arial" w:cs="Arial"/>
          <w:sz w:val="20"/>
          <w:szCs w:val="20"/>
          <w:shd w:val="clear" w:color="auto" w:fill="FFFFFF"/>
          <w:lang w:val="pt-BR"/>
        </w:rPr>
        <w:lastRenderedPageBreak/>
        <w:t>da Política Nacional de Infraestrutura Hídrica’, constante do PPA 2016-2019 (Lei 13.249/2016), e do princípio da eficiência administrativa, insculpido no art. 37, caput, da Constituição Federal, considerando ainda o art. 15, § 1º, do Decreto-Lei 200/1967;</w:t>
      </w:r>
    </w:p>
    <w:p w14:paraId="45B309AC" w14:textId="5A768C51" w:rsidR="006D5DB6" w:rsidRPr="00D255CD" w:rsidRDefault="006D5DB6" w:rsidP="00D255CD">
      <w:pPr>
        <w:pStyle w:val="Corpodetexto"/>
        <w:spacing w:line="276" w:lineRule="auto"/>
        <w:jc w:val="both"/>
        <w:rPr>
          <w:rFonts w:ascii="Arial" w:hAnsi="Arial" w:cs="Arial"/>
          <w:sz w:val="20"/>
          <w:szCs w:val="20"/>
          <w:shd w:val="clear" w:color="auto" w:fill="FFFFFF"/>
          <w:lang w:val="pt-BR"/>
        </w:rPr>
      </w:pPr>
      <w:r w:rsidRPr="00D255CD">
        <w:rPr>
          <w:rFonts w:ascii="Arial" w:hAnsi="Arial" w:cs="Arial"/>
          <w:sz w:val="20"/>
          <w:szCs w:val="20"/>
          <w:shd w:val="clear" w:color="auto" w:fill="FFFFFF"/>
          <w:lang w:val="pt-BR"/>
        </w:rPr>
        <w:t>a.2) acompanhe, juntamente à Agência Nacional de Águas, a conclusão do Plano Nacional de Segurança Hídrica (PNSH), aprovando os produtos intermediários e finais contratados, até a data da entrega definitiva do referido plano, com o objetivo de assegurar que as diretrizes setoriais sejam observadas, com vistas ao cumprimento da meta ‘01LM - Concluir o Plano Nacional de Segurança Hídrica, por meio do diagnóstico da infraestrutura hídrica do país’, constante do PPA 2016-2019 (Lei 13.249/2016), do art. 19 do Decreto 8.980/2017 e do princípio da eficiência administrativa, insculpido no art. 37, caput, da Constituição Federal;</w:t>
      </w:r>
    </w:p>
    <w:p w14:paraId="0086E1F5" w14:textId="1625EBE9" w:rsidR="006D5DB6" w:rsidRPr="00D255CD" w:rsidRDefault="006D5DB6" w:rsidP="00D255CD">
      <w:pPr>
        <w:pStyle w:val="Corpodetexto"/>
        <w:spacing w:line="276" w:lineRule="auto"/>
        <w:jc w:val="both"/>
        <w:rPr>
          <w:rFonts w:ascii="Arial" w:hAnsi="Arial" w:cs="Arial"/>
          <w:sz w:val="20"/>
          <w:szCs w:val="20"/>
          <w:shd w:val="clear" w:color="auto" w:fill="FFFFFF"/>
          <w:lang w:val="pt-BR"/>
        </w:rPr>
      </w:pPr>
      <w:r w:rsidRPr="00D255CD">
        <w:rPr>
          <w:rFonts w:ascii="Arial" w:hAnsi="Arial" w:cs="Arial"/>
          <w:sz w:val="20"/>
          <w:szCs w:val="20"/>
          <w:shd w:val="clear" w:color="auto" w:fill="FFFFFF"/>
          <w:lang w:val="pt-BR"/>
        </w:rPr>
        <w:t>a.3) demonstre, em documento formal circunstanciado, elaborado conforme o item a.4 seguinte, na priorização e na seleção dos investimentos em infraestrutura hídrica, a utilização de critérios técnicos, objetivos e atualizados, aderentes às políticas públicas setoriais, e a realização de avaliação sistêmica e conjunta de carências e dos projetos disponíveis, inclusive para a seleção das obras que atenderão aos pleitos regionais e parlamentares, com vistas ao cumprimento dos princípios da eficiência administrativa, da economicidade e da finalidade, insculpidos no art. 37, caput, da Constituição Federal, e ao princípio da motivação, previsto no art. 2º da Lei 9.784/1999;</w:t>
      </w:r>
    </w:p>
    <w:p w14:paraId="519718A5" w14:textId="47D7F627" w:rsidR="006D5DB6" w:rsidRPr="00D255CD" w:rsidRDefault="006D5DB6" w:rsidP="00D255CD">
      <w:pPr>
        <w:pStyle w:val="Corpodetexto"/>
        <w:spacing w:line="276" w:lineRule="auto"/>
        <w:jc w:val="both"/>
        <w:rPr>
          <w:rFonts w:ascii="Arial" w:hAnsi="Arial" w:cs="Arial"/>
          <w:sz w:val="20"/>
          <w:szCs w:val="20"/>
          <w:shd w:val="clear" w:color="auto" w:fill="FFFFFF"/>
          <w:lang w:val="pt-BR"/>
        </w:rPr>
      </w:pPr>
      <w:r w:rsidRPr="00D255CD">
        <w:rPr>
          <w:rFonts w:ascii="Arial" w:hAnsi="Arial" w:cs="Arial"/>
          <w:sz w:val="20"/>
          <w:szCs w:val="20"/>
          <w:shd w:val="clear" w:color="auto" w:fill="FFFFFF"/>
          <w:lang w:val="pt-BR"/>
        </w:rPr>
        <w:t>a.4) regulamente em normativo interno o processo de elaboração do planejamento dos investimentos em obras de infraestrutura hídrica sob sua responsabilidade, contendo, minimamente, as etapas, os setores responsáveis, os prazos, a metodologia, os critérios técnicos e objetivos para a seleção e a priorização de investimentos, os produtos esperados e as formas de acompanhamento e avaliação dos resultados, focados na mitigação dos problemas sociais atrelados à escassez hídrica, com vistas ao cumprimento do art. 6°, inciso I, do Decreto-Lei 200/1967 e do princípio da eficiência administrativa, insculpido no art. 37, caput,  da Constituição Federal;</w:t>
      </w:r>
    </w:p>
    <w:p w14:paraId="2C9944F7" w14:textId="77777777" w:rsidR="006D5DB6" w:rsidRPr="00D255CD" w:rsidRDefault="006D5DB6" w:rsidP="00D255CD">
      <w:pPr>
        <w:pStyle w:val="Corpodetexto"/>
        <w:spacing w:line="276" w:lineRule="auto"/>
        <w:jc w:val="both"/>
        <w:rPr>
          <w:rFonts w:ascii="Arial" w:hAnsi="Arial" w:cs="Arial"/>
          <w:sz w:val="20"/>
          <w:szCs w:val="20"/>
          <w:shd w:val="clear" w:color="auto" w:fill="FFFFFF"/>
          <w:lang w:val="pt-BR"/>
        </w:rPr>
      </w:pPr>
      <w:r w:rsidRPr="00D255CD">
        <w:rPr>
          <w:rFonts w:ascii="Arial" w:hAnsi="Arial" w:cs="Arial"/>
          <w:sz w:val="20"/>
          <w:szCs w:val="20"/>
          <w:shd w:val="clear" w:color="auto" w:fill="FFFFFF"/>
          <w:lang w:val="pt-BR"/>
        </w:rPr>
        <w:t>b) determinar ao Ministério da Integração Nacional e ao Ministério do Planejamento, Desenvolvimento e Gestão, com fulcro no art. 43, inciso I, da Lei 8.443/1992, combinado com o art. 250, inciso II, do RI/TCU, que elaborem, para inclusão no próximo PPA, metas e indicadores que permitam aferir com maior clareza os objetivos e os benefícios sociais almejados, em sintonia com as políticas públicas setoriais relacionadas à mitigação dos problemas sociais ligados à escassez hídrica, com vistas ao cumprimento do art. 6°, inciso I, do Decreto-lei 200/1967 e do princípio da eficiência administrativa, insculpido no art. 37, caput, da Constituição Federal;</w:t>
      </w:r>
    </w:p>
    <w:p w14:paraId="0EF78090" w14:textId="77777777" w:rsidR="006D5DB6" w:rsidRPr="00D255CD" w:rsidRDefault="006D5DB6" w:rsidP="00D255CD">
      <w:pPr>
        <w:pStyle w:val="Corpodetexto"/>
        <w:spacing w:line="276" w:lineRule="auto"/>
        <w:jc w:val="both"/>
        <w:rPr>
          <w:rFonts w:ascii="Arial" w:hAnsi="Arial" w:cs="Arial"/>
          <w:sz w:val="20"/>
          <w:szCs w:val="20"/>
          <w:shd w:val="clear" w:color="auto" w:fill="FFFFFF"/>
          <w:lang w:val="pt-BR"/>
        </w:rPr>
      </w:pPr>
      <w:r w:rsidRPr="00D255CD">
        <w:rPr>
          <w:rFonts w:ascii="Arial" w:hAnsi="Arial" w:cs="Arial"/>
          <w:sz w:val="20"/>
          <w:szCs w:val="20"/>
          <w:shd w:val="clear" w:color="auto" w:fill="FFFFFF"/>
          <w:lang w:val="pt-BR"/>
        </w:rPr>
        <w:t>c) determinar ao Ministério da Integração Nacional, com fulcro no art. 43, inciso I, da Lei 8.443/1992, combinado com o art. 250, inciso II, do RI/TCU, que apresente a este Tribunal, no prazo de noventa dias, plano de ação para implementação das determinações anteriormente descritas, contendo, no mínimo, as medidas a serem adotadas, os responsáveis pelas ações, o prazo previsto para cada uma delas e os produtos a serem obtidos;</w:t>
      </w:r>
    </w:p>
    <w:p w14:paraId="3BA76939" w14:textId="480BDD11" w:rsidR="006D5DB6" w:rsidRPr="00D255CD" w:rsidRDefault="006D5DB6" w:rsidP="00D255CD">
      <w:pPr>
        <w:pStyle w:val="Corpodetexto"/>
        <w:spacing w:line="276" w:lineRule="auto"/>
        <w:jc w:val="both"/>
        <w:rPr>
          <w:rFonts w:ascii="Arial" w:hAnsi="Arial" w:cs="Arial"/>
          <w:sz w:val="20"/>
          <w:szCs w:val="20"/>
          <w:shd w:val="clear" w:color="auto" w:fill="FFFFFF"/>
          <w:lang w:val="pt-BR"/>
        </w:rPr>
      </w:pPr>
      <w:r w:rsidRPr="00D255CD">
        <w:rPr>
          <w:rFonts w:ascii="Arial" w:hAnsi="Arial" w:cs="Arial"/>
          <w:sz w:val="20"/>
          <w:szCs w:val="20"/>
          <w:shd w:val="clear" w:color="auto" w:fill="FFFFFF"/>
          <w:lang w:val="pt-BR"/>
        </w:rPr>
        <w:t>d) enviar cópia do acórdão que vier a ser proferido pelo Tribunal, juntamente com o relatório e o voto que o fundamentarem, ao Ministério da Integração Nacional, ao Ministério do Planejamento, Desenvolvimento e Gestão, à Agência Nacional de Águas, à Casa Civil da Presidência da República e à Comissão de Desenvolvimento Regional e Turismo, do Senado Federal;</w:t>
      </w:r>
    </w:p>
    <w:p w14:paraId="62822AE1" w14:textId="77777777" w:rsidR="006D5DB6" w:rsidRPr="00D255CD" w:rsidRDefault="006D5DB6" w:rsidP="00D255CD">
      <w:pPr>
        <w:spacing w:line="276" w:lineRule="auto"/>
        <w:jc w:val="both"/>
        <w:rPr>
          <w:rStyle w:val="Hyperlink"/>
          <w:rFonts w:ascii="Arial" w:hAnsi="Arial" w:cs="Arial"/>
          <w:b/>
          <w:color w:val="000000" w:themeColor="text1"/>
          <w:sz w:val="20"/>
          <w:szCs w:val="20"/>
          <w:u w:val="none"/>
        </w:rPr>
      </w:pPr>
    </w:p>
    <w:p w14:paraId="33FF2DD8" w14:textId="55DFBCDE" w:rsidR="00861DB4" w:rsidRPr="00D255CD" w:rsidRDefault="00861DB4" w:rsidP="00D255CD">
      <w:pPr>
        <w:pStyle w:val="Corpodetexto"/>
        <w:spacing w:line="276" w:lineRule="auto"/>
        <w:jc w:val="both"/>
        <w:rPr>
          <w:rStyle w:val="Hyperlink"/>
          <w:rFonts w:ascii="Arial" w:hAnsi="Arial" w:cs="Arial"/>
          <w:b/>
          <w:color w:val="000000" w:themeColor="text1"/>
          <w:sz w:val="20"/>
          <w:szCs w:val="20"/>
          <w:u w:val="none"/>
          <w:lang w:val="pt-BR"/>
        </w:rPr>
      </w:pPr>
      <w:r w:rsidRPr="00D255CD">
        <w:rPr>
          <w:rFonts w:ascii="Arial" w:hAnsi="Arial" w:cs="Arial"/>
          <w:sz w:val="20"/>
          <w:szCs w:val="20"/>
          <w:lang w:val="pt-BR"/>
        </w:rPr>
        <w:t>TC</w:t>
      </w:r>
      <w:r w:rsidR="00D22EE1" w:rsidRPr="00D255CD">
        <w:rPr>
          <w:rFonts w:ascii="Arial" w:hAnsi="Arial" w:cs="Arial"/>
          <w:sz w:val="20"/>
          <w:szCs w:val="20"/>
          <w:lang w:val="pt-BR"/>
        </w:rPr>
        <w:t xml:space="preserve">U, Proc. </w:t>
      </w:r>
      <w:r w:rsidR="00DF6F7F" w:rsidRPr="00D255CD">
        <w:rPr>
          <w:rFonts w:ascii="Arial" w:hAnsi="Arial" w:cs="Arial"/>
          <w:sz w:val="20"/>
          <w:szCs w:val="20"/>
          <w:lang w:val="pt-BR"/>
        </w:rPr>
        <w:t>03</w:t>
      </w:r>
      <w:r w:rsidR="00FD0A26" w:rsidRPr="00D255CD">
        <w:rPr>
          <w:rFonts w:ascii="Arial" w:hAnsi="Arial" w:cs="Arial"/>
          <w:sz w:val="20"/>
          <w:szCs w:val="20"/>
          <w:lang w:val="pt-BR"/>
        </w:rPr>
        <w:t>0</w:t>
      </w:r>
      <w:r w:rsidR="00DF6F7F" w:rsidRPr="00D255CD">
        <w:rPr>
          <w:rFonts w:ascii="Arial" w:hAnsi="Arial" w:cs="Arial"/>
          <w:sz w:val="20"/>
          <w:szCs w:val="20"/>
          <w:lang w:val="pt-BR"/>
        </w:rPr>
        <w:t>.</w:t>
      </w:r>
      <w:r w:rsidR="00FD0A26" w:rsidRPr="00D255CD">
        <w:rPr>
          <w:rFonts w:ascii="Arial" w:hAnsi="Arial" w:cs="Arial"/>
          <w:sz w:val="20"/>
          <w:szCs w:val="20"/>
          <w:lang w:val="pt-BR"/>
        </w:rPr>
        <w:t>005</w:t>
      </w:r>
      <w:r w:rsidR="00DF6F7F" w:rsidRPr="00D255CD">
        <w:rPr>
          <w:rFonts w:ascii="Arial" w:hAnsi="Arial" w:cs="Arial"/>
          <w:sz w:val="20"/>
          <w:szCs w:val="20"/>
          <w:lang w:val="pt-BR"/>
        </w:rPr>
        <w:t>/201</w:t>
      </w:r>
      <w:r w:rsidR="00FD0A26" w:rsidRPr="00D255CD">
        <w:rPr>
          <w:rFonts w:ascii="Arial" w:hAnsi="Arial" w:cs="Arial"/>
          <w:sz w:val="20"/>
          <w:szCs w:val="20"/>
          <w:lang w:val="pt-BR"/>
        </w:rPr>
        <w:t>7</w:t>
      </w:r>
      <w:r w:rsidR="00DF6F7F" w:rsidRPr="00D255CD">
        <w:rPr>
          <w:rFonts w:ascii="Arial" w:hAnsi="Arial" w:cs="Arial"/>
          <w:sz w:val="20"/>
          <w:szCs w:val="20"/>
          <w:lang w:val="pt-BR"/>
        </w:rPr>
        <w:t>-</w:t>
      </w:r>
      <w:r w:rsidR="00FD0A26" w:rsidRPr="00D255CD">
        <w:rPr>
          <w:rFonts w:ascii="Arial" w:hAnsi="Arial" w:cs="Arial"/>
          <w:sz w:val="20"/>
          <w:szCs w:val="20"/>
          <w:lang w:val="pt-BR"/>
        </w:rPr>
        <w:t>5</w:t>
      </w:r>
      <w:r w:rsidR="00D22EE1" w:rsidRPr="00D255CD">
        <w:rPr>
          <w:rFonts w:ascii="Arial" w:hAnsi="Arial" w:cs="Arial"/>
          <w:sz w:val="20"/>
          <w:szCs w:val="20"/>
          <w:lang w:val="pt-BR"/>
        </w:rPr>
        <w:t>,</w:t>
      </w:r>
      <w:r w:rsidR="00DF6F7F" w:rsidRPr="00D255CD">
        <w:rPr>
          <w:rFonts w:ascii="Arial" w:hAnsi="Arial" w:cs="Arial"/>
          <w:sz w:val="20"/>
          <w:szCs w:val="20"/>
          <w:lang w:val="pt-BR"/>
        </w:rPr>
        <w:t xml:space="preserve"> </w:t>
      </w:r>
      <w:hyperlink r:id="rId9" w:history="1">
        <w:r w:rsidR="00DF6F7F" w:rsidRPr="00D255CD">
          <w:rPr>
            <w:rStyle w:val="Hyperlink"/>
            <w:rFonts w:ascii="Arial" w:hAnsi="Arial" w:cs="Arial"/>
            <w:b/>
            <w:sz w:val="20"/>
            <w:szCs w:val="20"/>
            <w:lang w:val="pt-BR"/>
          </w:rPr>
          <w:t>Acórd</w:t>
        </w:r>
        <w:r w:rsidR="00DF6F7F" w:rsidRPr="00D255CD">
          <w:rPr>
            <w:rStyle w:val="Hyperlink"/>
            <w:rFonts w:ascii="Arial" w:hAnsi="Arial" w:cs="Arial"/>
            <w:b/>
            <w:sz w:val="20"/>
            <w:szCs w:val="20"/>
            <w:lang w:val="pt-BR"/>
          </w:rPr>
          <w:t>ã</w:t>
        </w:r>
        <w:r w:rsidR="00DF6F7F" w:rsidRPr="00D255CD">
          <w:rPr>
            <w:rStyle w:val="Hyperlink"/>
            <w:rFonts w:ascii="Arial" w:hAnsi="Arial" w:cs="Arial"/>
            <w:b/>
            <w:sz w:val="20"/>
            <w:szCs w:val="20"/>
            <w:lang w:val="pt-BR"/>
          </w:rPr>
          <w:t xml:space="preserve">o n.º </w:t>
        </w:r>
        <w:r w:rsidR="00FD0A26" w:rsidRPr="00D255CD">
          <w:rPr>
            <w:rStyle w:val="Hyperlink"/>
            <w:rFonts w:ascii="Arial" w:hAnsi="Arial" w:cs="Arial"/>
            <w:b/>
            <w:sz w:val="20"/>
            <w:szCs w:val="20"/>
            <w:lang w:val="pt-BR"/>
          </w:rPr>
          <w:t>2272</w:t>
        </w:r>
        <w:r w:rsidR="00DF6F7F" w:rsidRPr="00D255CD">
          <w:rPr>
            <w:rStyle w:val="Hyperlink"/>
            <w:rFonts w:ascii="Arial" w:hAnsi="Arial" w:cs="Arial"/>
            <w:b/>
            <w:sz w:val="20"/>
            <w:szCs w:val="20"/>
            <w:lang w:val="pt-BR"/>
          </w:rPr>
          <w:t>/201</w:t>
        </w:r>
        <w:r w:rsidR="00FD0A26" w:rsidRPr="00D255CD">
          <w:rPr>
            <w:rStyle w:val="Hyperlink"/>
            <w:rFonts w:ascii="Arial" w:hAnsi="Arial" w:cs="Arial"/>
            <w:b/>
            <w:sz w:val="20"/>
            <w:szCs w:val="20"/>
            <w:lang w:val="pt-BR"/>
          </w:rPr>
          <w:t>9</w:t>
        </w:r>
        <w:r w:rsidR="00DF6F7F" w:rsidRPr="00D255CD">
          <w:rPr>
            <w:rStyle w:val="Hyperlink"/>
            <w:rFonts w:ascii="Arial" w:hAnsi="Arial" w:cs="Arial"/>
            <w:b/>
            <w:sz w:val="20"/>
            <w:szCs w:val="20"/>
            <w:lang w:val="pt-BR"/>
          </w:rPr>
          <w:t>-</w:t>
        </w:r>
        <w:r w:rsidR="00FD0A26" w:rsidRPr="00D255CD">
          <w:rPr>
            <w:rStyle w:val="Hyperlink"/>
            <w:rFonts w:ascii="Arial" w:hAnsi="Arial" w:cs="Arial"/>
            <w:b/>
            <w:sz w:val="20"/>
            <w:szCs w:val="20"/>
            <w:lang w:val="pt-BR"/>
          </w:rPr>
          <w:t>Plenário</w:t>
        </w:r>
      </w:hyperlink>
      <w:r w:rsidRPr="00D255CD">
        <w:rPr>
          <w:rFonts w:ascii="Arial" w:hAnsi="Arial" w:cs="Arial"/>
          <w:sz w:val="20"/>
          <w:szCs w:val="20"/>
          <w:lang w:val="pt-BR"/>
        </w:rPr>
        <w:t>, Relator Ministro</w:t>
      </w:r>
      <w:r w:rsidR="00D22EE1" w:rsidRPr="00D255CD">
        <w:rPr>
          <w:rFonts w:ascii="Arial" w:hAnsi="Arial" w:cs="Arial"/>
          <w:sz w:val="20"/>
          <w:szCs w:val="20"/>
          <w:lang w:val="pt-BR"/>
        </w:rPr>
        <w:t xml:space="preserve"> </w:t>
      </w:r>
      <w:r w:rsidR="00FD0A26" w:rsidRPr="00D255CD">
        <w:rPr>
          <w:rFonts w:ascii="Arial" w:hAnsi="Arial" w:cs="Arial"/>
          <w:sz w:val="20"/>
          <w:szCs w:val="20"/>
          <w:lang w:val="pt-BR"/>
        </w:rPr>
        <w:t xml:space="preserve">Augusto </w:t>
      </w:r>
      <w:proofErr w:type="spellStart"/>
      <w:r w:rsidR="00FD0A26" w:rsidRPr="00D255CD">
        <w:rPr>
          <w:rFonts w:ascii="Arial" w:hAnsi="Arial" w:cs="Arial"/>
          <w:sz w:val="20"/>
          <w:szCs w:val="20"/>
          <w:lang w:val="pt-BR"/>
        </w:rPr>
        <w:t>Nardes</w:t>
      </w:r>
      <w:proofErr w:type="spellEnd"/>
      <w:r w:rsidRPr="00D255CD">
        <w:rPr>
          <w:rFonts w:ascii="Arial" w:hAnsi="Arial" w:cs="Arial"/>
          <w:sz w:val="20"/>
          <w:szCs w:val="20"/>
          <w:lang w:val="pt-BR"/>
        </w:rPr>
        <w:t>.</w:t>
      </w:r>
    </w:p>
    <w:p w14:paraId="5F8E8FBC" w14:textId="77777777" w:rsidR="00B036BD" w:rsidRPr="00D255CD" w:rsidRDefault="00B036BD" w:rsidP="00D255CD">
      <w:pPr>
        <w:spacing w:line="276" w:lineRule="auto"/>
        <w:jc w:val="both"/>
        <w:rPr>
          <w:rStyle w:val="Hyperlink"/>
          <w:rFonts w:ascii="Arial" w:hAnsi="Arial" w:cs="Arial"/>
          <w:b/>
          <w:color w:val="000000" w:themeColor="text1"/>
          <w:sz w:val="20"/>
          <w:szCs w:val="20"/>
          <w:u w:val="none"/>
        </w:rPr>
      </w:pPr>
    </w:p>
    <w:p w14:paraId="7B2CF815" w14:textId="0526ECCA" w:rsidR="00B34863" w:rsidRPr="00D255CD" w:rsidRDefault="00B34863" w:rsidP="00D255CD">
      <w:pPr>
        <w:shd w:val="pct10" w:color="auto" w:fill="auto"/>
        <w:spacing w:line="276" w:lineRule="auto"/>
        <w:jc w:val="center"/>
        <w:rPr>
          <w:rFonts w:ascii="Arial" w:hAnsi="Arial" w:cs="Arial"/>
          <w:b/>
          <w:sz w:val="20"/>
          <w:szCs w:val="20"/>
        </w:rPr>
      </w:pPr>
      <w:r w:rsidRPr="00D255CD">
        <w:rPr>
          <w:rFonts w:ascii="Arial" w:hAnsi="Arial" w:cs="Arial"/>
          <w:b/>
          <w:sz w:val="20"/>
          <w:szCs w:val="20"/>
        </w:rPr>
        <w:t xml:space="preserve">TRIBUNAL DE CONTAS DO </w:t>
      </w:r>
      <w:r w:rsidR="002D722B" w:rsidRPr="00D255CD">
        <w:rPr>
          <w:rFonts w:ascii="Arial" w:hAnsi="Arial" w:cs="Arial"/>
          <w:b/>
          <w:sz w:val="20"/>
          <w:szCs w:val="20"/>
        </w:rPr>
        <w:t xml:space="preserve">ESTADO DE </w:t>
      </w:r>
      <w:r w:rsidR="00E06816" w:rsidRPr="00D255CD">
        <w:rPr>
          <w:rFonts w:ascii="Arial" w:hAnsi="Arial" w:cs="Arial"/>
          <w:b/>
          <w:sz w:val="20"/>
          <w:szCs w:val="20"/>
        </w:rPr>
        <w:t>PERNAMBUCO</w:t>
      </w:r>
    </w:p>
    <w:p w14:paraId="07364733" w14:textId="77777777" w:rsidR="00CD37A1" w:rsidRPr="00D255CD" w:rsidRDefault="00CD37A1" w:rsidP="00D255CD">
      <w:pPr>
        <w:spacing w:line="276" w:lineRule="auto"/>
        <w:jc w:val="both"/>
        <w:rPr>
          <w:rFonts w:ascii="Arial" w:hAnsi="Arial" w:cs="Arial"/>
          <w:b/>
          <w:color w:val="000000"/>
          <w:sz w:val="20"/>
          <w:szCs w:val="20"/>
          <w:shd w:val="clear" w:color="auto" w:fill="FFFFFF"/>
        </w:rPr>
      </w:pPr>
    </w:p>
    <w:p w14:paraId="0096A91E" w14:textId="719F1407" w:rsidR="002D722B" w:rsidRPr="00D255CD" w:rsidRDefault="003D704E" w:rsidP="00D255CD">
      <w:pPr>
        <w:spacing w:line="276" w:lineRule="auto"/>
        <w:jc w:val="both"/>
        <w:rPr>
          <w:rFonts w:ascii="Arial" w:hAnsi="Arial" w:cs="Arial"/>
          <w:b/>
          <w:color w:val="000000" w:themeColor="text1"/>
          <w:sz w:val="20"/>
          <w:szCs w:val="20"/>
        </w:rPr>
      </w:pPr>
      <w:bookmarkStart w:id="1" w:name="_Hlk5027744"/>
      <w:r w:rsidRPr="00D255CD">
        <w:rPr>
          <w:rFonts w:ascii="Arial" w:hAnsi="Arial" w:cs="Arial"/>
          <w:b/>
          <w:color w:val="000000" w:themeColor="text1"/>
          <w:sz w:val="20"/>
          <w:szCs w:val="20"/>
        </w:rPr>
        <w:t xml:space="preserve">3. </w:t>
      </w:r>
      <w:bookmarkEnd w:id="1"/>
      <w:r w:rsidR="00E06816" w:rsidRPr="00D255CD">
        <w:rPr>
          <w:rFonts w:ascii="Arial" w:hAnsi="Arial" w:cs="Arial"/>
          <w:b/>
          <w:color w:val="000000" w:themeColor="text1"/>
          <w:sz w:val="20"/>
          <w:szCs w:val="20"/>
        </w:rPr>
        <w:t>Auditoria Especial</w:t>
      </w:r>
      <w:r w:rsidR="00E06816" w:rsidRPr="00D255CD">
        <w:rPr>
          <w:rFonts w:ascii="Arial" w:hAnsi="Arial" w:cs="Arial"/>
          <w:b/>
          <w:color w:val="000000" w:themeColor="text1"/>
          <w:sz w:val="20"/>
          <w:szCs w:val="20"/>
        </w:rPr>
        <w:t>.</w:t>
      </w:r>
      <w:r w:rsidR="00E06816" w:rsidRPr="00D255CD">
        <w:rPr>
          <w:rFonts w:ascii="Arial" w:hAnsi="Arial" w:cs="Arial"/>
          <w:b/>
          <w:color w:val="000000" w:themeColor="text1"/>
          <w:sz w:val="20"/>
          <w:szCs w:val="20"/>
        </w:rPr>
        <w:t xml:space="preserve"> </w:t>
      </w:r>
      <w:r w:rsidR="00E06816" w:rsidRPr="00D255CD">
        <w:rPr>
          <w:rFonts w:ascii="Arial" w:hAnsi="Arial" w:cs="Arial"/>
          <w:b/>
          <w:color w:val="000000" w:themeColor="text1"/>
          <w:sz w:val="20"/>
          <w:szCs w:val="20"/>
        </w:rPr>
        <w:t>D</w:t>
      </w:r>
      <w:r w:rsidR="00E06816" w:rsidRPr="00D255CD">
        <w:rPr>
          <w:rFonts w:ascii="Arial" w:hAnsi="Arial" w:cs="Arial"/>
          <w:b/>
          <w:color w:val="000000" w:themeColor="text1"/>
          <w:sz w:val="20"/>
          <w:szCs w:val="20"/>
        </w:rPr>
        <w:t>isposição dos resíduos sólidos domiciliares</w:t>
      </w:r>
      <w:r w:rsidR="00E06816" w:rsidRPr="00D255CD">
        <w:rPr>
          <w:rFonts w:ascii="Arial" w:hAnsi="Arial" w:cs="Arial"/>
          <w:b/>
          <w:color w:val="000000" w:themeColor="text1"/>
          <w:sz w:val="20"/>
          <w:szCs w:val="20"/>
        </w:rPr>
        <w:t>. D</w:t>
      </w:r>
      <w:r w:rsidR="00E06816" w:rsidRPr="00D255CD">
        <w:rPr>
          <w:rFonts w:ascii="Arial" w:hAnsi="Arial" w:cs="Arial"/>
          <w:b/>
          <w:color w:val="000000" w:themeColor="text1"/>
          <w:sz w:val="20"/>
          <w:szCs w:val="20"/>
        </w:rPr>
        <w:t>iagnóstico anual sobre destino final de resíduos sólidos do TCE-PE</w:t>
      </w:r>
      <w:r w:rsidR="00E06816" w:rsidRPr="00D255CD">
        <w:rPr>
          <w:rFonts w:ascii="Arial" w:hAnsi="Arial" w:cs="Arial"/>
          <w:b/>
          <w:color w:val="000000" w:themeColor="text1"/>
          <w:sz w:val="20"/>
          <w:szCs w:val="20"/>
        </w:rPr>
        <w:t>.</w:t>
      </w:r>
      <w:r w:rsidR="00E06816" w:rsidRPr="00D255CD">
        <w:rPr>
          <w:rFonts w:ascii="Arial" w:hAnsi="Arial" w:cs="Arial"/>
          <w:b/>
          <w:color w:val="000000" w:themeColor="text1"/>
          <w:sz w:val="20"/>
          <w:szCs w:val="20"/>
        </w:rPr>
        <w:t xml:space="preserve"> </w:t>
      </w:r>
      <w:r w:rsidR="00E06816" w:rsidRPr="00D255CD">
        <w:rPr>
          <w:rFonts w:ascii="Arial" w:hAnsi="Arial" w:cs="Arial"/>
          <w:b/>
          <w:color w:val="000000" w:themeColor="text1"/>
          <w:sz w:val="20"/>
          <w:szCs w:val="20"/>
        </w:rPr>
        <w:t>U</w:t>
      </w:r>
      <w:r w:rsidR="00E06816" w:rsidRPr="00D255CD">
        <w:rPr>
          <w:rFonts w:ascii="Arial" w:hAnsi="Arial" w:cs="Arial"/>
          <w:b/>
          <w:color w:val="000000" w:themeColor="text1"/>
          <w:sz w:val="20"/>
          <w:szCs w:val="20"/>
        </w:rPr>
        <w:t xml:space="preserve">so de “lixões” como forma de descarte dos resíduos. </w:t>
      </w:r>
      <w:r w:rsidR="00E06816" w:rsidRPr="00D255CD">
        <w:rPr>
          <w:rFonts w:ascii="Arial" w:hAnsi="Arial" w:cs="Arial"/>
          <w:b/>
          <w:color w:val="000000" w:themeColor="text1"/>
          <w:sz w:val="20"/>
          <w:szCs w:val="20"/>
        </w:rPr>
        <w:t>I</w:t>
      </w:r>
      <w:r w:rsidR="00E06816" w:rsidRPr="00D255CD">
        <w:rPr>
          <w:rFonts w:ascii="Arial" w:hAnsi="Arial" w:cs="Arial"/>
          <w:b/>
          <w:color w:val="000000" w:themeColor="text1"/>
          <w:sz w:val="20"/>
          <w:szCs w:val="20"/>
        </w:rPr>
        <w:t>rregularidade</w:t>
      </w:r>
      <w:r w:rsidR="00E06816" w:rsidRPr="00D255CD">
        <w:rPr>
          <w:rFonts w:ascii="Arial" w:hAnsi="Arial" w:cs="Arial"/>
          <w:b/>
          <w:color w:val="000000" w:themeColor="text1"/>
          <w:sz w:val="20"/>
          <w:szCs w:val="20"/>
        </w:rPr>
        <w:t>.</w:t>
      </w:r>
      <w:r w:rsidR="00E06816" w:rsidRPr="00D255CD">
        <w:rPr>
          <w:rFonts w:ascii="Arial" w:hAnsi="Arial" w:cs="Arial"/>
          <w:b/>
          <w:color w:val="000000" w:themeColor="text1"/>
          <w:sz w:val="20"/>
          <w:szCs w:val="20"/>
        </w:rPr>
        <w:t xml:space="preserve"> </w:t>
      </w:r>
      <w:r w:rsidR="00E06816" w:rsidRPr="00D255CD">
        <w:rPr>
          <w:rFonts w:ascii="Arial" w:hAnsi="Arial" w:cs="Arial"/>
          <w:b/>
          <w:color w:val="000000" w:themeColor="text1"/>
          <w:sz w:val="20"/>
          <w:szCs w:val="20"/>
        </w:rPr>
        <w:t>I</w:t>
      </w:r>
      <w:r w:rsidR="00E06816" w:rsidRPr="00D255CD">
        <w:rPr>
          <w:rFonts w:ascii="Arial" w:hAnsi="Arial" w:cs="Arial"/>
          <w:b/>
          <w:color w:val="000000" w:themeColor="text1"/>
          <w:sz w:val="20"/>
          <w:szCs w:val="20"/>
        </w:rPr>
        <w:t>nadequada disposição final de resíduos sólidos urbanos.</w:t>
      </w:r>
    </w:p>
    <w:p w14:paraId="090D5E51" w14:textId="77777777" w:rsidR="00E06816" w:rsidRPr="00D255CD" w:rsidRDefault="00E06816" w:rsidP="00D255CD">
      <w:pPr>
        <w:pStyle w:val="Corpodetexto"/>
        <w:spacing w:line="276" w:lineRule="auto"/>
        <w:jc w:val="both"/>
        <w:rPr>
          <w:rFonts w:ascii="Arial" w:hAnsi="Arial" w:cs="Arial"/>
          <w:sz w:val="20"/>
          <w:szCs w:val="20"/>
          <w:shd w:val="clear" w:color="auto" w:fill="FFFFFF"/>
          <w:lang w:val="pt-BR"/>
        </w:rPr>
      </w:pPr>
    </w:p>
    <w:p w14:paraId="4E68E7E3" w14:textId="352FE267" w:rsidR="002D722B" w:rsidRPr="00D255CD" w:rsidRDefault="00E06816" w:rsidP="00D255CD">
      <w:pPr>
        <w:pStyle w:val="Corpodetexto"/>
        <w:spacing w:line="276" w:lineRule="auto"/>
        <w:jc w:val="both"/>
        <w:rPr>
          <w:rFonts w:ascii="Arial" w:hAnsi="Arial" w:cs="Arial"/>
          <w:sz w:val="20"/>
          <w:szCs w:val="20"/>
          <w:shd w:val="clear" w:color="auto" w:fill="FFFFFF"/>
          <w:lang w:val="pt-BR"/>
        </w:rPr>
      </w:pPr>
      <w:r w:rsidRPr="00D255CD">
        <w:rPr>
          <w:rFonts w:ascii="Arial" w:hAnsi="Arial" w:cs="Arial"/>
          <w:sz w:val="20"/>
          <w:szCs w:val="20"/>
          <w:shd w:val="clear" w:color="auto" w:fill="FFFFFF"/>
          <w:lang w:val="pt-BR"/>
        </w:rPr>
        <w:t>O</w:t>
      </w:r>
      <w:r w:rsidRPr="00D255CD">
        <w:rPr>
          <w:rFonts w:ascii="Arial" w:hAnsi="Arial" w:cs="Arial"/>
          <w:sz w:val="20"/>
          <w:szCs w:val="20"/>
          <w:shd w:val="clear" w:color="auto" w:fill="FFFFFF"/>
          <w:lang w:val="pt-BR"/>
        </w:rPr>
        <w:t>bjetivo</w:t>
      </w:r>
      <w:r w:rsidRPr="00D255CD">
        <w:rPr>
          <w:rFonts w:ascii="Arial" w:hAnsi="Arial" w:cs="Arial"/>
          <w:sz w:val="20"/>
          <w:szCs w:val="20"/>
          <w:shd w:val="clear" w:color="auto" w:fill="FFFFFF"/>
          <w:lang w:val="pt-BR"/>
        </w:rPr>
        <w:t xml:space="preserve"> da auditoria</w:t>
      </w:r>
      <w:r w:rsidRPr="00D255CD">
        <w:rPr>
          <w:rFonts w:ascii="Arial" w:hAnsi="Arial" w:cs="Arial"/>
          <w:sz w:val="20"/>
          <w:szCs w:val="20"/>
          <w:shd w:val="clear" w:color="auto" w:fill="FFFFFF"/>
          <w:lang w:val="pt-BR"/>
        </w:rPr>
        <w:t>: auditar a situação da disposição dos resíduos sólidos domiciliares, em função dos dados obtidos no diagnóstico anual sobre destino final de resíduos sólidos do TCE-PE, que apontou para o uso de “lixões” como forma de descarte dos resíduos. O Relatório de Auditoria aponta uma irregularidade, qual seja: inadequada disposição final de resíduos sólidos urbanos.</w:t>
      </w:r>
    </w:p>
    <w:p w14:paraId="708F5F12" w14:textId="77777777" w:rsidR="00E06816" w:rsidRPr="00D255CD" w:rsidRDefault="00E06816" w:rsidP="00D255CD">
      <w:pPr>
        <w:spacing w:line="276" w:lineRule="auto"/>
        <w:jc w:val="both"/>
        <w:rPr>
          <w:rFonts w:ascii="Arial" w:hAnsi="Arial" w:cs="Arial"/>
          <w:bCs/>
          <w:color w:val="000000"/>
          <w:sz w:val="20"/>
          <w:szCs w:val="20"/>
          <w:shd w:val="clear" w:color="auto" w:fill="FFFFFF"/>
        </w:rPr>
      </w:pPr>
    </w:p>
    <w:p w14:paraId="6726F55A" w14:textId="7CAEF289" w:rsidR="008B7AA1" w:rsidRPr="00D255CD" w:rsidRDefault="00C645F4" w:rsidP="00D255CD">
      <w:pPr>
        <w:spacing w:line="276" w:lineRule="auto"/>
        <w:jc w:val="both"/>
        <w:rPr>
          <w:rFonts w:ascii="Arial" w:hAnsi="Arial" w:cs="Arial"/>
          <w:color w:val="000000"/>
          <w:sz w:val="20"/>
          <w:szCs w:val="20"/>
          <w:shd w:val="clear" w:color="auto" w:fill="FFFFFF"/>
        </w:rPr>
      </w:pPr>
      <w:r w:rsidRPr="00D255CD">
        <w:rPr>
          <w:rFonts w:ascii="Arial" w:hAnsi="Arial" w:cs="Arial"/>
          <w:color w:val="000000"/>
          <w:sz w:val="20"/>
          <w:szCs w:val="20"/>
          <w:shd w:val="clear" w:color="auto" w:fill="FFFFFF"/>
        </w:rPr>
        <w:t>TC</w:t>
      </w:r>
      <w:r w:rsidR="002D722B" w:rsidRPr="00D255CD">
        <w:rPr>
          <w:rFonts w:ascii="Arial" w:hAnsi="Arial" w:cs="Arial"/>
          <w:color w:val="000000"/>
          <w:sz w:val="20"/>
          <w:szCs w:val="20"/>
          <w:shd w:val="clear" w:color="auto" w:fill="FFFFFF"/>
        </w:rPr>
        <w:t>E-</w:t>
      </w:r>
      <w:r w:rsidR="00E06816" w:rsidRPr="00D255CD">
        <w:rPr>
          <w:rFonts w:ascii="Arial" w:hAnsi="Arial" w:cs="Arial"/>
          <w:color w:val="000000"/>
          <w:sz w:val="20"/>
          <w:szCs w:val="20"/>
          <w:shd w:val="clear" w:color="auto" w:fill="FFFFFF"/>
        </w:rPr>
        <w:t>PE</w:t>
      </w:r>
      <w:r w:rsidRPr="00D255CD">
        <w:rPr>
          <w:rFonts w:ascii="Arial" w:hAnsi="Arial" w:cs="Arial"/>
          <w:color w:val="000000"/>
          <w:sz w:val="20"/>
          <w:szCs w:val="20"/>
          <w:shd w:val="clear" w:color="auto" w:fill="FFFFFF"/>
        </w:rPr>
        <w:t>,</w:t>
      </w:r>
      <w:r w:rsidR="002D722B" w:rsidRPr="00D255CD">
        <w:rPr>
          <w:rFonts w:ascii="Arial" w:hAnsi="Arial" w:cs="Arial"/>
          <w:color w:val="000000"/>
          <w:sz w:val="20"/>
          <w:szCs w:val="20"/>
          <w:shd w:val="clear" w:color="auto" w:fill="FFFFFF"/>
        </w:rPr>
        <w:t xml:space="preserve"> </w:t>
      </w:r>
      <w:hyperlink r:id="rId10" w:history="1">
        <w:r w:rsidR="002D722B" w:rsidRPr="00D255CD">
          <w:rPr>
            <w:rStyle w:val="Hyperlink"/>
            <w:rFonts w:ascii="Arial" w:hAnsi="Arial" w:cs="Arial"/>
            <w:b/>
            <w:sz w:val="20"/>
            <w:szCs w:val="20"/>
            <w:shd w:val="clear" w:color="auto" w:fill="FFFFFF"/>
          </w:rPr>
          <w:t>Processo n.º</w:t>
        </w:r>
        <w:r w:rsidR="00E06816" w:rsidRPr="00D255CD">
          <w:rPr>
            <w:rStyle w:val="Hyperlink"/>
            <w:rFonts w:ascii="Arial" w:hAnsi="Arial" w:cs="Arial"/>
            <w:b/>
            <w:sz w:val="20"/>
            <w:szCs w:val="20"/>
            <w:shd w:val="clear" w:color="auto" w:fill="FFFFFF"/>
            <w:lang w:eastAsia="en-US"/>
          </w:rPr>
          <w:t xml:space="preserve"> 1858551-6</w:t>
        </w:r>
      </w:hyperlink>
      <w:r w:rsidRPr="00D255CD">
        <w:rPr>
          <w:rFonts w:ascii="Arial" w:hAnsi="Arial" w:cs="Arial"/>
          <w:color w:val="000000"/>
          <w:sz w:val="20"/>
          <w:szCs w:val="20"/>
          <w:shd w:val="clear" w:color="auto" w:fill="FFFFFF"/>
        </w:rPr>
        <w:t xml:space="preserve">, </w:t>
      </w:r>
      <w:r w:rsidR="00E06816" w:rsidRPr="00D255CD">
        <w:rPr>
          <w:rFonts w:ascii="Arial" w:hAnsi="Arial" w:cs="Arial"/>
          <w:color w:val="000000"/>
          <w:sz w:val="20"/>
          <w:szCs w:val="20"/>
          <w:shd w:val="clear" w:color="auto" w:fill="FFFFFF"/>
        </w:rPr>
        <w:t>Relator</w:t>
      </w:r>
      <w:r w:rsidR="00DD314C" w:rsidRPr="00D255CD">
        <w:rPr>
          <w:rFonts w:ascii="Arial" w:hAnsi="Arial" w:cs="Arial"/>
          <w:color w:val="000000"/>
          <w:sz w:val="20"/>
          <w:szCs w:val="20"/>
          <w:shd w:val="clear" w:color="auto" w:fill="FFFFFF"/>
        </w:rPr>
        <w:t xml:space="preserve"> Conselheiro Dirceu Rodolfo de Melo Júnior.</w:t>
      </w:r>
    </w:p>
    <w:p w14:paraId="5C9F6A44" w14:textId="77777777" w:rsidR="008E36D8" w:rsidRPr="00D255CD" w:rsidRDefault="008E36D8" w:rsidP="00D255CD">
      <w:pPr>
        <w:spacing w:line="276" w:lineRule="auto"/>
        <w:jc w:val="both"/>
        <w:rPr>
          <w:rFonts w:ascii="Arial" w:hAnsi="Arial" w:cs="Arial"/>
          <w:color w:val="000000"/>
          <w:sz w:val="20"/>
          <w:szCs w:val="20"/>
          <w:shd w:val="clear" w:color="auto" w:fill="FFFFFF"/>
        </w:rPr>
      </w:pPr>
    </w:p>
    <w:p w14:paraId="6ABC941C" w14:textId="77777777" w:rsidR="00B34863" w:rsidRPr="00D255CD" w:rsidRDefault="00B34863" w:rsidP="00D255CD">
      <w:pPr>
        <w:shd w:val="pct10" w:color="auto" w:fill="auto"/>
        <w:spacing w:line="276" w:lineRule="auto"/>
        <w:jc w:val="center"/>
        <w:rPr>
          <w:rFonts w:ascii="Arial" w:hAnsi="Arial" w:cs="Arial"/>
          <w:b/>
          <w:sz w:val="20"/>
          <w:szCs w:val="20"/>
        </w:rPr>
      </w:pPr>
      <w:r w:rsidRPr="00D255CD">
        <w:rPr>
          <w:rFonts w:ascii="Arial" w:hAnsi="Arial" w:cs="Arial"/>
          <w:b/>
          <w:sz w:val="20"/>
          <w:szCs w:val="20"/>
        </w:rPr>
        <w:t xml:space="preserve">SUPREMO TRIBUNAL FEDERAL </w:t>
      </w:r>
    </w:p>
    <w:p w14:paraId="5F8AD51B" w14:textId="77777777" w:rsidR="00FE542E" w:rsidRPr="00D255CD" w:rsidRDefault="00FE542E" w:rsidP="00D255CD">
      <w:pPr>
        <w:spacing w:line="276" w:lineRule="auto"/>
        <w:jc w:val="both"/>
        <w:rPr>
          <w:rFonts w:ascii="Arial" w:hAnsi="Arial" w:cs="Arial"/>
          <w:color w:val="000000"/>
          <w:sz w:val="20"/>
          <w:szCs w:val="20"/>
          <w:shd w:val="clear" w:color="auto" w:fill="FFFFFF"/>
        </w:rPr>
      </w:pPr>
    </w:p>
    <w:p w14:paraId="1873A08B" w14:textId="431470E6" w:rsidR="003D48A6" w:rsidRPr="00D255CD" w:rsidRDefault="003D704E" w:rsidP="00D255CD">
      <w:pPr>
        <w:spacing w:line="276" w:lineRule="auto"/>
        <w:jc w:val="both"/>
        <w:rPr>
          <w:rFonts w:ascii="Arial" w:eastAsiaTheme="minorHAnsi" w:hAnsi="Arial" w:cs="Arial"/>
          <w:b/>
          <w:color w:val="000000"/>
          <w:sz w:val="20"/>
          <w:szCs w:val="20"/>
          <w:shd w:val="clear" w:color="auto" w:fill="FFFFFF"/>
          <w:lang w:eastAsia="en-US"/>
        </w:rPr>
      </w:pPr>
      <w:bookmarkStart w:id="2" w:name="_Hlk11860758"/>
      <w:bookmarkStart w:id="3" w:name="_Hlk5027767"/>
      <w:r w:rsidRPr="00D255CD">
        <w:rPr>
          <w:rFonts w:ascii="Arial" w:hAnsi="Arial" w:cs="Arial"/>
          <w:b/>
          <w:color w:val="000000"/>
          <w:sz w:val="20"/>
          <w:szCs w:val="20"/>
          <w:shd w:val="clear" w:color="auto" w:fill="FFFFFF"/>
        </w:rPr>
        <w:t xml:space="preserve">4. </w:t>
      </w:r>
      <w:bookmarkEnd w:id="2"/>
      <w:r w:rsidR="00DD6D0C" w:rsidRPr="00D255CD">
        <w:rPr>
          <w:rFonts w:ascii="Arial" w:eastAsiaTheme="minorHAnsi" w:hAnsi="Arial" w:cs="Arial"/>
          <w:b/>
          <w:color w:val="000000"/>
          <w:sz w:val="20"/>
          <w:szCs w:val="20"/>
          <w:shd w:val="clear" w:color="auto" w:fill="FFFFFF"/>
          <w:lang w:eastAsia="en-US"/>
        </w:rPr>
        <w:t xml:space="preserve">Recurso Extraordinário. </w:t>
      </w:r>
      <w:r w:rsidR="00DD6D0C" w:rsidRPr="00D255CD">
        <w:rPr>
          <w:rFonts w:ascii="Arial" w:eastAsiaTheme="minorHAnsi" w:hAnsi="Arial" w:cs="Arial"/>
          <w:b/>
          <w:color w:val="000000"/>
          <w:sz w:val="20"/>
          <w:szCs w:val="20"/>
          <w:shd w:val="clear" w:color="auto" w:fill="FFFFFF"/>
          <w:lang w:eastAsia="en-US"/>
        </w:rPr>
        <w:t>Lei estadual 12.131/2004</w:t>
      </w:r>
      <w:r w:rsidR="00DD6D0C" w:rsidRPr="00D255CD">
        <w:rPr>
          <w:rFonts w:ascii="Arial" w:eastAsiaTheme="minorHAnsi" w:hAnsi="Arial" w:cs="Arial"/>
          <w:b/>
          <w:color w:val="000000"/>
          <w:sz w:val="20"/>
          <w:szCs w:val="20"/>
          <w:shd w:val="clear" w:color="auto" w:fill="FFFFFF"/>
          <w:lang w:eastAsia="en-US"/>
        </w:rPr>
        <w:t xml:space="preserve">, Rio Grande do Sul. </w:t>
      </w:r>
      <w:r w:rsidR="00DD6D0C" w:rsidRPr="00D255CD">
        <w:rPr>
          <w:rFonts w:ascii="Arial" w:eastAsiaTheme="minorHAnsi" w:hAnsi="Arial" w:cs="Arial"/>
          <w:b/>
          <w:color w:val="000000"/>
          <w:sz w:val="20"/>
          <w:szCs w:val="20"/>
          <w:shd w:val="clear" w:color="auto" w:fill="FFFFFF"/>
          <w:lang w:eastAsia="en-US"/>
        </w:rPr>
        <w:t>Código Estadual de Proteção aos Animai</w:t>
      </w:r>
      <w:r w:rsidR="00DD6D0C" w:rsidRPr="00D255CD">
        <w:rPr>
          <w:rFonts w:ascii="Arial" w:eastAsiaTheme="minorHAnsi" w:hAnsi="Arial" w:cs="Arial"/>
          <w:b/>
          <w:color w:val="000000"/>
          <w:sz w:val="20"/>
          <w:szCs w:val="20"/>
          <w:shd w:val="clear" w:color="auto" w:fill="FFFFFF"/>
          <w:lang w:eastAsia="en-US"/>
        </w:rPr>
        <w:t xml:space="preserve">s. </w:t>
      </w:r>
      <w:r w:rsidR="008237A8" w:rsidRPr="00D255CD">
        <w:rPr>
          <w:rFonts w:ascii="Arial" w:eastAsiaTheme="minorHAnsi" w:hAnsi="Arial" w:cs="Arial"/>
          <w:b/>
          <w:color w:val="000000"/>
          <w:sz w:val="20"/>
          <w:szCs w:val="20"/>
          <w:shd w:val="clear" w:color="auto" w:fill="FFFFFF"/>
          <w:lang w:eastAsia="en-US"/>
        </w:rPr>
        <w:t xml:space="preserve">Sacrifício </w:t>
      </w:r>
      <w:r w:rsidR="00DD6D0C" w:rsidRPr="00D255CD">
        <w:rPr>
          <w:rFonts w:ascii="Arial" w:eastAsiaTheme="minorHAnsi" w:hAnsi="Arial" w:cs="Arial"/>
          <w:b/>
          <w:color w:val="000000"/>
          <w:sz w:val="20"/>
          <w:szCs w:val="20"/>
          <w:shd w:val="clear" w:color="auto" w:fill="FFFFFF"/>
          <w:lang w:eastAsia="en-US"/>
        </w:rPr>
        <w:t>ritual de animais em cultos de religiões de matriz africana</w:t>
      </w:r>
      <w:r w:rsidR="00DD6D0C" w:rsidRPr="00D255CD">
        <w:rPr>
          <w:rFonts w:ascii="Arial" w:eastAsiaTheme="minorHAnsi" w:hAnsi="Arial" w:cs="Arial"/>
          <w:b/>
          <w:color w:val="000000"/>
          <w:sz w:val="20"/>
          <w:szCs w:val="20"/>
          <w:shd w:val="clear" w:color="auto" w:fill="FFFFFF"/>
          <w:lang w:eastAsia="en-US"/>
        </w:rPr>
        <w:t>.</w:t>
      </w:r>
      <w:r w:rsidR="008237A8" w:rsidRPr="00D255CD">
        <w:rPr>
          <w:rFonts w:ascii="Arial" w:eastAsiaTheme="minorHAnsi" w:hAnsi="Arial" w:cs="Arial"/>
          <w:b/>
          <w:color w:val="000000"/>
          <w:sz w:val="20"/>
          <w:szCs w:val="20"/>
          <w:shd w:val="clear" w:color="auto" w:fill="FFFFFF"/>
          <w:lang w:eastAsia="en-US"/>
        </w:rPr>
        <w:t xml:space="preserve"> Permissão. Constitucionalidade.</w:t>
      </w:r>
    </w:p>
    <w:p w14:paraId="63580A57" w14:textId="77777777" w:rsidR="003D48A6" w:rsidRPr="00D255CD" w:rsidRDefault="003D48A6" w:rsidP="00D255CD">
      <w:pPr>
        <w:spacing w:line="276" w:lineRule="auto"/>
        <w:jc w:val="both"/>
        <w:rPr>
          <w:rFonts w:ascii="Arial" w:eastAsiaTheme="minorHAnsi" w:hAnsi="Arial" w:cs="Arial"/>
          <w:b/>
          <w:color w:val="000000"/>
          <w:sz w:val="20"/>
          <w:szCs w:val="20"/>
          <w:shd w:val="clear" w:color="auto" w:fill="FFFFFF"/>
          <w:lang w:eastAsia="en-US"/>
        </w:rPr>
      </w:pPr>
    </w:p>
    <w:p w14:paraId="167CF6B9" w14:textId="77777777" w:rsidR="00DD6D0C" w:rsidRPr="00D255CD" w:rsidRDefault="00DD6D0C" w:rsidP="00D255CD">
      <w:pPr>
        <w:spacing w:line="276" w:lineRule="auto"/>
        <w:jc w:val="both"/>
        <w:rPr>
          <w:rFonts w:ascii="Arial" w:hAnsi="Arial" w:cs="Arial"/>
          <w:bCs/>
          <w:sz w:val="20"/>
          <w:szCs w:val="20"/>
        </w:rPr>
      </w:pPr>
      <w:r w:rsidRPr="00D255CD">
        <w:rPr>
          <w:rFonts w:ascii="Arial" w:hAnsi="Arial" w:cs="Arial"/>
          <w:bCs/>
          <w:sz w:val="20"/>
          <w:szCs w:val="20"/>
        </w:rPr>
        <w:t xml:space="preserve">O Tribunal, por maioria, negou provimento ao recurso extraordinário, nos termos do voto do Ministro Edson </w:t>
      </w:r>
      <w:proofErr w:type="spellStart"/>
      <w:r w:rsidRPr="00D255CD">
        <w:rPr>
          <w:rFonts w:ascii="Arial" w:hAnsi="Arial" w:cs="Arial"/>
          <w:bCs/>
          <w:sz w:val="20"/>
          <w:szCs w:val="20"/>
        </w:rPr>
        <w:t>Fachin</w:t>
      </w:r>
      <w:proofErr w:type="spellEnd"/>
      <w:r w:rsidRPr="00D255CD">
        <w:rPr>
          <w:rFonts w:ascii="Arial" w:hAnsi="Arial" w:cs="Arial"/>
          <w:bCs/>
          <w:sz w:val="20"/>
          <w:szCs w:val="20"/>
        </w:rPr>
        <w:t>, Redator para o acórdão, vencidos, em parte, os Ministros Marco Aurélio (Relator), Alexandre de Moraes e Gilmar Mendes, que também admitiam a constitucionalidade da lei, dando-lhe interpretação conforme. Em seguida, por maioria, fixou-se a seguinte tese: “É constitucional a lei de proteção animal que, a fim de resguardar a liberdade religiosa, permite o sacrifício ritual de animais em cultos de religiões de matriz africana”</w:t>
      </w:r>
      <w:r w:rsidRPr="00D255CD">
        <w:rPr>
          <w:rFonts w:ascii="Arial" w:hAnsi="Arial" w:cs="Arial"/>
          <w:bCs/>
          <w:sz w:val="20"/>
          <w:szCs w:val="20"/>
        </w:rPr>
        <w:t>.</w:t>
      </w:r>
    </w:p>
    <w:p w14:paraId="7C353FBC" w14:textId="3DB22AD6" w:rsidR="00967EE5" w:rsidRPr="00D255CD" w:rsidRDefault="00967EE5" w:rsidP="00D255CD">
      <w:pPr>
        <w:spacing w:line="276" w:lineRule="auto"/>
        <w:jc w:val="both"/>
        <w:rPr>
          <w:rFonts w:ascii="Arial" w:eastAsiaTheme="minorHAnsi" w:hAnsi="Arial" w:cs="Arial"/>
          <w:sz w:val="20"/>
          <w:szCs w:val="20"/>
        </w:rPr>
      </w:pPr>
      <w:r w:rsidRPr="00D255CD">
        <w:rPr>
          <w:rFonts w:ascii="Arial" w:eastAsiaTheme="minorHAnsi" w:hAnsi="Arial" w:cs="Arial"/>
          <w:sz w:val="20"/>
          <w:szCs w:val="20"/>
        </w:rPr>
        <w:br/>
      </w:r>
      <w:hyperlink r:id="rId11" w:history="1">
        <w:r w:rsidR="00DD6D0C" w:rsidRPr="00D255CD">
          <w:rPr>
            <w:rStyle w:val="Hyperlink"/>
            <w:rFonts w:ascii="Arial" w:hAnsi="Arial" w:cs="Arial"/>
            <w:bCs/>
            <w:sz w:val="20"/>
            <w:szCs w:val="20"/>
          </w:rPr>
          <w:t>RE 494601/RS</w:t>
        </w:r>
      </w:hyperlink>
      <w:r w:rsidR="00DD6D0C" w:rsidRPr="00D255CD">
        <w:rPr>
          <w:rFonts w:ascii="Arial" w:hAnsi="Arial" w:cs="Arial"/>
          <w:bCs/>
          <w:sz w:val="20"/>
          <w:szCs w:val="20"/>
        </w:rPr>
        <w:t xml:space="preserve">, rel. orig. Min. Marco Aurélio, red. p/ o ac. Min. Edson </w:t>
      </w:r>
      <w:proofErr w:type="spellStart"/>
      <w:r w:rsidR="00DD6D0C" w:rsidRPr="00D255CD">
        <w:rPr>
          <w:rFonts w:ascii="Arial" w:hAnsi="Arial" w:cs="Arial"/>
          <w:bCs/>
          <w:sz w:val="20"/>
          <w:szCs w:val="20"/>
        </w:rPr>
        <w:t>Fachin</w:t>
      </w:r>
      <w:proofErr w:type="spellEnd"/>
      <w:r w:rsidR="00DD6D0C" w:rsidRPr="00D255CD">
        <w:rPr>
          <w:rFonts w:ascii="Arial" w:hAnsi="Arial" w:cs="Arial"/>
          <w:bCs/>
          <w:sz w:val="20"/>
          <w:szCs w:val="20"/>
        </w:rPr>
        <w:t>, julgamento em 28.3.2019.</w:t>
      </w:r>
    </w:p>
    <w:bookmarkEnd w:id="3"/>
    <w:p w14:paraId="19CA102C" w14:textId="77777777" w:rsidR="002A365A" w:rsidRPr="00D255CD" w:rsidRDefault="002A365A" w:rsidP="00D255CD">
      <w:pPr>
        <w:spacing w:line="276" w:lineRule="auto"/>
        <w:jc w:val="both"/>
        <w:rPr>
          <w:rStyle w:val="Hyperlink"/>
          <w:rFonts w:ascii="Arial" w:hAnsi="Arial" w:cs="Arial"/>
          <w:b/>
          <w:color w:val="auto"/>
          <w:sz w:val="20"/>
          <w:szCs w:val="20"/>
          <w:u w:val="none"/>
        </w:rPr>
      </w:pPr>
    </w:p>
    <w:p w14:paraId="77DB263F" w14:textId="77777777" w:rsidR="00B34863" w:rsidRPr="00D255CD" w:rsidRDefault="00B34863" w:rsidP="00D255CD">
      <w:pPr>
        <w:shd w:val="pct10" w:color="auto" w:fill="auto"/>
        <w:spacing w:line="276" w:lineRule="auto"/>
        <w:jc w:val="center"/>
        <w:rPr>
          <w:rFonts w:ascii="Arial" w:hAnsi="Arial" w:cs="Arial"/>
          <w:b/>
          <w:sz w:val="20"/>
          <w:szCs w:val="20"/>
        </w:rPr>
      </w:pPr>
      <w:r w:rsidRPr="00D255CD">
        <w:rPr>
          <w:rFonts w:ascii="Arial" w:hAnsi="Arial" w:cs="Arial"/>
          <w:b/>
          <w:sz w:val="20"/>
          <w:szCs w:val="20"/>
        </w:rPr>
        <w:t xml:space="preserve">SUPERIOR TRIBUNAL DE JUSTIÇA </w:t>
      </w:r>
    </w:p>
    <w:p w14:paraId="2D573CEB" w14:textId="77777777" w:rsidR="009149FD" w:rsidRPr="00D255CD" w:rsidRDefault="009149FD" w:rsidP="00D255CD">
      <w:pPr>
        <w:spacing w:line="276" w:lineRule="auto"/>
        <w:jc w:val="both"/>
        <w:rPr>
          <w:rFonts w:ascii="Arial" w:hAnsi="Arial" w:cs="Arial"/>
          <w:b/>
          <w:color w:val="000000"/>
          <w:sz w:val="20"/>
          <w:szCs w:val="20"/>
          <w:shd w:val="clear" w:color="auto" w:fill="FFFFFF"/>
        </w:rPr>
      </w:pPr>
    </w:p>
    <w:p w14:paraId="2F309F4E" w14:textId="45F5CA51" w:rsidR="008237A8" w:rsidRPr="00D255CD" w:rsidRDefault="0080743C" w:rsidP="00D255CD">
      <w:pPr>
        <w:spacing w:line="276" w:lineRule="auto"/>
        <w:jc w:val="both"/>
        <w:rPr>
          <w:rFonts w:ascii="Arial" w:hAnsi="Arial" w:cs="Arial"/>
          <w:b/>
          <w:color w:val="000000"/>
          <w:sz w:val="20"/>
          <w:szCs w:val="20"/>
          <w:shd w:val="clear" w:color="auto" w:fill="FFFFFF"/>
        </w:rPr>
      </w:pPr>
      <w:bookmarkStart w:id="4" w:name="_Hlk11860784"/>
      <w:r w:rsidRPr="00D255CD">
        <w:rPr>
          <w:rFonts w:ascii="Arial" w:hAnsi="Arial" w:cs="Arial"/>
          <w:b/>
          <w:color w:val="000000"/>
          <w:sz w:val="20"/>
          <w:szCs w:val="20"/>
          <w:shd w:val="clear" w:color="auto" w:fill="FFFFFF"/>
        </w:rPr>
        <w:t>5</w:t>
      </w:r>
      <w:r w:rsidR="008B750A" w:rsidRPr="00D255CD">
        <w:rPr>
          <w:rFonts w:ascii="Arial" w:hAnsi="Arial" w:cs="Arial"/>
          <w:b/>
          <w:color w:val="000000"/>
          <w:sz w:val="20"/>
          <w:szCs w:val="20"/>
          <w:shd w:val="clear" w:color="auto" w:fill="FFFFFF"/>
        </w:rPr>
        <w:t xml:space="preserve">. </w:t>
      </w:r>
      <w:bookmarkEnd w:id="4"/>
      <w:r w:rsidR="00D255CD" w:rsidRPr="00D255CD">
        <w:rPr>
          <w:rFonts w:ascii="Arial" w:hAnsi="Arial" w:cs="Arial"/>
          <w:b/>
          <w:color w:val="000000"/>
          <w:sz w:val="20"/>
          <w:szCs w:val="20"/>
          <w:shd w:val="clear" w:color="auto" w:fill="FFFFFF"/>
        </w:rPr>
        <w:t>Processo civil. Recurso especial. Ambiental. Apreensão de veículo. Transporte de aves silvestres sem autorização. Revisão da jurisprudência. Comprovação da utilização específica e exclusiva do bem na prática do ilícito ambiental. Desnecessidade. Efeito dissuasório da legislação. Recrudescimento da atividade fiscalizatória. Recurso provido</w:t>
      </w:r>
      <w:r w:rsidR="008237A8" w:rsidRPr="00D255CD">
        <w:rPr>
          <w:rFonts w:ascii="Arial" w:hAnsi="Arial" w:cs="Arial"/>
          <w:b/>
          <w:color w:val="000000"/>
          <w:sz w:val="20"/>
          <w:szCs w:val="20"/>
          <w:shd w:val="clear" w:color="auto" w:fill="FFFFFF"/>
        </w:rPr>
        <w:t>.</w:t>
      </w:r>
    </w:p>
    <w:p w14:paraId="4160D630" w14:textId="77777777" w:rsidR="00D255CD" w:rsidRPr="00D255CD" w:rsidRDefault="00D255CD" w:rsidP="00D255CD">
      <w:pPr>
        <w:spacing w:line="276" w:lineRule="auto"/>
        <w:jc w:val="both"/>
        <w:rPr>
          <w:rFonts w:ascii="Arial" w:hAnsi="Arial" w:cs="Arial"/>
          <w:bCs/>
          <w:sz w:val="20"/>
          <w:szCs w:val="20"/>
        </w:rPr>
      </w:pPr>
      <w:bookmarkStart w:id="5" w:name="_GoBack"/>
      <w:bookmarkEnd w:id="5"/>
    </w:p>
    <w:p w14:paraId="775C2F94" w14:textId="015F5587" w:rsidR="008237A8" w:rsidRPr="00D255CD" w:rsidRDefault="008237A8" w:rsidP="00D255CD">
      <w:pPr>
        <w:spacing w:line="276" w:lineRule="auto"/>
        <w:jc w:val="both"/>
        <w:rPr>
          <w:rFonts w:ascii="Arial" w:hAnsi="Arial" w:cs="Arial"/>
          <w:bCs/>
          <w:sz w:val="20"/>
          <w:szCs w:val="20"/>
        </w:rPr>
      </w:pPr>
      <w:r w:rsidRPr="00D255CD">
        <w:rPr>
          <w:rFonts w:ascii="Arial" w:hAnsi="Arial" w:cs="Arial"/>
          <w:bCs/>
          <w:sz w:val="20"/>
          <w:szCs w:val="20"/>
        </w:rPr>
        <w:t>1. A efetividade da política de preservação do meio ambiente, especialmente no momento em que a comunidade internacional lança os olhos sobre o papel das autoridades públicas brasileiras no exercício de tal mister, atrai para o Judiciário o dever de interpretar a legislação à luz de tal realidade, recrudescendo a proteção ambiental e a correspondente atividade fiscalizatória.</w:t>
      </w:r>
    </w:p>
    <w:p w14:paraId="67C28908" w14:textId="77777777" w:rsidR="00D255CD" w:rsidRPr="00D255CD" w:rsidRDefault="00D255CD" w:rsidP="00D255CD">
      <w:pPr>
        <w:spacing w:line="276" w:lineRule="auto"/>
        <w:jc w:val="both"/>
        <w:rPr>
          <w:rFonts w:ascii="Arial" w:hAnsi="Arial" w:cs="Arial"/>
          <w:bCs/>
          <w:sz w:val="20"/>
          <w:szCs w:val="20"/>
        </w:rPr>
      </w:pPr>
    </w:p>
    <w:p w14:paraId="269A279B" w14:textId="3B05C77B" w:rsidR="008237A8" w:rsidRPr="00D255CD" w:rsidRDefault="008237A8" w:rsidP="00D255CD">
      <w:pPr>
        <w:spacing w:line="276" w:lineRule="auto"/>
        <w:jc w:val="both"/>
        <w:rPr>
          <w:rFonts w:ascii="Arial" w:hAnsi="Arial" w:cs="Arial"/>
          <w:bCs/>
          <w:sz w:val="20"/>
          <w:szCs w:val="20"/>
        </w:rPr>
      </w:pPr>
      <w:r w:rsidRPr="00D255CD">
        <w:rPr>
          <w:rFonts w:ascii="Arial" w:hAnsi="Arial" w:cs="Arial"/>
          <w:bCs/>
          <w:sz w:val="20"/>
          <w:szCs w:val="20"/>
        </w:rPr>
        <w:lastRenderedPageBreak/>
        <w:t>2. Merece ser superada a orientação jurisprudencial desta Corte Superior que condiciona a apreensão de veículos utilizados na prática de infração ambiental à comprovação de que os bens sejam específica e exclusivamente empregados na atividade ilícita.</w:t>
      </w:r>
    </w:p>
    <w:p w14:paraId="54FC6664" w14:textId="77777777" w:rsidR="00D255CD" w:rsidRPr="00D255CD" w:rsidRDefault="00D255CD" w:rsidP="00D255CD">
      <w:pPr>
        <w:spacing w:line="276" w:lineRule="auto"/>
        <w:jc w:val="both"/>
        <w:rPr>
          <w:rFonts w:ascii="Arial" w:hAnsi="Arial" w:cs="Arial"/>
          <w:bCs/>
          <w:sz w:val="20"/>
          <w:szCs w:val="20"/>
        </w:rPr>
      </w:pPr>
    </w:p>
    <w:p w14:paraId="02EE37A9" w14:textId="2D0FDF75" w:rsidR="008237A8" w:rsidRPr="00D255CD" w:rsidRDefault="008237A8" w:rsidP="00D255CD">
      <w:pPr>
        <w:spacing w:line="276" w:lineRule="auto"/>
        <w:jc w:val="both"/>
        <w:rPr>
          <w:rFonts w:ascii="Arial" w:hAnsi="Arial" w:cs="Arial"/>
          <w:bCs/>
          <w:sz w:val="20"/>
          <w:szCs w:val="20"/>
        </w:rPr>
      </w:pPr>
      <w:r w:rsidRPr="00D255CD">
        <w:rPr>
          <w:rFonts w:ascii="Arial" w:hAnsi="Arial" w:cs="Arial"/>
          <w:bCs/>
          <w:sz w:val="20"/>
          <w:szCs w:val="20"/>
        </w:rPr>
        <w:t xml:space="preserve">3. Os </w:t>
      </w:r>
      <w:proofErr w:type="spellStart"/>
      <w:r w:rsidRPr="00D255CD">
        <w:rPr>
          <w:rFonts w:ascii="Arial" w:hAnsi="Arial" w:cs="Arial"/>
          <w:bCs/>
          <w:sz w:val="20"/>
          <w:szCs w:val="20"/>
        </w:rPr>
        <w:t>arts</w:t>
      </w:r>
      <w:proofErr w:type="spellEnd"/>
      <w:r w:rsidRPr="00D255CD">
        <w:rPr>
          <w:rFonts w:ascii="Arial" w:hAnsi="Arial" w:cs="Arial"/>
          <w:bCs/>
          <w:sz w:val="20"/>
          <w:szCs w:val="20"/>
        </w:rPr>
        <w:t>. 25 e 72, IV, da Lei n. 9.605/1998 estabelecem como efeito imediato da infração a apreensão dos bens e instrumentos utilizados na prática do ilícito ambiental. A exigência de requisito não expressamente previsto na legislação de regência para a aplicação dessas sanções compromete a eficácia dissuasória inerente à medida, consistindo em incentivo, sob a perspectiva da teoria econômica do crime, às condutas lesivas ao meio ambiente.</w:t>
      </w:r>
    </w:p>
    <w:p w14:paraId="4353E170" w14:textId="77777777" w:rsidR="00D255CD" w:rsidRPr="00D255CD" w:rsidRDefault="00D255CD" w:rsidP="00D255CD">
      <w:pPr>
        <w:spacing w:line="276" w:lineRule="auto"/>
        <w:jc w:val="both"/>
        <w:rPr>
          <w:rFonts w:ascii="Arial" w:hAnsi="Arial" w:cs="Arial"/>
          <w:bCs/>
          <w:sz w:val="20"/>
          <w:szCs w:val="20"/>
        </w:rPr>
      </w:pPr>
    </w:p>
    <w:p w14:paraId="07D9F36A" w14:textId="71F0F0D4" w:rsidR="008237A8" w:rsidRPr="00D255CD" w:rsidRDefault="008237A8" w:rsidP="00D255CD">
      <w:pPr>
        <w:spacing w:line="276" w:lineRule="auto"/>
        <w:jc w:val="both"/>
        <w:rPr>
          <w:rFonts w:ascii="Arial" w:hAnsi="Arial" w:cs="Arial"/>
          <w:bCs/>
          <w:sz w:val="20"/>
          <w:szCs w:val="20"/>
        </w:rPr>
      </w:pPr>
      <w:r w:rsidRPr="00D255CD">
        <w:rPr>
          <w:rFonts w:ascii="Arial" w:hAnsi="Arial" w:cs="Arial"/>
          <w:bCs/>
          <w:sz w:val="20"/>
          <w:szCs w:val="20"/>
        </w:rPr>
        <w:t>4. No caso, o veículo foi apreendido por Fiscal do Ibama por ter realizado o transporte de animais silvestres sem a devida autorização ambiental, sendo de rigor a apreensão do bem, nos termos da legislação ambiental.</w:t>
      </w:r>
    </w:p>
    <w:p w14:paraId="02F81A95" w14:textId="77777777" w:rsidR="00D255CD" w:rsidRPr="00D255CD" w:rsidRDefault="00D255CD" w:rsidP="00D255CD">
      <w:pPr>
        <w:spacing w:line="276" w:lineRule="auto"/>
        <w:jc w:val="both"/>
        <w:rPr>
          <w:rFonts w:ascii="Arial" w:hAnsi="Arial" w:cs="Arial"/>
          <w:bCs/>
          <w:sz w:val="20"/>
          <w:szCs w:val="20"/>
        </w:rPr>
      </w:pPr>
    </w:p>
    <w:p w14:paraId="4F5BD2A5" w14:textId="03FC593D" w:rsidR="008237A8" w:rsidRPr="00D255CD" w:rsidRDefault="008237A8" w:rsidP="00D255CD">
      <w:pPr>
        <w:spacing w:line="276" w:lineRule="auto"/>
        <w:jc w:val="both"/>
        <w:rPr>
          <w:rFonts w:ascii="Arial" w:hAnsi="Arial" w:cs="Arial"/>
          <w:bCs/>
          <w:sz w:val="20"/>
          <w:szCs w:val="20"/>
        </w:rPr>
      </w:pPr>
      <w:r w:rsidRPr="00D255CD">
        <w:rPr>
          <w:rFonts w:ascii="Arial" w:hAnsi="Arial" w:cs="Arial"/>
          <w:bCs/>
          <w:sz w:val="20"/>
          <w:szCs w:val="20"/>
        </w:rPr>
        <w:t>5. Recurso especial a que se dá provimento.</w:t>
      </w:r>
    </w:p>
    <w:p w14:paraId="1F29EE01" w14:textId="77777777" w:rsidR="00D255CD" w:rsidRPr="00D255CD" w:rsidRDefault="00D255CD" w:rsidP="00D255CD">
      <w:pPr>
        <w:spacing w:line="276" w:lineRule="auto"/>
        <w:jc w:val="both"/>
        <w:rPr>
          <w:rFonts w:ascii="Arial" w:hAnsi="Arial" w:cs="Arial"/>
          <w:bCs/>
          <w:sz w:val="20"/>
          <w:szCs w:val="20"/>
        </w:rPr>
      </w:pPr>
    </w:p>
    <w:p w14:paraId="625490BD" w14:textId="44F9C6B8" w:rsidR="00A54810" w:rsidRPr="00D255CD" w:rsidRDefault="00D255CD" w:rsidP="00D255CD">
      <w:pPr>
        <w:spacing w:line="276" w:lineRule="auto"/>
        <w:jc w:val="both"/>
        <w:rPr>
          <w:rFonts w:ascii="Arial" w:hAnsi="Arial" w:cs="Arial"/>
          <w:bCs/>
          <w:sz w:val="20"/>
          <w:szCs w:val="20"/>
        </w:rPr>
      </w:pPr>
      <w:hyperlink r:id="rId12" w:history="1">
        <w:proofErr w:type="spellStart"/>
        <w:r w:rsidR="008237A8" w:rsidRPr="00D255CD">
          <w:rPr>
            <w:rStyle w:val="Hyperlink"/>
            <w:rFonts w:ascii="Arial" w:hAnsi="Arial" w:cs="Arial"/>
            <w:bCs/>
            <w:sz w:val="20"/>
            <w:szCs w:val="20"/>
          </w:rPr>
          <w:t>REsp</w:t>
        </w:r>
        <w:proofErr w:type="spellEnd"/>
        <w:r w:rsidR="008237A8" w:rsidRPr="00D255CD">
          <w:rPr>
            <w:rStyle w:val="Hyperlink"/>
            <w:rFonts w:ascii="Arial" w:hAnsi="Arial" w:cs="Arial"/>
            <w:bCs/>
            <w:sz w:val="20"/>
            <w:szCs w:val="20"/>
          </w:rPr>
          <w:t xml:space="preserve"> 1820640/PE</w:t>
        </w:r>
      </w:hyperlink>
      <w:r w:rsidR="008237A8" w:rsidRPr="00D255CD">
        <w:rPr>
          <w:rFonts w:ascii="Arial" w:hAnsi="Arial" w:cs="Arial"/>
          <w:bCs/>
          <w:sz w:val="20"/>
          <w:szCs w:val="20"/>
        </w:rPr>
        <w:t xml:space="preserve">, Rel. Ministro OG FERNANDES, SEGUNDA TURMA, julgado em 01/10/2019, </w:t>
      </w:r>
      <w:proofErr w:type="spellStart"/>
      <w:r w:rsidR="008237A8" w:rsidRPr="00D255CD">
        <w:rPr>
          <w:rFonts w:ascii="Arial" w:hAnsi="Arial" w:cs="Arial"/>
          <w:bCs/>
          <w:sz w:val="20"/>
          <w:szCs w:val="20"/>
        </w:rPr>
        <w:t>DJe</w:t>
      </w:r>
      <w:proofErr w:type="spellEnd"/>
      <w:r w:rsidR="008237A8" w:rsidRPr="00D255CD">
        <w:rPr>
          <w:rFonts w:ascii="Arial" w:hAnsi="Arial" w:cs="Arial"/>
          <w:bCs/>
          <w:sz w:val="20"/>
          <w:szCs w:val="20"/>
        </w:rPr>
        <w:t xml:space="preserve"> 09/10/2019</w:t>
      </w:r>
      <w:r w:rsidRPr="00D255CD">
        <w:rPr>
          <w:rFonts w:ascii="Arial" w:hAnsi="Arial" w:cs="Arial"/>
          <w:bCs/>
          <w:sz w:val="20"/>
          <w:szCs w:val="20"/>
        </w:rPr>
        <w:t>.</w:t>
      </w:r>
    </w:p>
    <w:p w14:paraId="57EBC30A" w14:textId="77777777" w:rsidR="00D255CD" w:rsidRPr="00D255CD" w:rsidRDefault="00D255CD" w:rsidP="00D255CD">
      <w:pPr>
        <w:pStyle w:val="Pr-formataoHTML"/>
        <w:shd w:val="clear" w:color="auto" w:fill="FFFFFF"/>
        <w:spacing w:line="276" w:lineRule="auto"/>
        <w:jc w:val="both"/>
        <w:rPr>
          <w:rFonts w:ascii="Arial" w:hAnsi="Arial" w:cs="Arial"/>
        </w:rPr>
      </w:pPr>
    </w:p>
    <w:p w14:paraId="14A79721" w14:textId="77777777" w:rsidR="00543DF0" w:rsidRPr="00D255CD" w:rsidRDefault="00543DF0" w:rsidP="00D255CD">
      <w:pPr>
        <w:pStyle w:val="Default"/>
        <w:spacing w:line="276" w:lineRule="auto"/>
        <w:jc w:val="both"/>
        <w:rPr>
          <w:b/>
          <w:sz w:val="20"/>
          <w:szCs w:val="20"/>
        </w:rPr>
      </w:pPr>
      <w:r w:rsidRPr="00D255CD">
        <w:rPr>
          <w:b/>
          <w:sz w:val="20"/>
          <w:szCs w:val="20"/>
        </w:rPr>
        <w:t xml:space="preserve">Acesse também: </w:t>
      </w:r>
    </w:p>
    <w:p w14:paraId="7C5D90F2" w14:textId="77777777" w:rsidR="0002789E" w:rsidRPr="00D255CD" w:rsidRDefault="00D255CD" w:rsidP="00D255CD">
      <w:pPr>
        <w:pStyle w:val="Default"/>
        <w:spacing w:line="276" w:lineRule="auto"/>
        <w:jc w:val="center"/>
        <w:rPr>
          <w:rStyle w:val="Hyperlink"/>
          <w:sz w:val="20"/>
          <w:szCs w:val="20"/>
        </w:rPr>
      </w:pPr>
      <w:hyperlink r:id="rId13" w:history="1">
        <w:r w:rsidR="0002789E" w:rsidRPr="00D255CD">
          <w:rPr>
            <w:rStyle w:val="Hyperlink"/>
            <w:b/>
            <w:sz w:val="20"/>
            <w:szCs w:val="20"/>
          </w:rPr>
          <w:t>Pesquisas Prontas</w:t>
        </w:r>
      </w:hyperlink>
    </w:p>
    <w:p w14:paraId="2C8E8A74" w14:textId="77777777" w:rsidR="0002789E" w:rsidRPr="00D255CD" w:rsidRDefault="0002789E" w:rsidP="00D255CD">
      <w:pPr>
        <w:pStyle w:val="Default"/>
        <w:spacing w:line="276" w:lineRule="auto"/>
        <w:jc w:val="center"/>
        <w:rPr>
          <w:rStyle w:val="Hyperlink"/>
          <w:b/>
          <w:sz w:val="20"/>
          <w:szCs w:val="20"/>
        </w:rPr>
      </w:pPr>
    </w:p>
    <w:p w14:paraId="73624566" w14:textId="77777777" w:rsidR="0002789E" w:rsidRPr="00D255CD" w:rsidRDefault="00D255CD" w:rsidP="00D255CD">
      <w:pPr>
        <w:pStyle w:val="Default"/>
        <w:spacing w:line="276" w:lineRule="auto"/>
        <w:jc w:val="center"/>
        <w:rPr>
          <w:rStyle w:val="Hyperlink"/>
          <w:b/>
          <w:sz w:val="20"/>
          <w:szCs w:val="20"/>
        </w:rPr>
      </w:pPr>
      <w:hyperlink r:id="rId14" w:history="1">
        <w:r w:rsidR="0002789E" w:rsidRPr="00D255CD">
          <w:rPr>
            <w:rStyle w:val="Hyperlink"/>
            <w:b/>
            <w:sz w:val="20"/>
            <w:szCs w:val="20"/>
          </w:rPr>
          <w:t>Boletim Informativo de Jurisprudência</w:t>
        </w:r>
      </w:hyperlink>
    </w:p>
    <w:p w14:paraId="1C0D6247" w14:textId="77777777" w:rsidR="0002789E" w:rsidRPr="00D255CD" w:rsidRDefault="0002789E" w:rsidP="00D255CD">
      <w:pPr>
        <w:pStyle w:val="Default"/>
        <w:spacing w:line="276" w:lineRule="auto"/>
        <w:jc w:val="center"/>
        <w:rPr>
          <w:rStyle w:val="Hyperlink"/>
          <w:b/>
          <w:sz w:val="20"/>
          <w:szCs w:val="20"/>
        </w:rPr>
      </w:pPr>
    </w:p>
    <w:p w14:paraId="487FF9F6" w14:textId="77777777" w:rsidR="0002789E" w:rsidRPr="00D255CD" w:rsidRDefault="00D255CD" w:rsidP="00D255CD">
      <w:pPr>
        <w:pStyle w:val="Default"/>
        <w:spacing w:line="276" w:lineRule="auto"/>
        <w:jc w:val="center"/>
        <w:rPr>
          <w:sz w:val="20"/>
          <w:szCs w:val="20"/>
        </w:rPr>
      </w:pPr>
      <w:hyperlink r:id="rId15" w:history="1">
        <w:proofErr w:type="spellStart"/>
        <w:r w:rsidR="0002789E" w:rsidRPr="00D255CD">
          <w:rPr>
            <w:rStyle w:val="Hyperlink"/>
            <w:b/>
            <w:sz w:val="20"/>
            <w:szCs w:val="20"/>
          </w:rPr>
          <w:t>Interjuris</w:t>
        </w:r>
        <w:proofErr w:type="spellEnd"/>
      </w:hyperlink>
    </w:p>
    <w:p w14:paraId="70A526BC" w14:textId="77777777" w:rsidR="0002789E" w:rsidRPr="00D255CD" w:rsidRDefault="0002789E" w:rsidP="00D255CD">
      <w:pPr>
        <w:pStyle w:val="Default"/>
        <w:spacing w:line="276" w:lineRule="auto"/>
        <w:jc w:val="center"/>
        <w:rPr>
          <w:sz w:val="20"/>
          <w:szCs w:val="20"/>
        </w:rPr>
      </w:pPr>
    </w:p>
    <w:p w14:paraId="0ACBE85F" w14:textId="77777777" w:rsidR="0002789E" w:rsidRPr="00D255CD" w:rsidRDefault="00D255CD" w:rsidP="00D255CD">
      <w:pPr>
        <w:pStyle w:val="Default"/>
        <w:spacing w:line="276" w:lineRule="auto"/>
        <w:jc w:val="center"/>
        <w:rPr>
          <w:rStyle w:val="Hyperlink"/>
          <w:b/>
          <w:sz w:val="20"/>
          <w:szCs w:val="20"/>
        </w:rPr>
      </w:pPr>
      <w:hyperlink r:id="rId16" w:history="1">
        <w:r w:rsidR="0002789E" w:rsidRPr="00D255CD">
          <w:rPr>
            <w:rStyle w:val="Hyperlink"/>
            <w:b/>
            <w:sz w:val="20"/>
            <w:szCs w:val="20"/>
          </w:rPr>
          <w:t>Repercussão Geral do Supremo Tribunal Federal - STF e os Tribunais de Contas</w:t>
        </w:r>
      </w:hyperlink>
    </w:p>
    <w:p w14:paraId="4B9E318B" w14:textId="77777777" w:rsidR="0002789E" w:rsidRPr="00D255CD" w:rsidRDefault="0002789E" w:rsidP="00D255CD">
      <w:pPr>
        <w:pStyle w:val="Default"/>
        <w:spacing w:line="276" w:lineRule="auto"/>
        <w:jc w:val="center"/>
        <w:rPr>
          <w:rStyle w:val="Hyperlink"/>
          <w:b/>
          <w:sz w:val="20"/>
          <w:szCs w:val="20"/>
        </w:rPr>
      </w:pPr>
    </w:p>
    <w:p w14:paraId="0EDF81B5" w14:textId="77777777" w:rsidR="0002789E" w:rsidRPr="00D255CD" w:rsidRDefault="00D255CD" w:rsidP="00D255CD">
      <w:pPr>
        <w:pStyle w:val="Default"/>
        <w:spacing w:line="276" w:lineRule="auto"/>
        <w:jc w:val="center"/>
        <w:rPr>
          <w:rStyle w:val="Hyperlink"/>
          <w:b/>
          <w:sz w:val="20"/>
          <w:szCs w:val="20"/>
        </w:rPr>
      </w:pPr>
      <w:hyperlink r:id="rId17" w:history="1">
        <w:r w:rsidR="0002789E" w:rsidRPr="00D255CD">
          <w:rPr>
            <w:rStyle w:val="Hyperlink"/>
            <w:b/>
            <w:sz w:val="20"/>
            <w:szCs w:val="20"/>
          </w:rPr>
          <w:t>Súmulas Selecionadas</w:t>
        </w:r>
      </w:hyperlink>
    </w:p>
    <w:p w14:paraId="2F7FB8EC" w14:textId="77777777" w:rsidR="00270E2F" w:rsidRPr="00D255CD" w:rsidRDefault="00270E2F" w:rsidP="00D255CD">
      <w:pPr>
        <w:pStyle w:val="TCU-Epgrafe"/>
        <w:spacing w:line="276" w:lineRule="auto"/>
        <w:ind w:left="0"/>
        <w:rPr>
          <w:rFonts w:ascii="Arial" w:hAnsi="Arial" w:cs="Arial"/>
          <w:sz w:val="20"/>
        </w:rPr>
      </w:pPr>
      <w:r w:rsidRPr="00D255CD">
        <w:rPr>
          <w:rFonts w:ascii="Arial" w:hAnsi="Arial" w:cs="Arial"/>
          <w:noProof/>
          <w:sz w:val="20"/>
        </w:rPr>
        <mc:AlternateContent>
          <mc:Choice Requires="wps">
            <w:drawing>
              <wp:anchor distT="0" distB="0" distL="114300" distR="114300" simplePos="0" relativeHeight="251664896" behindDoc="0" locked="0" layoutInCell="1" allowOverlap="1" wp14:anchorId="0C935BE1" wp14:editId="0C3872BA">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1E60A1A" w14:textId="77777777" w:rsidR="00984E8B" w:rsidRPr="00D255CD" w:rsidRDefault="00984E8B" w:rsidP="00D255CD">
      <w:pPr>
        <w:spacing w:line="276" w:lineRule="auto"/>
        <w:jc w:val="center"/>
        <w:rPr>
          <w:rStyle w:val="Hyperlink"/>
          <w:rFonts w:ascii="Arial" w:hAnsi="Arial" w:cs="Arial"/>
          <w:i/>
          <w:color w:val="000000" w:themeColor="text1"/>
          <w:sz w:val="20"/>
          <w:szCs w:val="20"/>
          <w:u w:val="none"/>
        </w:rPr>
      </w:pPr>
    </w:p>
    <w:p w14:paraId="011E7585" w14:textId="77777777" w:rsidR="00DB558E" w:rsidRPr="00D255CD" w:rsidRDefault="00DB558E" w:rsidP="00D255CD">
      <w:pPr>
        <w:spacing w:line="276" w:lineRule="auto"/>
        <w:jc w:val="center"/>
        <w:rPr>
          <w:rFonts w:ascii="Arial" w:hAnsi="Arial" w:cs="Arial"/>
          <w:b/>
          <w:sz w:val="20"/>
          <w:szCs w:val="20"/>
        </w:rPr>
      </w:pPr>
      <w:r w:rsidRPr="00D255CD">
        <w:rPr>
          <w:rStyle w:val="Hyperlink"/>
          <w:rFonts w:ascii="Arial" w:hAnsi="Arial" w:cs="Arial"/>
          <w:i/>
          <w:color w:val="000000" w:themeColor="text1"/>
          <w:sz w:val="20"/>
          <w:szCs w:val="20"/>
          <w:u w:val="none"/>
        </w:rPr>
        <w:t>Elaboração: Escola de Gestão Pública - Jurisprudência</w:t>
      </w:r>
    </w:p>
    <w:p w14:paraId="088F1C47" w14:textId="77777777" w:rsidR="00DB558E" w:rsidRPr="00D255CD" w:rsidRDefault="00DB558E" w:rsidP="00D255CD">
      <w:pPr>
        <w:widowControl w:val="0"/>
        <w:autoSpaceDE w:val="0"/>
        <w:autoSpaceDN w:val="0"/>
        <w:spacing w:line="276" w:lineRule="auto"/>
        <w:jc w:val="both"/>
        <w:rPr>
          <w:rFonts w:ascii="Arial" w:hAnsi="Arial" w:cs="Arial"/>
          <w:b/>
          <w:sz w:val="20"/>
          <w:szCs w:val="20"/>
        </w:rPr>
      </w:pPr>
    </w:p>
    <w:p w14:paraId="753C82AB" w14:textId="77777777" w:rsidR="00E01524" w:rsidRPr="00D255CD" w:rsidRDefault="00E01524" w:rsidP="00D255CD">
      <w:pPr>
        <w:pStyle w:val="TCU-Epgrafe"/>
        <w:spacing w:line="276" w:lineRule="auto"/>
        <w:ind w:left="0"/>
        <w:rPr>
          <w:rFonts w:ascii="Arial" w:hAnsi="Arial" w:cs="Arial"/>
          <w:b/>
          <w:sz w:val="20"/>
        </w:rPr>
      </w:pPr>
    </w:p>
    <w:sectPr w:rsidR="00E01524" w:rsidRPr="00D255CD">
      <w:headerReference w:type="default" r:id="rId18"/>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DA824" w14:textId="77777777" w:rsidR="00D03777" w:rsidRDefault="00D03777" w:rsidP="00350CC2">
      <w:r>
        <w:separator/>
      </w:r>
    </w:p>
  </w:endnote>
  <w:endnote w:type="continuationSeparator" w:id="0">
    <w:p w14:paraId="7F1B0532" w14:textId="77777777" w:rsidR="00D03777" w:rsidRDefault="00D03777" w:rsidP="0035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Univer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2A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 Arial"/>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AF15" w14:textId="77777777" w:rsidR="002245DE" w:rsidRDefault="002245DE" w:rsidP="002245DE">
    <w:pPr>
      <w:pStyle w:val="Rodap"/>
      <w:jc w:val="center"/>
      <w:rPr>
        <w:sz w:val="16"/>
        <w:szCs w:val="16"/>
      </w:rPr>
    </w:pPr>
    <w:r>
      <w:rPr>
        <w:noProof/>
        <w:lang w:eastAsia="pt-BR"/>
      </w:rPr>
      <w:drawing>
        <wp:inline distT="0" distB="0" distL="0" distR="0" wp14:anchorId="323DBF1D" wp14:editId="05D98FFC">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C1DAB92"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F076FF">
      <w:rPr>
        <w:noProof/>
        <w:sz w:val="16"/>
        <w:szCs w:val="16"/>
      </w:rPr>
      <w:t>3</w:t>
    </w:r>
    <w:r w:rsidRPr="00722924">
      <w:rPr>
        <w:sz w:val="16"/>
        <w:szCs w:val="16"/>
      </w:rPr>
      <w:fldChar w:fldCharType="end"/>
    </w:r>
  </w:p>
  <w:p w14:paraId="294BCBF1" w14:textId="77777777" w:rsidR="00375DB6" w:rsidRDefault="00375DB6"/>
  <w:p w14:paraId="5BDBB677" w14:textId="77777777" w:rsidR="00375DB6" w:rsidRDefault="00375DB6"/>
  <w:p w14:paraId="16F3CBE0"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3A358" w14:textId="77777777" w:rsidR="00D03777" w:rsidRDefault="00D03777" w:rsidP="00350CC2">
      <w:r>
        <w:separator/>
      </w:r>
    </w:p>
  </w:footnote>
  <w:footnote w:type="continuationSeparator" w:id="0">
    <w:p w14:paraId="126A8602" w14:textId="77777777" w:rsidR="00D03777" w:rsidRDefault="00D03777" w:rsidP="00350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9D407" w14:textId="77777777" w:rsidR="006A5FD7" w:rsidRDefault="006A5FD7" w:rsidP="00F14CCC">
    <w:pPr>
      <w:pStyle w:val="Cabealho"/>
      <w:spacing w:after="100" w:afterAutospacing="1"/>
      <w:jc w:val="center"/>
      <w:rPr>
        <w:b/>
      </w:rPr>
    </w:pPr>
  </w:p>
  <w:p w14:paraId="1117CB5D" w14:textId="77777777" w:rsidR="006A5FD7" w:rsidRDefault="006A5FD7" w:rsidP="00F14CCC">
    <w:pPr>
      <w:pStyle w:val="Cabealho"/>
      <w:spacing w:after="100" w:afterAutospacing="1"/>
      <w:jc w:val="center"/>
      <w:rPr>
        <w:b/>
      </w:rPr>
    </w:pPr>
    <w:r>
      <w:rPr>
        <w:noProof/>
        <w:lang w:eastAsia="pt-BR"/>
      </w:rPr>
      <w:drawing>
        <wp:inline distT="0" distB="0" distL="0" distR="0" wp14:anchorId="6A3749B5" wp14:editId="6613827D">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r w:rsidR="00F076FF">
      <w:rPr>
        <w:noProof/>
      </w:rPr>
      <w:drawing>
        <wp:inline distT="0" distB="0" distL="0" distR="0" wp14:anchorId="1581D82B" wp14:editId="314EAC89">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587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73074B"/>
    <w:multiLevelType w:val="multilevel"/>
    <w:tmpl w:val="E104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60B5D"/>
    <w:multiLevelType w:val="multilevel"/>
    <w:tmpl w:val="621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857408"/>
    <w:multiLevelType w:val="multilevel"/>
    <w:tmpl w:val="6966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4301F2C"/>
    <w:multiLevelType w:val="multilevel"/>
    <w:tmpl w:val="2D76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44EA1"/>
    <w:multiLevelType w:val="multilevel"/>
    <w:tmpl w:val="7EEE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D384D"/>
    <w:multiLevelType w:val="multilevel"/>
    <w:tmpl w:val="60FC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A01705C"/>
    <w:multiLevelType w:val="multilevel"/>
    <w:tmpl w:val="8C0A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DC523F"/>
    <w:multiLevelType w:val="multilevel"/>
    <w:tmpl w:val="EECC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4995A12"/>
    <w:multiLevelType w:val="multilevel"/>
    <w:tmpl w:val="8016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78E48BB"/>
    <w:multiLevelType w:val="multilevel"/>
    <w:tmpl w:val="FC8E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835A9E"/>
    <w:multiLevelType w:val="multilevel"/>
    <w:tmpl w:val="3630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4E5F26"/>
    <w:multiLevelType w:val="multilevel"/>
    <w:tmpl w:val="E5E4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2"/>
  </w:num>
  <w:num w:numId="3">
    <w:abstractNumId w:val="21"/>
  </w:num>
  <w:num w:numId="4">
    <w:abstractNumId w:val="22"/>
  </w:num>
  <w:num w:numId="5">
    <w:abstractNumId w:val="23"/>
  </w:num>
  <w:num w:numId="6">
    <w:abstractNumId w:val="17"/>
  </w:num>
  <w:num w:numId="7">
    <w:abstractNumId w:val="0"/>
  </w:num>
  <w:num w:numId="8">
    <w:abstractNumId w:val="3"/>
  </w:num>
  <w:num w:numId="9">
    <w:abstractNumId w:val="11"/>
  </w:num>
  <w:num w:numId="10">
    <w:abstractNumId w:val="5"/>
  </w:num>
  <w:num w:numId="11">
    <w:abstractNumId w:val="6"/>
  </w:num>
  <w:num w:numId="12">
    <w:abstractNumId w:val="15"/>
  </w:num>
  <w:num w:numId="13">
    <w:abstractNumId w:val="4"/>
  </w:num>
  <w:num w:numId="14">
    <w:abstractNumId w:val="8"/>
  </w:num>
  <w:num w:numId="15">
    <w:abstractNumId w:val="16"/>
  </w:num>
  <w:num w:numId="16">
    <w:abstractNumId w:val="19"/>
  </w:num>
  <w:num w:numId="17">
    <w:abstractNumId w:val="9"/>
  </w:num>
  <w:num w:numId="18">
    <w:abstractNumId w:val="1"/>
  </w:num>
  <w:num w:numId="19">
    <w:abstractNumId w:val="14"/>
  </w:num>
  <w:num w:numId="20">
    <w:abstractNumId w:val="18"/>
  </w:num>
  <w:num w:numId="21">
    <w:abstractNumId w:val="10"/>
  </w:num>
  <w:num w:numId="22">
    <w:abstractNumId w:val="20"/>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020"/>
    <w:rsid w:val="00003C03"/>
    <w:rsid w:val="0000505F"/>
    <w:rsid w:val="000078B5"/>
    <w:rsid w:val="00007F7A"/>
    <w:rsid w:val="00007FD0"/>
    <w:rsid w:val="00010B69"/>
    <w:rsid w:val="00010F88"/>
    <w:rsid w:val="0001200F"/>
    <w:rsid w:val="000126A0"/>
    <w:rsid w:val="00012CBB"/>
    <w:rsid w:val="00013691"/>
    <w:rsid w:val="00013840"/>
    <w:rsid w:val="00015B58"/>
    <w:rsid w:val="00015FB0"/>
    <w:rsid w:val="00017EBA"/>
    <w:rsid w:val="00021B0A"/>
    <w:rsid w:val="00022D68"/>
    <w:rsid w:val="00025971"/>
    <w:rsid w:val="00025E26"/>
    <w:rsid w:val="000262AD"/>
    <w:rsid w:val="0002789E"/>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709"/>
    <w:rsid w:val="00047EF1"/>
    <w:rsid w:val="00052862"/>
    <w:rsid w:val="00053B72"/>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5C5"/>
    <w:rsid w:val="000A06BE"/>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3BC"/>
    <w:rsid w:val="000C7D67"/>
    <w:rsid w:val="000D2D5B"/>
    <w:rsid w:val="000D357D"/>
    <w:rsid w:val="000D4DE6"/>
    <w:rsid w:val="000D560C"/>
    <w:rsid w:val="000D6D01"/>
    <w:rsid w:val="000E1F93"/>
    <w:rsid w:val="000E300B"/>
    <w:rsid w:val="000E3ACE"/>
    <w:rsid w:val="000E3FC6"/>
    <w:rsid w:val="000E464B"/>
    <w:rsid w:val="000E485E"/>
    <w:rsid w:val="000E5AC8"/>
    <w:rsid w:val="000F04ED"/>
    <w:rsid w:val="000F18DA"/>
    <w:rsid w:val="000F1FFA"/>
    <w:rsid w:val="000F314C"/>
    <w:rsid w:val="000F639D"/>
    <w:rsid w:val="000F7C1B"/>
    <w:rsid w:val="00100B9C"/>
    <w:rsid w:val="00106AA9"/>
    <w:rsid w:val="00106B27"/>
    <w:rsid w:val="00110517"/>
    <w:rsid w:val="00110BD6"/>
    <w:rsid w:val="001119DC"/>
    <w:rsid w:val="00111B86"/>
    <w:rsid w:val="00111C26"/>
    <w:rsid w:val="00112B60"/>
    <w:rsid w:val="0011394D"/>
    <w:rsid w:val="00113EF1"/>
    <w:rsid w:val="00114B62"/>
    <w:rsid w:val="001159C9"/>
    <w:rsid w:val="00120862"/>
    <w:rsid w:val="00121A99"/>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29D8"/>
    <w:rsid w:val="00155E99"/>
    <w:rsid w:val="00156185"/>
    <w:rsid w:val="00156F74"/>
    <w:rsid w:val="00157806"/>
    <w:rsid w:val="00157D64"/>
    <w:rsid w:val="0016028F"/>
    <w:rsid w:val="00161AA2"/>
    <w:rsid w:val="0016670D"/>
    <w:rsid w:val="00166A96"/>
    <w:rsid w:val="00170F9D"/>
    <w:rsid w:val="00171401"/>
    <w:rsid w:val="001720EB"/>
    <w:rsid w:val="00172248"/>
    <w:rsid w:val="0017455D"/>
    <w:rsid w:val="001770AF"/>
    <w:rsid w:val="001800A9"/>
    <w:rsid w:val="001823E7"/>
    <w:rsid w:val="0018272D"/>
    <w:rsid w:val="0018361F"/>
    <w:rsid w:val="00190B94"/>
    <w:rsid w:val="001927A5"/>
    <w:rsid w:val="001930D1"/>
    <w:rsid w:val="001942C5"/>
    <w:rsid w:val="00196437"/>
    <w:rsid w:val="001975AB"/>
    <w:rsid w:val="001A16DE"/>
    <w:rsid w:val="001A1F53"/>
    <w:rsid w:val="001A5D2D"/>
    <w:rsid w:val="001A73A2"/>
    <w:rsid w:val="001B096B"/>
    <w:rsid w:val="001B5B65"/>
    <w:rsid w:val="001B5F7A"/>
    <w:rsid w:val="001B6E08"/>
    <w:rsid w:val="001C0F23"/>
    <w:rsid w:val="001C46A8"/>
    <w:rsid w:val="001D0693"/>
    <w:rsid w:val="001D0DD1"/>
    <w:rsid w:val="001D4D9A"/>
    <w:rsid w:val="001D51BD"/>
    <w:rsid w:val="001D6665"/>
    <w:rsid w:val="001D684B"/>
    <w:rsid w:val="001D6ADC"/>
    <w:rsid w:val="001D7E4B"/>
    <w:rsid w:val="001E1817"/>
    <w:rsid w:val="001E2E5A"/>
    <w:rsid w:val="001E38CC"/>
    <w:rsid w:val="001E5F2E"/>
    <w:rsid w:val="001E6CAA"/>
    <w:rsid w:val="001E73FF"/>
    <w:rsid w:val="001E75A7"/>
    <w:rsid w:val="001F0424"/>
    <w:rsid w:val="001F7A25"/>
    <w:rsid w:val="002013D1"/>
    <w:rsid w:val="0020195B"/>
    <w:rsid w:val="00202E6D"/>
    <w:rsid w:val="00202F4B"/>
    <w:rsid w:val="002036C8"/>
    <w:rsid w:val="002100EE"/>
    <w:rsid w:val="00211A49"/>
    <w:rsid w:val="00213BD0"/>
    <w:rsid w:val="002147AC"/>
    <w:rsid w:val="00215BFE"/>
    <w:rsid w:val="00215EF3"/>
    <w:rsid w:val="0022060B"/>
    <w:rsid w:val="00220BB1"/>
    <w:rsid w:val="00221D15"/>
    <w:rsid w:val="00223A59"/>
    <w:rsid w:val="00223F1C"/>
    <w:rsid w:val="002245DE"/>
    <w:rsid w:val="00224904"/>
    <w:rsid w:val="002313A0"/>
    <w:rsid w:val="00232878"/>
    <w:rsid w:val="0023318C"/>
    <w:rsid w:val="00234AE0"/>
    <w:rsid w:val="00235F82"/>
    <w:rsid w:val="00236689"/>
    <w:rsid w:val="00237C21"/>
    <w:rsid w:val="0024200E"/>
    <w:rsid w:val="002426C3"/>
    <w:rsid w:val="00243F9F"/>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9F"/>
    <w:rsid w:val="00270E2F"/>
    <w:rsid w:val="00271154"/>
    <w:rsid w:val="00271655"/>
    <w:rsid w:val="002805F1"/>
    <w:rsid w:val="00282C4C"/>
    <w:rsid w:val="00286EB4"/>
    <w:rsid w:val="002874A2"/>
    <w:rsid w:val="002921E2"/>
    <w:rsid w:val="0029566D"/>
    <w:rsid w:val="00295F4B"/>
    <w:rsid w:val="002A00AC"/>
    <w:rsid w:val="002A00E8"/>
    <w:rsid w:val="002A0792"/>
    <w:rsid w:val="002A1D5F"/>
    <w:rsid w:val="002A2E6C"/>
    <w:rsid w:val="002A365A"/>
    <w:rsid w:val="002B070A"/>
    <w:rsid w:val="002B0F20"/>
    <w:rsid w:val="002B14B7"/>
    <w:rsid w:val="002B297F"/>
    <w:rsid w:val="002B38A8"/>
    <w:rsid w:val="002B5E9F"/>
    <w:rsid w:val="002B69CC"/>
    <w:rsid w:val="002B6BA0"/>
    <w:rsid w:val="002C05FF"/>
    <w:rsid w:val="002C19EA"/>
    <w:rsid w:val="002C3EA5"/>
    <w:rsid w:val="002C480F"/>
    <w:rsid w:val="002C56C9"/>
    <w:rsid w:val="002C7487"/>
    <w:rsid w:val="002D1923"/>
    <w:rsid w:val="002D48D1"/>
    <w:rsid w:val="002D5B56"/>
    <w:rsid w:val="002D6612"/>
    <w:rsid w:val="002D722B"/>
    <w:rsid w:val="002D7650"/>
    <w:rsid w:val="002E09B1"/>
    <w:rsid w:val="002E0A60"/>
    <w:rsid w:val="002E4277"/>
    <w:rsid w:val="002E5303"/>
    <w:rsid w:val="002E6626"/>
    <w:rsid w:val="002E72FA"/>
    <w:rsid w:val="002E7DFF"/>
    <w:rsid w:val="002F0BE9"/>
    <w:rsid w:val="002F0E1D"/>
    <w:rsid w:val="002F13A0"/>
    <w:rsid w:val="002F1634"/>
    <w:rsid w:val="002F1848"/>
    <w:rsid w:val="002F1D70"/>
    <w:rsid w:val="002F22FA"/>
    <w:rsid w:val="002F73BA"/>
    <w:rsid w:val="002F7BA5"/>
    <w:rsid w:val="003005B3"/>
    <w:rsid w:val="0030165B"/>
    <w:rsid w:val="00302340"/>
    <w:rsid w:val="00303C9C"/>
    <w:rsid w:val="00305A67"/>
    <w:rsid w:val="00306B80"/>
    <w:rsid w:val="00307038"/>
    <w:rsid w:val="00313238"/>
    <w:rsid w:val="003132BE"/>
    <w:rsid w:val="00313733"/>
    <w:rsid w:val="00320577"/>
    <w:rsid w:val="0032266D"/>
    <w:rsid w:val="00325E2F"/>
    <w:rsid w:val="003265DB"/>
    <w:rsid w:val="003269A9"/>
    <w:rsid w:val="00327DF9"/>
    <w:rsid w:val="0033073E"/>
    <w:rsid w:val="00331533"/>
    <w:rsid w:val="0033240F"/>
    <w:rsid w:val="0033270E"/>
    <w:rsid w:val="00333875"/>
    <w:rsid w:val="0033604C"/>
    <w:rsid w:val="003407F0"/>
    <w:rsid w:val="00342B5C"/>
    <w:rsid w:val="00343C28"/>
    <w:rsid w:val="00344A3D"/>
    <w:rsid w:val="00344A41"/>
    <w:rsid w:val="0034575E"/>
    <w:rsid w:val="00345C65"/>
    <w:rsid w:val="0035048F"/>
    <w:rsid w:val="00350CC2"/>
    <w:rsid w:val="00351206"/>
    <w:rsid w:val="0035203F"/>
    <w:rsid w:val="003528A1"/>
    <w:rsid w:val="00352A72"/>
    <w:rsid w:val="0035371B"/>
    <w:rsid w:val="00353FEB"/>
    <w:rsid w:val="0035491E"/>
    <w:rsid w:val="00356987"/>
    <w:rsid w:val="00356FB0"/>
    <w:rsid w:val="00360429"/>
    <w:rsid w:val="00361DA5"/>
    <w:rsid w:val="00361F1D"/>
    <w:rsid w:val="00362451"/>
    <w:rsid w:val="00364392"/>
    <w:rsid w:val="00365E61"/>
    <w:rsid w:val="00365EFF"/>
    <w:rsid w:val="00365F51"/>
    <w:rsid w:val="00373E05"/>
    <w:rsid w:val="00375692"/>
    <w:rsid w:val="00375DB6"/>
    <w:rsid w:val="0038012F"/>
    <w:rsid w:val="00380BAB"/>
    <w:rsid w:val="00381783"/>
    <w:rsid w:val="00381A0E"/>
    <w:rsid w:val="003854BD"/>
    <w:rsid w:val="0038751C"/>
    <w:rsid w:val="0038778B"/>
    <w:rsid w:val="00393AE3"/>
    <w:rsid w:val="00394451"/>
    <w:rsid w:val="0039584A"/>
    <w:rsid w:val="0039625A"/>
    <w:rsid w:val="00396E93"/>
    <w:rsid w:val="003A4828"/>
    <w:rsid w:val="003A64CB"/>
    <w:rsid w:val="003A6622"/>
    <w:rsid w:val="003A673F"/>
    <w:rsid w:val="003B145D"/>
    <w:rsid w:val="003B4678"/>
    <w:rsid w:val="003B4F77"/>
    <w:rsid w:val="003B502C"/>
    <w:rsid w:val="003C6B35"/>
    <w:rsid w:val="003C7C21"/>
    <w:rsid w:val="003D0632"/>
    <w:rsid w:val="003D48A6"/>
    <w:rsid w:val="003D650C"/>
    <w:rsid w:val="003D6713"/>
    <w:rsid w:val="003D6E90"/>
    <w:rsid w:val="003D704E"/>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337A"/>
    <w:rsid w:val="0041637A"/>
    <w:rsid w:val="00416A72"/>
    <w:rsid w:val="00420AE1"/>
    <w:rsid w:val="00424D0F"/>
    <w:rsid w:val="0042728A"/>
    <w:rsid w:val="004276DC"/>
    <w:rsid w:val="0042779B"/>
    <w:rsid w:val="00427BD4"/>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1CA"/>
    <w:rsid w:val="00462460"/>
    <w:rsid w:val="004624E9"/>
    <w:rsid w:val="00462A13"/>
    <w:rsid w:val="00462F2A"/>
    <w:rsid w:val="00463986"/>
    <w:rsid w:val="00463AC5"/>
    <w:rsid w:val="00463BA8"/>
    <w:rsid w:val="004641AA"/>
    <w:rsid w:val="00464835"/>
    <w:rsid w:val="004654D3"/>
    <w:rsid w:val="00470218"/>
    <w:rsid w:val="00471B9D"/>
    <w:rsid w:val="0047206A"/>
    <w:rsid w:val="00474978"/>
    <w:rsid w:val="0047499A"/>
    <w:rsid w:val="00474C78"/>
    <w:rsid w:val="004758AD"/>
    <w:rsid w:val="00475AAE"/>
    <w:rsid w:val="00480934"/>
    <w:rsid w:val="0048130C"/>
    <w:rsid w:val="00482FA5"/>
    <w:rsid w:val="00484E6E"/>
    <w:rsid w:val="00485819"/>
    <w:rsid w:val="00487D31"/>
    <w:rsid w:val="00490000"/>
    <w:rsid w:val="00491F60"/>
    <w:rsid w:val="00492026"/>
    <w:rsid w:val="004920C5"/>
    <w:rsid w:val="004927D6"/>
    <w:rsid w:val="00492E16"/>
    <w:rsid w:val="004949D1"/>
    <w:rsid w:val="00494AE3"/>
    <w:rsid w:val="00494C04"/>
    <w:rsid w:val="0049557F"/>
    <w:rsid w:val="004965C3"/>
    <w:rsid w:val="00497639"/>
    <w:rsid w:val="004A0574"/>
    <w:rsid w:val="004A0A41"/>
    <w:rsid w:val="004A22CF"/>
    <w:rsid w:val="004A5199"/>
    <w:rsid w:val="004A5804"/>
    <w:rsid w:val="004A794E"/>
    <w:rsid w:val="004B142E"/>
    <w:rsid w:val="004B1C0F"/>
    <w:rsid w:val="004B25CD"/>
    <w:rsid w:val="004B3D26"/>
    <w:rsid w:val="004B44C1"/>
    <w:rsid w:val="004B623F"/>
    <w:rsid w:val="004B6EA7"/>
    <w:rsid w:val="004C0B99"/>
    <w:rsid w:val="004C11DE"/>
    <w:rsid w:val="004C13DB"/>
    <w:rsid w:val="004C2577"/>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4A9E"/>
    <w:rsid w:val="00516673"/>
    <w:rsid w:val="00517B69"/>
    <w:rsid w:val="00520368"/>
    <w:rsid w:val="00523227"/>
    <w:rsid w:val="00523246"/>
    <w:rsid w:val="005237FD"/>
    <w:rsid w:val="005246B4"/>
    <w:rsid w:val="005252F8"/>
    <w:rsid w:val="00525F8B"/>
    <w:rsid w:val="0052651B"/>
    <w:rsid w:val="00530F1E"/>
    <w:rsid w:val="00532F0D"/>
    <w:rsid w:val="00533C06"/>
    <w:rsid w:val="00533E30"/>
    <w:rsid w:val="0053401E"/>
    <w:rsid w:val="00535AAB"/>
    <w:rsid w:val="00540B8E"/>
    <w:rsid w:val="00542636"/>
    <w:rsid w:val="00543DF0"/>
    <w:rsid w:val="005445E2"/>
    <w:rsid w:val="00544AB5"/>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70B"/>
    <w:rsid w:val="00590FA0"/>
    <w:rsid w:val="00593EFC"/>
    <w:rsid w:val="00594F73"/>
    <w:rsid w:val="00595336"/>
    <w:rsid w:val="0059537A"/>
    <w:rsid w:val="005957D1"/>
    <w:rsid w:val="00597215"/>
    <w:rsid w:val="005A0FD0"/>
    <w:rsid w:val="005A143D"/>
    <w:rsid w:val="005A1468"/>
    <w:rsid w:val="005A4536"/>
    <w:rsid w:val="005A5AF2"/>
    <w:rsid w:val="005A742F"/>
    <w:rsid w:val="005A7C78"/>
    <w:rsid w:val="005B4F6C"/>
    <w:rsid w:val="005B5AA9"/>
    <w:rsid w:val="005B7055"/>
    <w:rsid w:val="005C4763"/>
    <w:rsid w:val="005C4DB7"/>
    <w:rsid w:val="005C5DC8"/>
    <w:rsid w:val="005C661E"/>
    <w:rsid w:val="005C7258"/>
    <w:rsid w:val="005D1E9E"/>
    <w:rsid w:val="005D48C8"/>
    <w:rsid w:val="005D58CE"/>
    <w:rsid w:val="005D6DB4"/>
    <w:rsid w:val="005D7445"/>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6CC"/>
    <w:rsid w:val="005F7DEC"/>
    <w:rsid w:val="005F7E35"/>
    <w:rsid w:val="006009F5"/>
    <w:rsid w:val="00600AA5"/>
    <w:rsid w:val="0060126D"/>
    <w:rsid w:val="0060146A"/>
    <w:rsid w:val="00601974"/>
    <w:rsid w:val="00601CE8"/>
    <w:rsid w:val="00602DA5"/>
    <w:rsid w:val="006045AF"/>
    <w:rsid w:val="00604D43"/>
    <w:rsid w:val="00606B1E"/>
    <w:rsid w:val="006105E3"/>
    <w:rsid w:val="006115E2"/>
    <w:rsid w:val="00613D08"/>
    <w:rsid w:val="0061491F"/>
    <w:rsid w:val="00615FC7"/>
    <w:rsid w:val="00620DEF"/>
    <w:rsid w:val="0062204C"/>
    <w:rsid w:val="00622EE0"/>
    <w:rsid w:val="00623188"/>
    <w:rsid w:val="00626DD6"/>
    <w:rsid w:val="0062719D"/>
    <w:rsid w:val="00627FDF"/>
    <w:rsid w:val="00630296"/>
    <w:rsid w:val="006331E3"/>
    <w:rsid w:val="00633776"/>
    <w:rsid w:val="00633C62"/>
    <w:rsid w:val="006359FD"/>
    <w:rsid w:val="006361F0"/>
    <w:rsid w:val="006372A4"/>
    <w:rsid w:val="006375ED"/>
    <w:rsid w:val="0064029E"/>
    <w:rsid w:val="00640861"/>
    <w:rsid w:val="00640A36"/>
    <w:rsid w:val="00640BDC"/>
    <w:rsid w:val="0064171C"/>
    <w:rsid w:val="00646004"/>
    <w:rsid w:val="00646AD1"/>
    <w:rsid w:val="006473BA"/>
    <w:rsid w:val="00650E4E"/>
    <w:rsid w:val="00652C29"/>
    <w:rsid w:val="00654D9D"/>
    <w:rsid w:val="00660C02"/>
    <w:rsid w:val="0066104E"/>
    <w:rsid w:val="0066130F"/>
    <w:rsid w:val="006641F4"/>
    <w:rsid w:val="006645D9"/>
    <w:rsid w:val="00665EBC"/>
    <w:rsid w:val="00667637"/>
    <w:rsid w:val="00667BE8"/>
    <w:rsid w:val="0067150D"/>
    <w:rsid w:val="00673A29"/>
    <w:rsid w:val="00673AD9"/>
    <w:rsid w:val="006766F4"/>
    <w:rsid w:val="006777B6"/>
    <w:rsid w:val="00681341"/>
    <w:rsid w:val="00681535"/>
    <w:rsid w:val="00681787"/>
    <w:rsid w:val="00681EC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3252"/>
    <w:rsid w:val="006C7A04"/>
    <w:rsid w:val="006D14C7"/>
    <w:rsid w:val="006D158F"/>
    <w:rsid w:val="006D1B83"/>
    <w:rsid w:val="006D1BE7"/>
    <w:rsid w:val="006D3590"/>
    <w:rsid w:val="006D5C98"/>
    <w:rsid w:val="006D5DB6"/>
    <w:rsid w:val="006D6FCC"/>
    <w:rsid w:val="006E0A9F"/>
    <w:rsid w:val="006E12D5"/>
    <w:rsid w:val="006E1EDC"/>
    <w:rsid w:val="006E26E8"/>
    <w:rsid w:val="006E4493"/>
    <w:rsid w:val="006E76B0"/>
    <w:rsid w:val="006F08D4"/>
    <w:rsid w:val="006F3318"/>
    <w:rsid w:val="006F39CF"/>
    <w:rsid w:val="006F4894"/>
    <w:rsid w:val="006F58F5"/>
    <w:rsid w:val="006F676D"/>
    <w:rsid w:val="00700672"/>
    <w:rsid w:val="00701319"/>
    <w:rsid w:val="00701A9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40240"/>
    <w:rsid w:val="0074037C"/>
    <w:rsid w:val="00742895"/>
    <w:rsid w:val="00742B72"/>
    <w:rsid w:val="00742BC9"/>
    <w:rsid w:val="00743251"/>
    <w:rsid w:val="007436B5"/>
    <w:rsid w:val="007437CA"/>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250E"/>
    <w:rsid w:val="007C2CD7"/>
    <w:rsid w:val="007D009C"/>
    <w:rsid w:val="007D2162"/>
    <w:rsid w:val="007D2855"/>
    <w:rsid w:val="007D5A53"/>
    <w:rsid w:val="007D5D8E"/>
    <w:rsid w:val="007D62D9"/>
    <w:rsid w:val="007D6A5B"/>
    <w:rsid w:val="007D73C9"/>
    <w:rsid w:val="007D79DF"/>
    <w:rsid w:val="007E1FB4"/>
    <w:rsid w:val="007E28C1"/>
    <w:rsid w:val="007E786E"/>
    <w:rsid w:val="007F0840"/>
    <w:rsid w:val="007F2086"/>
    <w:rsid w:val="007F67A7"/>
    <w:rsid w:val="007F6F0A"/>
    <w:rsid w:val="00800773"/>
    <w:rsid w:val="00801004"/>
    <w:rsid w:val="0080111C"/>
    <w:rsid w:val="00801EFD"/>
    <w:rsid w:val="008058BC"/>
    <w:rsid w:val="00806D7C"/>
    <w:rsid w:val="0080743C"/>
    <w:rsid w:val="00807854"/>
    <w:rsid w:val="00811012"/>
    <w:rsid w:val="00811A90"/>
    <w:rsid w:val="00813846"/>
    <w:rsid w:val="00814325"/>
    <w:rsid w:val="00815C4F"/>
    <w:rsid w:val="008161C2"/>
    <w:rsid w:val="00816767"/>
    <w:rsid w:val="00816942"/>
    <w:rsid w:val="0081738B"/>
    <w:rsid w:val="0082026A"/>
    <w:rsid w:val="008219BA"/>
    <w:rsid w:val="008237A8"/>
    <w:rsid w:val="00824136"/>
    <w:rsid w:val="00826075"/>
    <w:rsid w:val="008267CA"/>
    <w:rsid w:val="00826A19"/>
    <w:rsid w:val="008312D4"/>
    <w:rsid w:val="008317C8"/>
    <w:rsid w:val="00831915"/>
    <w:rsid w:val="0083305B"/>
    <w:rsid w:val="00834578"/>
    <w:rsid w:val="0083648B"/>
    <w:rsid w:val="00836500"/>
    <w:rsid w:val="00841EAB"/>
    <w:rsid w:val="00844977"/>
    <w:rsid w:val="00844B97"/>
    <w:rsid w:val="00845BB4"/>
    <w:rsid w:val="008464F9"/>
    <w:rsid w:val="00847302"/>
    <w:rsid w:val="00847BF3"/>
    <w:rsid w:val="00852A15"/>
    <w:rsid w:val="00853D0B"/>
    <w:rsid w:val="00854B16"/>
    <w:rsid w:val="00854BCA"/>
    <w:rsid w:val="00855A43"/>
    <w:rsid w:val="0085605F"/>
    <w:rsid w:val="008561BF"/>
    <w:rsid w:val="00861DB4"/>
    <w:rsid w:val="00861E25"/>
    <w:rsid w:val="008633B6"/>
    <w:rsid w:val="0086402F"/>
    <w:rsid w:val="00866481"/>
    <w:rsid w:val="0087076A"/>
    <w:rsid w:val="00870853"/>
    <w:rsid w:val="008726DE"/>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1058"/>
    <w:rsid w:val="008A1517"/>
    <w:rsid w:val="008A2307"/>
    <w:rsid w:val="008A2B8F"/>
    <w:rsid w:val="008A2BB7"/>
    <w:rsid w:val="008A4000"/>
    <w:rsid w:val="008A4A65"/>
    <w:rsid w:val="008A6621"/>
    <w:rsid w:val="008A70A5"/>
    <w:rsid w:val="008B0E08"/>
    <w:rsid w:val="008B201B"/>
    <w:rsid w:val="008B222E"/>
    <w:rsid w:val="008B2D64"/>
    <w:rsid w:val="008B368E"/>
    <w:rsid w:val="008B38A4"/>
    <w:rsid w:val="008B38EE"/>
    <w:rsid w:val="008B3E8F"/>
    <w:rsid w:val="008B4F2F"/>
    <w:rsid w:val="008B55B4"/>
    <w:rsid w:val="008B6A00"/>
    <w:rsid w:val="008B750A"/>
    <w:rsid w:val="008B7AA1"/>
    <w:rsid w:val="008C0269"/>
    <w:rsid w:val="008C076F"/>
    <w:rsid w:val="008C257C"/>
    <w:rsid w:val="008D0FDE"/>
    <w:rsid w:val="008D1051"/>
    <w:rsid w:val="008D22BE"/>
    <w:rsid w:val="008D7542"/>
    <w:rsid w:val="008D7F7C"/>
    <w:rsid w:val="008E0835"/>
    <w:rsid w:val="008E16ED"/>
    <w:rsid w:val="008E280E"/>
    <w:rsid w:val="008E2BA7"/>
    <w:rsid w:val="008E36D8"/>
    <w:rsid w:val="008E5642"/>
    <w:rsid w:val="008E5CC2"/>
    <w:rsid w:val="008F2E20"/>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149FD"/>
    <w:rsid w:val="00920480"/>
    <w:rsid w:val="00920D01"/>
    <w:rsid w:val="00923B20"/>
    <w:rsid w:val="009263DF"/>
    <w:rsid w:val="00926E84"/>
    <w:rsid w:val="00927338"/>
    <w:rsid w:val="0093018E"/>
    <w:rsid w:val="0093167C"/>
    <w:rsid w:val="00932A3A"/>
    <w:rsid w:val="00934143"/>
    <w:rsid w:val="00934679"/>
    <w:rsid w:val="00935444"/>
    <w:rsid w:val="009378F0"/>
    <w:rsid w:val="00942696"/>
    <w:rsid w:val="00942EB6"/>
    <w:rsid w:val="0094307C"/>
    <w:rsid w:val="00944802"/>
    <w:rsid w:val="0094577A"/>
    <w:rsid w:val="009470DD"/>
    <w:rsid w:val="009518D9"/>
    <w:rsid w:val="0095236F"/>
    <w:rsid w:val="00952404"/>
    <w:rsid w:val="00953350"/>
    <w:rsid w:val="00955BDA"/>
    <w:rsid w:val="0096328F"/>
    <w:rsid w:val="009646AB"/>
    <w:rsid w:val="00965F52"/>
    <w:rsid w:val="0096737A"/>
    <w:rsid w:val="009674C6"/>
    <w:rsid w:val="00967EE5"/>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5BE"/>
    <w:rsid w:val="009C29C5"/>
    <w:rsid w:val="009C5C75"/>
    <w:rsid w:val="009D1C23"/>
    <w:rsid w:val="009D2A29"/>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10857"/>
    <w:rsid w:val="00A1221A"/>
    <w:rsid w:val="00A1269B"/>
    <w:rsid w:val="00A130F9"/>
    <w:rsid w:val="00A1585F"/>
    <w:rsid w:val="00A16000"/>
    <w:rsid w:val="00A16398"/>
    <w:rsid w:val="00A20EBA"/>
    <w:rsid w:val="00A20F2F"/>
    <w:rsid w:val="00A211A3"/>
    <w:rsid w:val="00A21641"/>
    <w:rsid w:val="00A2357E"/>
    <w:rsid w:val="00A24629"/>
    <w:rsid w:val="00A25A27"/>
    <w:rsid w:val="00A27485"/>
    <w:rsid w:val="00A30038"/>
    <w:rsid w:val="00A309E8"/>
    <w:rsid w:val="00A3514D"/>
    <w:rsid w:val="00A35318"/>
    <w:rsid w:val="00A40F98"/>
    <w:rsid w:val="00A41EF2"/>
    <w:rsid w:val="00A4241A"/>
    <w:rsid w:val="00A42619"/>
    <w:rsid w:val="00A4267D"/>
    <w:rsid w:val="00A427B2"/>
    <w:rsid w:val="00A43DEB"/>
    <w:rsid w:val="00A44DDA"/>
    <w:rsid w:val="00A476D7"/>
    <w:rsid w:val="00A47D62"/>
    <w:rsid w:val="00A53CDD"/>
    <w:rsid w:val="00A53EE6"/>
    <w:rsid w:val="00A54810"/>
    <w:rsid w:val="00A5538A"/>
    <w:rsid w:val="00A564AE"/>
    <w:rsid w:val="00A5710E"/>
    <w:rsid w:val="00A57A4A"/>
    <w:rsid w:val="00A57C0E"/>
    <w:rsid w:val="00A60380"/>
    <w:rsid w:val="00A614EB"/>
    <w:rsid w:val="00A62886"/>
    <w:rsid w:val="00A63E79"/>
    <w:rsid w:val="00A6719E"/>
    <w:rsid w:val="00A672B2"/>
    <w:rsid w:val="00A74C51"/>
    <w:rsid w:val="00A77682"/>
    <w:rsid w:val="00A80C19"/>
    <w:rsid w:val="00A83279"/>
    <w:rsid w:val="00A83750"/>
    <w:rsid w:val="00A84631"/>
    <w:rsid w:val="00A86498"/>
    <w:rsid w:val="00A86A0A"/>
    <w:rsid w:val="00A9067C"/>
    <w:rsid w:val="00A90A24"/>
    <w:rsid w:val="00A90BD3"/>
    <w:rsid w:val="00A91402"/>
    <w:rsid w:val="00A92FBB"/>
    <w:rsid w:val="00A93C1C"/>
    <w:rsid w:val="00A94ED2"/>
    <w:rsid w:val="00A96790"/>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B79DB"/>
    <w:rsid w:val="00AC06B6"/>
    <w:rsid w:val="00AC1A7F"/>
    <w:rsid w:val="00AC6AFC"/>
    <w:rsid w:val="00AC7830"/>
    <w:rsid w:val="00AD0466"/>
    <w:rsid w:val="00AD1557"/>
    <w:rsid w:val="00AD35F3"/>
    <w:rsid w:val="00AD44E9"/>
    <w:rsid w:val="00AD4CAC"/>
    <w:rsid w:val="00AD528F"/>
    <w:rsid w:val="00AD6760"/>
    <w:rsid w:val="00AD6EB3"/>
    <w:rsid w:val="00AD741D"/>
    <w:rsid w:val="00AD751D"/>
    <w:rsid w:val="00AD791C"/>
    <w:rsid w:val="00AE1C60"/>
    <w:rsid w:val="00AE4F42"/>
    <w:rsid w:val="00AE728D"/>
    <w:rsid w:val="00AE7589"/>
    <w:rsid w:val="00AE798E"/>
    <w:rsid w:val="00AF2833"/>
    <w:rsid w:val="00AF3716"/>
    <w:rsid w:val="00AF3C46"/>
    <w:rsid w:val="00AF43E1"/>
    <w:rsid w:val="00AF4D71"/>
    <w:rsid w:val="00AF5921"/>
    <w:rsid w:val="00B0092E"/>
    <w:rsid w:val="00B018B2"/>
    <w:rsid w:val="00B018E8"/>
    <w:rsid w:val="00B036BD"/>
    <w:rsid w:val="00B03BF6"/>
    <w:rsid w:val="00B03CDF"/>
    <w:rsid w:val="00B040B7"/>
    <w:rsid w:val="00B04A55"/>
    <w:rsid w:val="00B04D46"/>
    <w:rsid w:val="00B104C5"/>
    <w:rsid w:val="00B10F47"/>
    <w:rsid w:val="00B1385B"/>
    <w:rsid w:val="00B13B1B"/>
    <w:rsid w:val="00B15DBF"/>
    <w:rsid w:val="00B165C9"/>
    <w:rsid w:val="00B179FD"/>
    <w:rsid w:val="00B17D70"/>
    <w:rsid w:val="00B22AD7"/>
    <w:rsid w:val="00B22D31"/>
    <w:rsid w:val="00B22E46"/>
    <w:rsid w:val="00B27853"/>
    <w:rsid w:val="00B30291"/>
    <w:rsid w:val="00B306F7"/>
    <w:rsid w:val="00B30BB8"/>
    <w:rsid w:val="00B30FE2"/>
    <w:rsid w:val="00B3272E"/>
    <w:rsid w:val="00B32C71"/>
    <w:rsid w:val="00B330C4"/>
    <w:rsid w:val="00B33356"/>
    <w:rsid w:val="00B34863"/>
    <w:rsid w:val="00B37580"/>
    <w:rsid w:val="00B4137A"/>
    <w:rsid w:val="00B43DA3"/>
    <w:rsid w:val="00B47C4C"/>
    <w:rsid w:val="00B50B77"/>
    <w:rsid w:val="00B51290"/>
    <w:rsid w:val="00B51769"/>
    <w:rsid w:val="00B52215"/>
    <w:rsid w:val="00B530CA"/>
    <w:rsid w:val="00B53AC4"/>
    <w:rsid w:val="00B54527"/>
    <w:rsid w:val="00B57ADA"/>
    <w:rsid w:val="00B61EE9"/>
    <w:rsid w:val="00B6496C"/>
    <w:rsid w:val="00B65962"/>
    <w:rsid w:val="00B66B6C"/>
    <w:rsid w:val="00B7033E"/>
    <w:rsid w:val="00B7071A"/>
    <w:rsid w:val="00B71858"/>
    <w:rsid w:val="00B71A39"/>
    <w:rsid w:val="00B721DC"/>
    <w:rsid w:val="00B74715"/>
    <w:rsid w:val="00B7669D"/>
    <w:rsid w:val="00B766D9"/>
    <w:rsid w:val="00B80A28"/>
    <w:rsid w:val="00B82D73"/>
    <w:rsid w:val="00B84A2C"/>
    <w:rsid w:val="00B871D6"/>
    <w:rsid w:val="00B87A02"/>
    <w:rsid w:val="00B96204"/>
    <w:rsid w:val="00BA0DCC"/>
    <w:rsid w:val="00BA12A2"/>
    <w:rsid w:val="00BA16EF"/>
    <w:rsid w:val="00BA18D0"/>
    <w:rsid w:val="00BA242E"/>
    <w:rsid w:val="00BA2ABF"/>
    <w:rsid w:val="00BA3317"/>
    <w:rsid w:val="00BA5A9D"/>
    <w:rsid w:val="00BA6363"/>
    <w:rsid w:val="00BA6733"/>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717E"/>
    <w:rsid w:val="00BE7E27"/>
    <w:rsid w:val="00BF183C"/>
    <w:rsid w:val="00BF4C15"/>
    <w:rsid w:val="00C0277D"/>
    <w:rsid w:val="00C0782F"/>
    <w:rsid w:val="00C11F50"/>
    <w:rsid w:val="00C12603"/>
    <w:rsid w:val="00C12C7C"/>
    <w:rsid w:val="00C131FD"/>
    <w:rsid w:val="00C15322"/>
    <w:rsid w:val="00C16DA8"/>
    <w:rsid w:val="00C17352"/>
    <w:rsid w:val="00C21959"/>
    <w:rsid w:val="00C24966"/>
    <w:rsid w:val="00C30A7D"/>
    <w:rsid w:val="00C31169"/>
    <w:rsid w:val="00C3169F"/>
    <w:rsid w:val="00C318F6"/>
    <w:rsid w:val="00C37522"/>
    <w:rsid w:val="00C42EFD"/>
    <w:rsid w:val="00C4357B"/>
    <w:rsid w:val="00C43D8B"/>
    <w:rsid w:val="00C44042"/>
    <w:rsid w:val="00C46AF0"/>
    <w:rsid w:val="00C525F2"/>
    <w:rsid w:val="00C52956"/>
    <w:rsid w:val="00C53AE1"/>
    <w:rsid w:val="00C53CAD"/>
    <w:rsid w:val="00C54893"/>
    <w:rsid w:val="00C560A1"/>
    <w:rsid w:val="00C56E9E"/>
    <w:rsid w:val="00C56EB6"/>
    <w:rsid w:val="00C571E2"/>
    <w:rsid w:val="00C63FC8"/>
    <w:rsid w:val="00C645F4"/>
    <w:rsid w:val="00C64F57"/>
    <w:rsid w:val="00C65D21"/>
    <w:rsid w:val="00C66E11"/>
    <w:rsid w:val="00C6789D"/>
    <w:rsid w:val="00C71A97"/>
    <w:rsid w:val="00C72FFE"/>
    <w:rsid w:val="00C73FFD"/>
    <w:rsid w:val="00C74512"/>
    <w:rsid w:val="00C75071"/>
    <w:rsid w:val="00C84F07"/>
    <w:rsid w:val="00C851A6"/>
    <w:rsid w:val="00C855D4"/>
    <w:rsid w:val="00C87639"/>
    <w:rsid w:val="00C90685"/>
    <w:rsid w:val="00C9099A"/>
    <w:rsid w:val="00C9240A"/>
    <w:rsid w:val="00C93D5B"/>
    <w:rsid w:val="00C9442C"/>
    <w:rsid w:val="00C9532C"/>
    <w:rsid w:val="00C95BCF"/>
    <w:rsid w:val="00C95D16"/>
    <w:rsid w:val="00C95DCF"/>
    <w:rsid w:val="00C9733F"/>
    <w:rsid w:val="00CA184E"/>
    <w:rsid w:val="00CA23C4"/>
    <w:rsid w:val="00CA575F"/>
    <w:rsid w:val="00CA5AEC"/>
    <w:rsid w:val="00CA6114"/>
    <w:rsid w:val="00CA704A"/>
    <w:rsid w:val="00CA7D59"/>
    <w:rsid w:val="00CB0797"/>
    <w:rsid w:val="00CB21FF"/>
    <w:rsid w:val="00CB5CAE"/>
    <w:rsid w:val="00CB644C"/>
    <w:rsid w:val="00CB78ED"/>
    <w:rsid w:val="00CC0004"/>
    <w:rsid w:val="00CC4E55"/>
    <w:rsid w:val="00CC4E94"/>
    <w:rsid w:val="00CC550E"/>
    <w:rsid w:val="00CC5AC6"/>
    <w:rsid w:val="00CD0DCE"/>
    <w:rsid w:val="00CD1628"/>
    <w:rsid w:val="00CD1D27"/>
    <w:rsid w:val="00CD27B7"/>
    <w:rsid w:val="00CD3090"/>
    <w:rsid w:val="00CD37A1"/>
    <w:rsid w:val="00CD3807"/>
    <w:rsid w:val="00CD3AE7"/>
    <w:rsid w:val="00CD3C10"/>
    <w:rsid w:val="00CD5194"/>
    <w:rsid w:val="00CD5981"/>
    <w:rsid w:val="00CD5D25"/>
    <w:rsid w:val="00CD79FA"/>
    <w:rsid w:val="00CE10E6"/>
    <w:rsid w:val="00CE59A8"/>
    <w:rsid w:val="00CE657B"/>
    <w:rsid w:val="00CF0873"/>
    <w:rsid w:val="00CF237E"/>
    <w:rsid w:val="00CF3FB0"/>
    <w:rsid w:val="00CF515D"/>
    <w:rsid w:val="00CF53F5"/>
    <w:rsid w:val="00CF6B3F"/>
    <w:rsid w:val="00D002B4"/>
    <w:rsid w:val="00D01404"/>
    <w:rsid w:val="00D02C52"/>
    <w:rsid w:val="00D03777"/>
    <w:rsid w:val="00D03845"/>
    <w:rsid w:val="00D03DCB"/>
    <w:rsid w:val="00D05257"/>
    <w:rsid w:val="00D054DF"/>
    <w:rsid w:val="00D057A5"/>
    <w:rsid w:val="00D05D1F"/>
    <w:rsid w:val="00D144D0"/>
    <w:rsid w:val="00D14FC0"/>
    <w:rsid w:val="00D163A3"/>
    <w:rsid w:val="00D1656D"/>
    <w:rsid w:val="00D167CC"/>
    <w:rsid w:val="00D16943"/>
    <w:rsid w:val="00D20524"/>
    <w:rsid w:val="00D211AE"/>
    <w:rsid w:val="00D21662"/>
    <w:rsid w:val="00D22EE1"/>
    <w:rsid w:val="00D23DE4"/>
    <w:rsid w:val="00D23F50"/>
    <w:rsid w:val="00D24867"/>
    <w:rsid w:val="00D255CD"/>
    <w:rsid w:val="00D318E3"/>
    <w:rsid w:val="00D323A7"/>
    <w:rsid w:val="00D346BF"/>
    <w:rsid w:val="00D34A4B"/>
    <w:rsid w:val="00D416EB"/>
    <w:rsid w:val="00D41B20"/>
    <w:rsid w:val="00D44615"/>
    <w:rsid w:val="00D45321"/>
    <w:rsid w:val="00D46F57"/>
    <w:rsid w:val="00D50324"/>
    <w:rsid w:val="00D5202B"/>
    <w:rsid w:val="00D55A28"/>
    <w:rsid w:val="00D5605F"/>
    <w:rsid w:val="00D57BC9"/>
    <w:rsid w:val="00D61FBD"/>
    <w:rsid w:val="00D62519"/>
    <w:rsid w:val="00D625AA"/>
    <w:rsid w:val="00D63CBD"/>
    <w:rsid w:val="00D6500C"/>
    <w:rsid w:val="00D66392"/>
    <w:rsid w:val="00D66959"/>
    <w:rsid w:val="00D70661"/>
    <w:rsid w:val="00D70A39"/>
    <w:rsid w:val="00D71A7E"/>
    <w:rsid w:val="00D7643D"/>
    <w:rsid w:val="00D76DE0"/>
    <w:rsid w:val="00D80DF0"/>
    <w:rsid w:val="00D83ED5"/>
    <w:rsid w:val="00D86043"/>
    <w:rsid w:val="00D870D4"/>
    <w:rsid w:val="00D9046A"/>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21B"/>
    <w:rsid w:val="00DB74AF"/>
    <w:rsid w:val="00DC1AB8"/>
    <w:rsid w:val="00DC5C19"/>
    <w:rsid w:val="00DC7068"/>
    <w:rsid w:val="00DD0411"/>
    <w:rsid w:val="00DD265A"/>
    <w:rsid w:val="00DD314C"/>
    <w:rsid w:val="00DD6B9B"/>
    <w:rsid w:val="00DD6CE2"/>
    <w:rsid w:val="00DD6D0C"/>
    <w:rsid w:val="00DE07A1"/>
    <w:rsid w:val="00DE21A2"/>
    <w:rsid w:val="00DE2776"/>
    <w:rsid w:val="00DE3B11"/>
    <w:rsid w:val="00DE4B94"/>
    <w:rsid w:val="00DE6E4E"/>
    <w:rsid w:val="00DE7183"/>
    <w:rsid w:val="00DF1DAC"/>
    <w:rsid w:val="00DF2165"/>
    <w:rsid w:val="00DF5A24"/>
    <w:rsid w:val="00DF60E6"/>
    <w:rsid w:val="00DF6105"/>
    <w:rsid w:val="00DF659E"/>
    <w:rsid w:val="00DF6F7F"/>
    <w:rsid w:val="00E01524"/>
    <w:rsid w:val="00E06816"/>
    <w:rsid w:val="00E07C16"/>
    <w:rsid w:val="00E1021D"/>
    <w:rsid w:val="00E1428E"/>
    <w:rsid w:val="00E14900"/>
    <w:rsid w:val="00E218D3"/>
    <w:rsid w:val="00E22321"/>
    <w:rsid w:val="00E229ED"/>
    <w:rsid w:val="00E23091"/>
    <w:rsid w:val="00E23E21"/>
    <w:rsid w:val="00E245A0"/>
    <w:rsid w:val="00E25964"/>
    <w:rsid w:val="00E25E9F"/>
    <w:rsid w:val="00E2658F"/>
    <w:rsid w:val="00E27565"/>
    <w:rsid w:val="00E30DE6"/>
    <w:rsid w:val="00E31944"/>
    <w:rsid w:val="00E32395"/>
    <w:rsid w:val="00E32E0D"/>
    <w:rsid w:val="00E332E3"/>
    <w:rsid w:val="00E35435"/>
    <w:rsid w:val="00E37194"/>
    <w:rsid w:val="00E3788B"/>
    <w:rsid w:val="00E40C6A"/>
    <w:rsid w:val="00E410B7"/>
    <w:rsid w:val="00E43977"/>
    <w:rsid w:val="00E4415D"/>
    <w:rsid w:val="00E44AB1"/>
    <w:rsid w:val="00E44AB8"/>
    <w:rsid w:val="00E47BD8"/>
    <w:rsid w:val="00E50D3F"/>
    <w:rsid w:val="00E520BE"/>
    <w:rsid w:val="00E5484A"/>
    <w:rsid w:val="00E54E17"/>
    <w:rsid w:val="00E56542"/>
    <w:rsid w:val="00E56A7A"/>
    <w:rsid w:val="00E60419"/>
    <w:rsid w:val="00E60E01"/>
    <w:rsid w:val="00E617D3"/>
    <w:rsid w:val="00E61E36"/>
    <w:rsid w:val="00E633C1"/>
    <w:rsid w:val="00E65C68"/>
    <w:rsid w:val="00E667B0"/>
    <w:rsid w:val="00E67390"/>
    <w:rsid w:val="00E71365"/>
    <w:rsid w:val="00E74904"/>
    <w:rsid w:val="00E770A4"/>
    <w:rsid w:val="00E8097A"/>
    <w:rsid w:val="00E81192"/>
    <w:rsid w:val="00E83B51"/>
    <w:rsid w:val="00E8626C"/>
    <w:rsid w:val="00E8663B"/>
    <w:rsid w:val="00E86BDE"/>
    <w:rsid w:val="00E8762F"/>
    <w:rsid w:val="00E90AB8"/>
    <w:rsid w:val="00E919D9"/>
    <w:rsid w:val="00E921C1"/>
    <w:rsid w:val="00E93C8B"/>
    <w:rsid w:val="00E93D8F"/>
    <w:rsid w:val="00E94D1A"/>
    <w:rsid w:val="00E9531E"/>
    <w:rsid w:val="00E95A8E"/>
    <w:rsid w:val="00E95E41"/>
    <w:rsid w:val="00E95E4C"/>
    <w:rsid w:val="00E977CE"/>
    <w:rsid w:val="00E97E05"/>
    <w:rsid w:val="00EA1370"/>
    <w:rsid w:val="00EA198C"/>
    <w:rsid w:val="00EA34E2"/>
    <w:rsid w:val="00EA52D1"/>
    <w:rsid w:val="00EA703E"/>
    <w:rsid w:val="00EA791F"/>
    <w:rsid w:val="00EB671F"/>
    <w:rsid w:val="00EB6D0B"/>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6FF"/>
    <w:rsid w:val="00F0782D"/>
    <w:rsid w:val="00F10B74"/>
    <w:rsid w:val="00F11EB3"/>
    <w:rsid w:val="00F13F39"/>
    <w:rsid w:val="00F14B9B"/>
    <w:rsid w:val="00F14CCC"/>
    <w:rsid w:val="00F17988"/>
    <w:rsid w:val="00F20C09"/>
    <w:rsid w:val="00F217DF"/>
    <w:rsid w:val="00F21CAE"/>
    <w:rsid w:val="00F22AE0"/>
    <w:rsid w:val="00F2601A"/>
    <w:rsid w:val="00F26701"/>
    <w:rsid w:val="00F310D7"/>
    <w:rsid w:val="00F368B9"/>
    <w:rsid w:val="00F3739F"/>
    <w:rsid w:val="00F374C1"/>
    <w:rsid w:val="00F37B34"/>
    <w:rsid w:val="00F41C34"/>
    <w:rsid w:val="00F4212F"/>
    <w:rsid w:val="00F447DB"/>
    <w:rsid w:val="00F447FA"/>
    <w:rsid w:val="00F45FE6"/>
    <w:rsid w:val="00F469B9"/>
    <w:rsid w:val="00F46C32"/>
    <w:rsid w:val="00F46CAF"/>
    <w:rsid w:val="00F46ECB"/>
    <w:rsid w:val="00F50F94"/>
    <w:rsid w:val="00F525B5"/>
    <w:rsid w:val="00F53D53"/>
    <w:rsid w:val="00F543B9"/>
    <w:rsid w:val="00F56177"/>
    <w:rsid w:val="00F56187"/>
    <w:rsid w:val="00F575D3"/>
    <w:rsid w:val="00F5786C"/>
    <w:rsid w:val="00F62117"/>
    <w:rsid w:val="00F62365"/>
    <w:rsid w:val="00F630A7"/>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222A"/>
    <w:rsid w:val="00F922EA"/>
    <w:rsid w:val="00F923CE"/>
    <w:rsid w:val="00F92927"/>
    <w:rsid w:val="00F949E0"/>
    <w:rsid w:val="00F94F0F"/>
    <w:rsid w:val="00F979B3"/>
    <w:rsid w:val="00F97CCD"/>
    <w:rsid w:val="00FA320D"/>
    <w:rsid w:val="00FA35D6"/>
    <w:rsid w:val="00FA362B"/>
    <w:rsid w:val="00FA53E9"/>
    <w:rsid w:val="00FA60EC"/>
    <w:rsid w:val="00FB04E9"/>
    <w:rsid w:val="00FB1179"/>
    <w:rsid w:val="00FB1C6B"/>
    <w:rsid w:val="00FB3361"/>
    <w:rsid w:val="00FB42B4"/>
    <w:rsid w:val="00FB4841"/>
    <w:rsid w:val="00FB6C94"/>
    <w:rsid w:val="00FB7F8B"/>
    <w:rsid w:val="00FC22F5"/>
    <w:rsid w:val="00FC3753"/>
    <w:rsid w:val="00FC5170"/>
    <w:rsid w:val="00FC5743"/>
    <w:rsid w:val="00FC6240"/>
    <w:rsid w:val="00FC7478"/>
    <w:rsid w:val="00FD0A26"/>
    <w:rsid w:val="00FD118C"/>
    <w:rsid w:val="00FD2A7C"/>
    <w:rsid w:val="00FD332F"/>
    <w:rsid w:val="00FD7395"/>
    <w:rsid w:val="00FE1CC1"/>
    <w:rsid w:val="00FE385E"/>
    <w:rsid w:val="00FE3CE2"/>
    <w:rsid w:val="00FE542E"/>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C4ED1F"/>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7EE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135D5F"/>
    <w:pPr>
      <w:widowControl w:val="0"/>
      <w:ind w:left="100" w:right="3120"/>
      <w:outlineLvl w:val="0"/>
    </w:pPr>
    <w:rPr>
      <w:rFonts w:ascii="Calibri" w:eastAsia="Calibri" w:hAnsi="Calibri" w:cs="Calibri"/>
      <w:b/>
      <w:bCs/>
      <w:sz w:val="40"/>
      <w:szCs w:val="40"/>
      <w:lang w:val="en-US" w:eastAsia="en-US"/>
    </w:rPr>
  </w:style>
  <w:style w:type="paragraph" w:styleId="Ttulo2">
    <w:name w:val="heading 2"/>
    <w:basedOn w:val="Normal"/>
    <w:link w:val="Ttulo2Char"/>
    <w:uiPriority w:val="1"/>
    <w:qFormat/>
    <w:rsid w:val="00135D5F"/>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rsid w:val="007D2855"/>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rsid w:val="0035048F"/>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pPr>
    <w:rPr>
      <w:sz w:val="20"/>
      <w:szCs w:val="20"/>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rsid w:val="00F469B9"/>
    <w:pPr>
      <w:widowControl w:val="0"/>
      <w:spacing w:before="113"/>
      <w:ind w:left="100"/>
    </w:pPr>
    <w:rPr>
      <w:rFonts w:ascii="Arial Narrow" w:eastAsia="Arial Narrow" w:hAnsi="Arial Narrow" w:cs="Arial Narrow"/>
      <w:sz w:val="18"/>
      <w:szCs w:val="18"/>
      <w:lang w:val="en-US" w:eastAsia="en-US"/>
    </w:rPr>
  </w:style>
  <w:style w:type="paragraph" w:styleId="Sumrio1">
    <w:name w:val="toc 1"/>
    <w:basedOn w:val="Normal"/>
    <w:next w:val="Normal"/>
    <w:autoRedefine/>
    <w:uiPriority w:val="39"/>
    <w:semiHidden/>
    <w:unhideWhenUsed/>
    <w:rsid w:val="00135D5F"/>
    <w:pPr>
      <w:spacing w:after="100" w:line="276" w:lineRule="auto"/>
    </w:pPr>
    <w:rPr>
      <w:rFonts w:ascii="Calibri" w:eastAsiaTheme="minorHAnsi" w:hAnsi="Calibri"/>
      <w:sz w:val="22"/>
      <w:szCs w:val="22"/>
      <w:lang w:eastAsia="en-US"/>
    </w:rPr>
  </w:style>
  <w:style w:type="paragraph" w:styleId="Corpodetexto">
    <w:name w:val="Body Text"/>
    <w:basedOn w:val="Normal"/>
    <w:link w:val="CorpodetextoChar"/>
    <w:uiPriority w:val="1"/>
    <w:qFormat/>
    <w:rsid w:val="00135D5F"/>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pPr>
    <w:rPr>
      <w:szCs w:val="22"/>
      <w:lang w:eastAsia="en-US"/>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pPr>
    <w:rPr>
      <w:szCs w:val="22"/>
      <w:lang w:eastAsia="en-US"/>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ind w:left="2835"/>
      <w:jc w:val="both"/>
    </w:pPr>
    <w:rPr>
      <w:szCs w:val="20"/>
    </w:rPr>
  </w:style>
  <w:style w:type="paragraph" w:styleId="NormalWeb">
    <w:name w:val="Normal (Web)"/>
    <w:basedOn w:val="Normal"/>
    <w:uiPriority w:val="99"/>
    <w:semiHidden/>
    <w:unhideWhenUsed/>
    <w:rsid w:val="00D23DE4"/>
    <w:pPr>
      <w:spacing w:before="100" w:beforeAutospacing="1" w:after="100" w:afterAutospacing="1"/>
    </w:p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p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table" w:styleId="Tabelacomgrade">
    <w:name w:val="Table Grid"/>
    <w:basedOn w:val="Tabelanormal"/>
    <w:uiPriority w:val="59"/>
    <w:rsid w:val="00A2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nfase1">
    <w:name w:val="Grid Table 2 Accent 1"/>
    <w:basedOn w:val="Tabelanormal"/>
    <w:uiPriority w:val="47"/>
    <w:rsid w:val="00A2164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sid w:val="007D2855"/>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rsid w:val="00332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33270E"/>
    <w:rPr>
      <w:rFonts w:ascii="Courier New" w:eastAsia="Times New Roman" w:hAnsi="Courier New" w:cs="Courier New"/>
      <w:sz w:val="20"/>
      <w:szCs w:val="20"/>
      <w:lang w:eastAsia="pt-BR"/>
    </w:rPr>
  </w:style>
  <w:style w:type="character" w:customStyle="1" w:styleId="highlightbrs">
    <w:name w:val="highlightbrs"/>
    <w:basedOn w:val="Fontepargpadro"/>
    <w:rsid w:val="00FA35D6"/>
  </w:style>
  <w:style w:type="character" w:customStyle="1" w:styleId="Ttulo4Char">
    <w:name w:val="Título 4 Char"/>
    <w:basedOn w:val="Fontepargpadro"/>
    <w:link w:val="Ttulo4"/>
    <w:uiPriority w:val="9"/>
    <w:semiHidden/>
    <w:rsid w:val="0035048F"/>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rsid w:val="0035048F"/>
    <w:pPr>
      <w:spacing w:before="100" w:beforeAutospacing="1" w:after="100" w:afterAutospacing="1"/>
    </w:pPr>
  </w:style>
  <w:style w:type="character" w:customStyle="1" w:styleId="lista-resultadotitulo">
    <w:name w:val="lista-resultado__titulo"/>
    <w:basedOn w:val="Fontepargpadro"/>
    <w:rsid w:val="00861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28736573">
      <w:bodyDiv w:val="1"/>
      <w:marLeft w:val="0"/>
      <w:marRight w:val="0"/>
      <w:marTop w:val="0"/>
      <w:marBottom w:val="0"/>
      <w:divBdr>
        <w:top w:val="none" w:sz="0" w:space="0" w:color="auto"/>
        <w:left w:val="none" w:sz="0" w:space="0" w:color="auto"/>
        <w:bottom w:val="none" w:sz="0" w:space="0" w:color="auto"/>
        <w:right w:val="none" w:sz="0" w:space="0" w:color="auto"/>
      </w:divBdr>
      <w:divsChild>
        <w:div w:id="389497057">
          <w:marLeft w:val="0"/>
          <w:marRight w:val="0"/>
          <w:marTop w:val="0"/>
          <w:marBottom w:val="0"/>
          <w:divBdr>
            <w:top w:val="none" w:sz="0" w:space="0" w:color="auto"/>
            <w:left w:val="none" w:sz="0" w:space="0" w:color="auto"/>
            <w:bottom w:val="none" w:sz="0" w:space="0" w:color="auto"/>
            <w:right w:val="none" w:sz="0" w:space="0" w:color="auto"/>
          </w:divBdr>
          <w:divsChild>
            <w:div w:id="236399599">
              <w:marLeft w:val="0"/>
              <w:marRight w:val="0"/>
              <w:marTop w:val="0"/>
              <w:marBottom w:val="0"/>
              <w:divBdr>
                <w:top w:val="none" w:sz="0" w:space="0" w:color="auto"/>
                <w:left w:val="none" w:sz="0" w:space="0" w:color="auto"/>
                <w:bottom w:val="none" w:sz="0" w:space="0" w:color="auto"/>
                <w:right w:val="none" w:sz="0" w:space="0" w:color="auto"/>
              </w:divBdr>
              <w:divsChild>
                <w:div w:id="123975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87654466">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27119256">
      <w:bodyDiv w:val="1"/>
      <w:marLeft w:val="0"/>
      <w:marRight w:val="0"/>
      <w:marTop w:val="0"/>
      <w:marBottom w:val="0"/>
      <w:divBdr>
        <w:top w:val="none" w:sz="0" w:space="0" w:color="auto"/>
        <w:left w:val="none" w:sz="0" w:space="0" w:color="auto"/>
        <w:bottom w:val="none" w:sz="0" w:space="0" w:color="auto"/>
        <w:right w:val="none" w:sz="0" w:space="0" w:color="auto"/>
      </w:divBdr>
      <w:divsChild>
        <w:div w:id="1194995630">
          <w:marLeft w:val="-225"/>
          <w:marRight w:val="-225"/>
          <w:marTop w:val="0"/>
          <w:marBottom w:val="0"/>
          <w:divBdr>
            <w:top w:val="none" w:sz="0" w:space="0" w:color="auto"/>
            <w:left w:val="none" w:sz="0" w:space="0" w:color="auto"/>
            <w:bottom w:val="none" w:sz="0" w:space="0" w:color="auto"/>
            <w:right w:val="none" w:sz="0" w:space="0" w:color="auto"/>
          </w:divBdr>
          <w:divsChild>
            <w:div w:id="687145774">
              <w:marLeft w:val="0"/>
              <w:marRight w:val="0"/>
              <w:marTop w:val="0"/>
              <w:marBottom w:val="0"/>
              <w:divBdr>
                <w:top w:val="none" w:sz="0" w:space="0" w:color="auto"/>
                <w:left w:val="none" w:sz="0" w:space="0" w:color="auto"/>
                <w:bottom w:val="none" w:sz="0" w:space="0" w:color="auto"/>
                <w:right w:val="none" w:sz="0" w:space="0" w:color="auto"/>
              </w:divBdr>
              <w:divsChild>
                <w:div w:id="852691139">
                  <w:marLeft w:val="0"/>
                  <w:marRight w:val="0"/>
                  <w:marTop w:val="0"/>
                  <w:marBottom w:val="0"/>
                  <w:divBdr>
                    <w:top w:val="none" w:sz="0" w:space="0" w:color="auto"/>
                    <w:left w:val="none" w:sz="0" w:space="0" w:color="auto"/>
                    <w:bottom w:val="none" w:sz="0" w:space="0" w:color="auto"/>
                    <w:right w:val="none" w:sz="0" w:space="0" w:color="auto"/>
                  </w:divBdr>
                  <w:divsChild>
                    <w:div w:id="19075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787">
              <w:marLeft w:val="0"/>
              <w:marRight w:val="0"/>
              <w:marTop w:val="0"/>
              <w:marBottom w:val="0"/>
              <w:divBdr>
                <w:top w:val="none" w:sz="0" w:space="0" w:color="auto"/>
                <w:left w:val="none" w:sz="0" w:space="0" w:color="auto"/>
                <w:bottom w:val="none" w:sz="0" w:space="0" w:color="auto"/>
                <w:right w:val="none" w:sz="0" w:space="0" w:color="auto"/>
              </w:divBdr>
              <w:divsChild>
                <w:div w:id="325205890">
                  <w:marLeft w:val="0"/>
                  <w:marRight w:val="0"/>
                  <w:marTop w:val="0"/>
                  <w:marBottom w:val="0"/>
                  <w:divBdr>
                    <w:top w:val="none" w:sz="0" w:space="0" w:color="auto"/>
                    <w:left w:val="none" w:sz="0" w:space="0" w:color="auto"/>
                    <w:bottom w:val="none" w:sz="0" w:space="0" w:color="auto"/>
                    <w:right w:val="none" w:sz="0" w:space="0" w:color="auto"/>
                  </w:divBdr>
                </w:div>
              </w:divsChild>
            </w:div>
            <w:div w:id="877813949">
              <w:marLeft w:val="0"/>
              <w:marRight w:val="0"/>
              <w:marTop w:val="0"/>
              <w:marBottom w:val="0"/>
              <w:divBdr>
                <w:top w:val="none" w:sz="0" w:space="0" w:color="auto"/>
                <w:left w:val="none" w:sz="0" w:space="0" w:color="auto"/>
                <w:bottom w:val="none" w:sz="0" w:space="0" w:color="auto"/>
                <w:right w:val="none" w:sz="0" w:space="0" w:color="auto"/>
              </w:divBdr>
              <w:divsChild>
                <w:div w:id="16690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2745">
          <w:marLeft w:val="-225"/>
          <w:marRight w:val="-225"/>
          <w:marTop w:val="0"/>
          <w:marBottom w:val="0"/>
          <w:divBdr>
            <w:top w:val="none" w:sz="0" w:space="0" w:color="auto"/>
            <w:left w:val="none" w:sz="0" w:space="0" w:color="auto"/>
            <w:bottom w:val="none" w:sz="0" w:space="0" w:color="auto"/>
            <w:right w:val="none" w:sz="0" w:space="0" w:color="auto"/>
          </w:divBdr>
          <w:divsChild>
            <w:div w:id="1609041924">
              <w:marLeft w:val="0"/>
              <w:marRight w:val="0"/>
              <w:marTop w:val="0"/>
              <w:marBottom w:val="0"/>
              <w:divBdr>
                <w:top w:val="none" w:sz="0" w:space="0" w:color="auto"/>
                <w:left w:val="none" w:sz="0" w:space="0" w:color="auto"/>
                <w:bottom w:val="none" w:sz="0" w:space="0" w:color="auto"/>
                <w:right w:val="none" w:sz="0" w:space="0" w:color="auto"/>
              </w:divBdr>
              <w:divsChild>
                <w:div w:id="1197932743">
                  <w:marLeft w:val="0"/>
                  <w:marRight w:val="0"/>
                  <w:marTop w:val="0"/>
                  <w:marBottom w:val="0"/>
                  <w:divBdr>
                    <w:top w:val="none" w:sz="0" w:space="0" w:color="auto"/>
                    <w:left w:val="none" w:sz="0" w:space="0" w:color="auto"/>
                    <w:bottom w:val="none" w:sz="0" w:space="0" w:color="auto"/>
                    <w:right w:val="none" w:sz="0" w:space="0" w:color="auto"/>
                  </w:divBdr>
                </w:div>
              </w:divsChild>
            </w:div>
            <w:div w:id="637150890">
              <w:marLeft w:val="0"/>
              <w:marRight w:val="0"/>
              <w:marTop w:val="0"/>
              <w:marBottom w:val="0"/>
              <w:divBdr>
                <w:top w:val="none" w:sz="0" w:space="0" w:color="auto"/>
                <w:left w:val="none" w:sz="0" w:space="0" w:color="auto"/>
                <w:bottom w:val="none" w:sz="0" w:space="0" w:color="auto"/>
                <w:right w:val="none" w:sz="0" w:space="0" w:color="auto"/>
              </w:divBdr>
              <w:divsChild>
                <w:div w:id="54358705">
                  <w:marLeft w:val="0"/>
                  <w:marRight w:val="0"/>
                  <w:marTop w:val="0"/>
                  <w:marBottom w:val="0"/>
                  <w:divBdr>
                    <w:top w:val="none" w:sz="0" w:space="0" w:color="auto"/>
                    <w:left w:val="none" w:sz="0" w:space="0" w:color="auto"/>
                    <w:bottom w:val="none" w:sz="0" w:space="0" w:color="auto"/>
                    <w:right w:val="none" w:sz="0" w:space="0" w:color="auto"/>
                  </w:divBdr>
                </w:div>
              </w:divsChild>
            </w:div>
            <w:div w:id="1089892323">
              <w:marLeft w:val="0"/>
              <w:marRight w:val="0"/>
              <w:marTop w:val="0"/>
              <w:marBottom w:val="0"/>
              <w:divBdr>
                <w:top w:val="none" w:sz="0" w:space="0" w:color="auto"/>
                <w:left w:val="none" w:sz="0" w:space="0" w:color="auto"/>
                <w:bottom w:val="none" w:sz="0" w:space="0" w:color="auto"/>
                <w:right w:val="none" w:sz="0" w:space="0" w:color="auto"/>
              </w:divBdr>
              <w:divsChild>
                <w:div w:id="17114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8770">
          <w:marLeft w:val="-225"/>
          <w:marRight w:val="-225"/>
          <w:marTop w:val="0"/>
          <w:marBottom w:val="0"/>
          <w:divBdr>
            <w:top w:val="none" w:sz="0" w:space="0" w:color="auto"/>
            <w:left w:val="none" w:sz="0" w:space="0" w:color="auto"/>
            <w:bottom w:val="none" w:sz="0" w:space="0" w:color="auto"/>
            <w:right w:val="none" w:sz="0" w:space="0" w:color="auto"/>
          </w:divBdr>
          <w:divsChild>
            <w:div w:id="627860526">
              <w:marLeft w:val="0"/>
              <w:marRight w:val="0"/>
              <w:marTop w:val="0"/>
              <w:marBottom w:val="0"/>
              <w:divBdr>
                <w:top w:val="none" w:sz="0" w:space="0" w:color="auto"/>
                <w:left w:val="none" w:sz="0" w:space="0" w:color="auto"/>
                <w:bottom w:val="none" w:sz="0" w:space="0" w:color="auto"/>
                <w:right w:val="none" w:sz="0" w:space="0" w:color="auto"/>
              </w:divBdr>
            </w:div>
            <w:div w:id="1348797734">
              <w:marLeft w:val="0"/>
              <w:marRight w:val="0"/>
              <w:marTop w:val="0"/>
              <w:marBottom w:val="0"/>
              <w:divBdr>
                <w:top w:val="none" w:sz="0" w:space="0" w:color="auto"/>
                <w:left w:val="none" w:sz="0" w:space="0" w:color="auto"/>
                <w:bottom w:val="none" w:sz="0" w:space="0" w:color="auto"/>
                <w:right w:val="none" w:sz="0" w:space="0" w:color="auto"/>
              </w:divBdr>
            </w:div>
            <w:div w:id="211937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26453315">
      <w:bodyDiv w:val="1"/>
      <w:marLeft w:val="0"/>
      <w:marRight w:val="0"/>
      <w:marTop w:val="0"/>
      <w:marBottom w:val="0"/>
      <w:divBdr>
        <w:top w:val="none" w:sz="0" w:space="0" w:color="auto"/>
        <w:left w:val="none" w:sz="0" w:space="0" w:color="auto"/>
        <w:bottom w:val="none" w:sz="0" w:space="0" w:color="auto"/>
        <w:right w:val="none" w:sz="0" w:space="0" w:color="auto"/>
      </w:divBdr>
      <w:divsChild>
        <w:div w:id="1644656232">
          <w:marLeft w:val="0"/>
          <w:marRight w:val="0"/>
          <w:marTop w:val="0"/>
          <w:marBottom w:val="0"/>
          <w:divBdr>
            <w:top w:val="none" w:sz="0" w:space="0" w:color="auto"/>
            <w:left w:val="none" w:sz="0" w:space="0" w:color="auto"/>
            <w:bottom w:val="none" w:sz="0" w:space="0" w:color="auto"/>
            <w:right w:val="none" w:sz="0" w:space="0" w:color="auto"/>
          </w:divBdr>
          <w:divsChild>
            <w:div w:id="875897430">
              <w:marLeft w:val="0"/>
              <w:marRight w:val="0"/>
              <w:marTop w:val="0"/>
              <w:marBottom w:val="0"/>
              <w:divBdr>
                <w:top w:val="none" w:sz="0" w:space="0" w:color="auto"/>
                <w:left w:val="none" w:sz="0" w:space="0" w:color="auto"/>
                <w:bottom w:val="none" w:sz="0" w:space="0" w:color="auto"/>
                <w:right w:val="none" w:sz="0" w:space="0" w:color="auto"/>
              </w:divBdr>
              <w:divsChild>
                <w:div w:id="136945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597635673">
      <w:bodyDiv w:val="1"/>
      <w:marLeft w:val="0"/>
      <w:marRight w:val="0"/>
      <w:marTop w:val="0"/>
      <w:marBottom w:val="0"/>
      <w:divBdr>
        <w:top w:val="none" w:sz="0" w:space="0" w:color="auto"/>
        <w:left w:val="none" w:sz="0" w:space="0" w:color="auto"/>
        <w:bottom w:val="none" w:sz="0" w:space="0" w:color="auto"/>
        <w:right w:val="none" w:sz="0" w:space="0" w:color="auto"/>
      </w:divBdr>
    </w:div>
    <w:div w:id="618876771">
      <w:bodyDiv w:val="1"/>
      <w:marLeft w:val="0"/>
      <w:marRight w:val="0"/>
      <w:marTop w:val="0"/>
      <w:marBottom w:val="0"/>
      <w:divBdr>
        <w:top w:val="none" w:sz="0" w:space="0" w:color="auto"/>
        <w:left w:val="none" w:sz="0" w:space="0" w:color="auto"/>
        <w:bottom w:val="none" w:sz="0" w:space="0" w:color="auto"/>
        <w:right w:val="none" w:sz="0" w:space="0" w:color="auto"/>
      </w:divBdr>
    </w:div>
    <w:div w:id="680935069">
      <w:bodyDiv w:val="1"/>
      <w:marLeft w:val="0"/>
      <w:marRight w:val="0"/>
      <w:marTop w:val="0"/>
      <w:marBottom w:val="0"/>
      <w:divBdr>
        <w:top w:val="none" w:sz="0" w:space="0" w:color="auto"/>
        <w:left w:val="none" w:sz="0" w:space="0" w:color="auto"/>
        <w:bottom w:val="none" w:sz="0" w:space="0" w:color="auto"/>
        <w:right w:val="none" w:sz="0" w:space="0" w:color="auto"/>
      </w:divBdr>
      <w:divsChild>
        <w:div w:id="508523609">
          <w:marLeft w:val="0"/>
          <w:marRight w:val="0"/>
          <w:marTop w:val="0"/>
          <w:marBottom w:val="0"/>
          <w:divBdr>
            <w:top w:val="none" w:sz="0" w:space="0" w:color="auto"/>
            <w:left w:val="none" w:sz="0" w:space="0" w:color="auto"/>
            <w:bottom w:val="none" w:sz="0" w:space="0" w:color="auto"/>
            <w:right w:val="none" w:sz="0" w:space="0" w:color="auto"/>
          </w:divBdr>
          <w:divsChild>
            <w:div w:id="831794550">
              <w:marLeft w:val="0"/>
              <w:marRight w:val="0"/>
              <w:marTop w:val="0"/>
              <w:marBottom w:val="0"/>
              <w:divBdr>
                <w:top w:val="none" w:sz="0" w:space="0" w:color="auto"/>
                <w:left w:val="none" w:sz="0" w:space="0" w:color="auto"/>
                <w:bottom w:val="none" w:sz="0" w:space="0" w:color="auto"/>
                <w:right w:val="none" w:sz="0" w:space="0" w:color="auto"/>
              </w:divBdr>
              <w:divsChild>
                <w:div w:id="38831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01643">
      <w:bodyDiv w:val="1"/>
      <w:marLeft w:val="0"/>
      <w:marRight w:val="0"/>
      <w:marTop w:val="0"/>
      <w:marBottom w:val="0"/>
      <w:divBdr>
        <w:top w:val="none" w:sz="0" w:space="0" w:color="auto"/>
        <w:left w:val="none" w:sz="0" w:space="0" w:color="auto"/>
        <w:bottom w:val="none" w:sz="0" w:space="0" w:color="auto"/>
        <w:right w:val="none" w:sz="0" w:space="0" w:color="auto"/>
      </w:divBdr>
      <w:divsChild>
        <w:div w:id="1743288246">
          <w:marLeft w:val="0"/>
          <w:marRight w:val="0"/>
          <w:marTop w:val="0"/>
          <w:marBottom w:val="0"/>
          <w:divBdr>
            <w:top w:val="none" w:sz="0" w:space="0" w:color="auto"/>
            <w:left w:val="none" w:sz="0" w:space="0" w:color="auto"/>
            <w:bottom w:val="none" w:sz="0" w:space="0" w:color="auto"/>
            <w:right w:val="none" w:sz="0" w:space="0" w:color="auto"/>
          </w:divBdr>
          <w:divsChild>
            <w:div w:id="133185383">
              <w:marLeft w:val="0"/>
              <w:marRight w:val="0"/>
              <w:marTop w:val="0"/>
              <w:marBottom w:val="0"/>
              <w:divBdr>
                <w:top w:val="none" w:sz="0" w:space="0" w:color="auto"/>
                <w:left w:val="none" w:sz="0" w:space="0" w:color="auto"/>
                <w:bottom w:val="none" w:sz="0" w:space="0" w:color="auto"/>
                <w:right w:val="none" w:sz="0" w:space="0" w:color="auto"/>
              </w:divBdr>
              <w:divsChild>
                <w:div w:id="5124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46360675">
      <w:bodyDiv w:val="1"/>
      <w:marLeft w:val="0"/>
      <w:marRight w:val="0"/>
      <w:marTop w:val="0"/>
      <w:marBottom w:val="0"/>
      <w:divBdr>
        <w:top w:val="none" w:sz="0" w:space="0" w:color="auto"/>
        <w:left w:val="none" w:sz="0" w:space="0" w:color="auto"/>
        <w:bottom w:val="none" w:sz="0" w:space="0" w:color="auto"/>
        <w:right w:val="none" w:sz="0" w:space="0" w:color="auto"/>
      </w:divBdr>
      <w:divsChild>
        <w:div w:id="509686563">
          <w:marLeft w:val="-225"/>
          <w:marRight w:val="-225"/>
          <w:marTop w:val="0"/>
          <w:marBottom w:val="0"/>
          <w:divBdr>
            <w:top w:val="none" w:sz="0" w:space="0" w:color="auto"/>
            <w:left w:val="none" w:sz="0" w:space="0" w:color="auto"/>
            <w:bottom w:val="none" w:sz="0" w:space="0" w:color="auto"/>
            <w:right w:val="none" w:sz="0" w:space="0" w:color="auto"/>
          </w:divBdr>
          <w:divsChild>
            <w:div w:id="530647182">
              <w:marLeft w:val="0"/>
              <w:marRight w:val="0"/>
              <w:marTop w:val="0"/>
              <w:marBottom w:val="0"/>
              <w:divBdr>
                <w:top w:val="none" w:sz="0" w:space="0" w:color="auto"/>
                <w:left w:val="none" w:sz="0" w:space="0" w:color="auto"/>
                <w:bottom w:val="none" w:sz="0" w:space="0" w:color="auto"/>
                <w:right w:val="none" w:sz="0" w:space="0" w:color="auto"/>
              </w:divBdr>
              <w:divsChild>
                <w:div w:id="14962995">
                  <w:marLeft w:val="0"/>
                  <w:marRight w:val="0"/>
                  <w:marTop w:val="0"/>
                  <w:marBottom w:val="0"/>
                  <w:divBdr>
                    <w:top w:val="none" w:sz="0" w:space="0" w:color="auto"/>
                    <w:left w:val="none" w:sz="0" w:space="0" w:color="auto"/>
                    <w:bottom w:val="none" w:sz="0" w:space="0" w:color="auto"/>
                    <w:right w:val="none" w:sz="0" w:space="0" w:color="auto"/>
                  </w:divBdr>
                  <w:divsChild>
                    <w:div w:id="12970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5706">
              <w:marLeft w:val="0"/>
              <w:marRight w:val="0"/>
              <w:marTop w:val="0"/>
              <w:marBottom w:val="0"/>
              <w:divBdr>
                <w:top w:val="none" w:sz="0" w:space="0" w:color="auto"/>
                <w:left w:val="none" w:sz="0" w:space="0" w:color="auto"/>
                <w:bottom w:val="none" w:sz="0" w:space="0" w:color="auto"/>
                <w:right w:val="none" w:sz="0" w:space="0" w:color="auto"/>
              </w:divBdr>
              <w:divsChild>
                <w:div w:id="934628930">
                  <w:marLeft w:val="0"/>
                  <w:marRight w:val="0"/>
                  <w:marTop w:val="0"/>
                  <w:marBottom w:val="0"/>
                  <w:divBdr>
                    <w:top w:val="none" w:sz="0" w:space="0" w:color="auto"/>
                    <w:left w:val="none" w:sz="0" w:space="0" w:color="auto"/>
                    <w:bottom w:val="none" w:sz="0" w:space="0" w:color="auto"/>
                    <w:right w:val="none" w:sz="0" w:space="0" w:color="auto"/>
                  </w:divBdr>
                </w:div>
              </w:divsChild>
            </w:div>
            <w:div w:id="642582803">
              <w:marLeft w:val="0"/>
              <w:marRight w:val="0"/>
              <w:marTop w:val="0"/>
              <w:marBottom w:val="0"/>
              <w:divBdr>
                <w:top w:val="none" w:sz="0" w:space="0" w:color="auto"/>
                <w:left w:val="none" w:sz="0" w:space="0" w:color="auto"/>
                <w:bottom w:val="none" w:sz="0" w:space="0" w:color="auto"/>
                <w:right w:val="none" w:sz="0" w:space="0" w:color="auto"/>
              </w:divBdr>
              <w:divsChild>
                <w:div w:id="16293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8462">
          <w:marLeft w:val="-225"/>
          <w:marRight w:val="-225"/>
          <w:marTop w:val="0"/>
          <w:marBottom w:val="0"/>
          <w:divBdr>
            <w:top w:val="none" w:sz="0" w:space="0" w:color="auto"/>
            <w:left w:val="none" w:sz="0" w:space="0" w:color="auto"/>
            <w:bottom w:val="none" w:sz="0" w:space="0" w:color="auto"/>
            <w:right w:val="none" w:sz="0" w:space="0" w:color="auto"/>
          </w:divBdr>
          <w:divsChild>
            <w:div w:id="892930610">
              <w:marLeft w:val="0"/>
              <w:marRight w:val="0"/>
              <w:marTop w:val="0"/>
              <w:marBottom w:val="0"/>
              <w:divBdr>
                <w:top w:val="none" w:sz="0" w:space="0" w:color="auto"/>
                <w:left w:val="none" w:sz="0" w:space="0" w:color="auto"/>
                <w:bottom w:val="none" w:sz="0" w:space="0" w:color="auto"/>
                <w:right w:val="none" w:sz="0" w:space="0" w:color="auto"/>
              </w:divBdr>
              <w:divsChild>
                <w:div w:id="1524441308">
                  <w:marLeft w:val="0"/>
                  <w:marRight w:val="0"/>
                  <w:marTop w:val="0"/>
                  <w:marBottom w:val="0"/>
                  <w:divBdr>
                    <w:top w:val="none" w:sz="0" w:space="0" w:color="auto"/>
                    <w:left w:val="none" w:sz="0" w:space="0" w:color="auto"/>
                    <w:bottom w:val="none" w:sz="0" w:space="0" w:color="auto"/>
                    <w:right w:val="none" w:sz="0" w:space="0" w:color="auto"/>
                  </w:divBdr>
                </w:div>
              </w:divsChild>
            </w:div>
            <w:div w:id="128977879">
              <w:marLeft w:val="0"/>
              <w:marRight w:val="0"/>
              <w:marTop w:val="0"/>
              <w:marBottom w:val="0"/>
              <w:divBdr>
                <w:top w:val="none" w:sz="0" w:space="0" w:color="auto"/>
                <w:left w:val="none" w:sz="0" w:space="0" w:color="auto"/>
                <w:bottom w:val="none" w:sz="0" w:space="0" w:color="auto"/>
                <w:right w:val="none" w:sz="0" w:space="0" w:color="auto"/>
              </w:divBdr>
              <w:divsChild>
                <w:div w:id="652491794">
                  <w:marLeft w:val="0"/>
                  <w:marRight w:val="0"/>
                  <w:marTop w:val="0"/>
                  <w:marBottom w:val="0"/>
                  <w:divBdr>
                    <w:top w:val="none" w:sz="0" w:space="0" w:color="auto"/>
                    <w:left w:val="none" w:sz="0" w:space="0" w:color="auto"/>
                    <w:bottom w:val="none" w:sz="0" w:space="0" w:color="auto"/>
                    <w:right w:val="none" w:sz="0" w:space="0" w:color="auto"/>
                  </w:divBdr>
                </w:div>
              </w:divsChild>
            </w:div>
            <w:div w:id="200171856">
              <w:marLeft w:val="0"/>
              <w:marRight w:val="0"/>
              <w:marTop w:val="0"/>
              <w:marBottom w:val="0"/>
              <w:divBdr>
                <w:top w:val="none" w:sz="0" w:space="0" w:color="auto"/>
                <w:left w:val="none" w:sz="0" w:space="0" w:color="auto"/>
                <w:bottom w:val="none" w:sz="0" w:space="0" w:color="auto"/>
                <w:right w:val="none" w:sz="0" w:space="0" w:color="auto"/>
              </w:divBdr>
              <w:divsChild>
                <w:div w:id="11924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6564">
          <w:marLeft w:val="-225"/>
          <w:marRight w:val="-225"/>
          <w:marTop w:val="0"/>
          <w:marBottom w:val="0"/>
          <w:divBdr>
            <w:top w:val="none" w:sz="0" w:space="0" w:color="auto"/>
            <w:left w:val="none" w:sz="0" w:space="0" w:color="auto"/>
            <w:bottom w:val="none" w:sz="0" w:space="0" w:color="auto"/>
            <w:right w:val="none" w:sz="0" w:space="0" w:color="auto"/>
          </w:divBdr>
          <w:divsChild>
            <w:div w:id="1030952198">
              <w:marLeft w:val="0"/>
              <w:marRight w:val="0"/>
              <w:marTop w:val="0"/>
              <w:marBottom w:val="0"/>
              <w:divBdr>
                <w:top w:val="none" w:sz="0" w:space="0" w:color="auto"/>
                <w:left w:val="none" w:sz="0" w:space="0" w:color="auto"/>
                <w:bottom w:val="none" w:sz="0" w:space="0" w:color="auto"/>
                <w:right w:val="none" w:sz="0" w:space="0" w:color="auto"/>
              </w:divBdr>
            </w:div>
            <w:div w:id="198860030">
              <w:marLeft w:val="0"/>
              <w:marRight w:val="0"/>
              <w:marTop w:val="0"/>
              <w:marBottom w:val="0"/>
              <w:divBdr>
                <w:top w:val="none" w:sz="0" w:space="0" w:color="auto"/>
                <w:left w:val="none" w:sz="0" w:space="0" w:color="auto"/>
                <w:bottom w:val="none" w:sz="0" w:space="0" w:color="auto"/>
                <w:right w:val="none" w:sz="0" w:space="0" w:color="auto"/>
              </w:divBdr>
            </w:div>
            <w:div w:id="807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9047393">
      <w:bodyDiv w:val="1"/>
      <w:marLeft w:val="0"/>
      <w:marRight w:val="0"/>
      <w:marTop w:val="0"/>
      <w:marBottom w:val="0"/>
      <w:divBdr>
        <w:top w:val="none" w:sz="0" w:space="0" w:color="auto"/>
        <w:left w:val="none" w:sz="0" w:space="0" w:color="auto"/>
        <w:bottom w:val="none" w:sz="0" w:space="0" w:color="auto"/>
        <w:right w:val="none" w:sz="0" w:space="0" w:color="auto"/>
      </w:divBdr>
    </w:div>
    <w:div w:id="1101797742">
      <w:bodyDiv w:val="1"/>
      <w:marLeft w:val="0"/>
      <w:marRight w:val="0"/>
      <w:marTop w:val="0"/>
      <w:marBottom w:val="0"/>
      <w:divBdr>
        <w:top w:val="none" w:sz="0" w:space="0" w:color="auto"/>
        <w:left w:val="none" w:sz="0" w:space="0" w:color="auto"/>
        <w:bottom w:val="none" w:sz="0" w:space="0" w:color="auto"/>
        <w:right w:val="none" w:sz="0" w:space="0" w:color="auto"/>
      </w:divBdr>
      <w:divsChild>
        <w:div w:id="102921845">
          <w:marLeft w:val="-225"/>
          <w:marRight w:val="-225"/>
          <w:marTop w:val="0"/>
          <w:marBottom w:val="0"/>
          <w:divBdr>
            <w:top w:val="none" w:sz="0" w:space="0" w:color="auto"/>
            <w:left w:val="none" w:sz="0" w:space="0" w:color="auto"/>
            <w:bottom w:val="none" w:sz="0" w:space="0" w:color="auto"/>
            <w:right w:val="none" w:sz="0" w:space="0" w:color="auto"/>
          </w:divBdr>
          <w:divsChild>
            <w:div w:id="1789230007">
              <w:marLeft w:val="0"/>
              <w:marRight w:val="0"/>
              <w:marTop w:val="0"/>
              <w:marBottom w:val="0"/>
              <w:divBdr>
                <w:top w:val="none" w:sz="0" w:space="0" w:color="auto"/>
                <w:left w:val="none" w:sz="0" w:space="0" w:color="auto"/>
                <w:bottom w:val="none" w:sz="0" w:space="0" w:color="auto"/>
                <w:right w:val="none" w:sz="0" w:space="0" w:color="auto"/>
              </w:divBdr>
              <w:divsChild>
                <w:div w:id="585072438">
                  <w:marLeft w:val="0"/>
                  <w:marRight w:val="0"/>
                  <w:marTop w:val="0"/>
                  <w:marBottom w:val="0"/>
                  <w:divBdr>
                    <w:top w:val="none" w:sz="0" w:space="0" w:color="auto"/>
                    <w:left w:val="none" w:sz="0" w:space="0" w:color="auto"/>
                    <w:bottom w:val="none" w:sz="0" w:space="0" w:color="auto"/>
                    <w:right w:val="none" w:sz="0" w:space="0" w:color="auto"/>
                  </w:divBdr>
                  <w:divsChild>
                    <w:div w:id="9372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5844">
              <w:marLeft w:val="0"/>
              <w:marRight w:val="0"/>
              <w:marTop w:val="0"/>
              <w:marBottom w:val="0"/>
              <w:divBdr>
                <w:top w:val="none" w:sz="0" w:space="0" w:color="auto"/>
                <w:left w:val="none" w:sz="0" w:space="0" w:color="auto"/>
                <w:bottom w:val="none" w:sz="0" w:space="0" w:color="auto"/>
                <w:right w:val="none" w:sz="0" w:space="0" w:color="auto"/>
              </w:divBdr>
              <w:divsChild>
                <w:div w:id="1472209806">
                  <w:marLeft w:val="0"/>
                  <w:marRight w:val="0"/>
                  <w:marTop w:val="0"/>
                  <w:marBottom w:val="0"/>
                  <w:divBdr>
                    <w:top w:val="none" w:sz="0" w:space="0" w:color="auto"/>
                    <w:left w:val="none" w:sz="0" w:space="0" w:color="auto"/>
                    <w:bottom w:val="none" w:sz="0" w:space="0" w:color="auto"/>
                    <w:right w:val="none" w:sz="0" w:space="0" w:color="auto"/>
                  </w:divBdr>
                </w:div>
              </w:divsChild>
            </w:div>
            <w:div w:id="1083145385">
              <w:marLeft w:val="0"/>
              <w:marRight w:val="0"/>
              <w:marTop w:val="0"/>
              <w:marBottom w:val="0"/>
              <w:divBdr>
                <w:top w:val="none" w:sz="0" w:space="0" w:color="auto"/>
                <w:left w:val="none" w:sz="0" w:space="0" w:color="auto"/>
                <w:bottom w:val="none" w:sz="0" w:space="0" w:color="auto"/>
                <w:right w:val="none" w:sz="0" w:space="0" w:color="auto"/>
              </w:divBdr>
              <w:divsChild>
                <w:div w:id="5008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98531">
          <w:marLeft w:val="-225"/>
          <w:marRight w:val="-225"/>
          <w:marTop w:val="0"/>
          <w:marBottom w:val="0"/>
          <w:divBdr>
            <w:top w:val="none" w:sz="0" w:space="0" w:color="auto"/>
            <w:left w:val="none" w:sz="0" w:space="0" w:color="auto"/>
            <w:bottom w:val="none" w:sz="0" w:space="0" w:color="auto"/>
            <w:right w:val="none" w:sz="0" w:space="0" w:color="auto"/>
          </w:divBdr>
          <w:divsChild>
            <w:div w:id="2031252468">
              <w:marLeft w:val="0"/>
              <w:marRight w:val="0"/>
              <w:marTop w:val="0"/>
              <w:marBottom w:val="0"/>
              <w:divBdr>
                <w:top w:val="none" w:sz="0" w:space="0" w:color="auto"/>
                <w:left w:val="none" w:sz="0" w:space="0" w:color="auto"/>
                <w:bottom w:val="none" w:sz="0" w:space="0" w:color="auto"/>
                <w:right w:val="none" w:sz="0" w:space="0" w:color="auto"/>
              </w:divBdr>
              <w:divsChild>
                <w:div w:id="581180461">
                  <w:marLeft w:val="0"/>
                  <w:marRight w:val="0"/>
                  <w:marTop w:val="0"/>
                  <w:marBottom w:val="0"/>
                  <w:divBdr>
                    <w:top w:val="none" w:sz="0" w:space="0" w:color="auto"/>
                    <w:left w:val="none" w:sz="0" w:space="0" w:color="auto"/>
                    <w:bottom w:val="none" w:sz="0" w:space="0" w:color="auto"/>
                    <w:right w:val="none" w:sz="0" w:space="0" w:color="auto"/>
                  </w:divBdr>
                </w:div>
              </w:divsChild>
            </w:div>
            <w:div w:id="77558918">
              <w:marLeft w:val="0"/>
              <w:marRight w:val="0"/>
              <w:marTop w:val="0"/>
              <w:marBottom w:val="0"/>
              <w:divBdr>
                <w:top w:val="none" w:sz="0" w:space="0" w:color="auto"/>
                <w:left w:val="none" w:sz="0" w:space="0" w:color="auto"/>
                <w:bottom w:val="none" w:sz="0" w:space="0" w:color="auto"/>
                <w:right w:val="none" w:sz="0" w:space="0" w:color="auto"/>
              </w:divBdr>
              <w:divsChild>
                <w:div w:id="2090271237">
                  <w:marLeft w:val="0"/>
                  <w:marRight w:val="0"/>
                  <w:marTop w:val="0"/>
                  <w:marBottom w:val="0"/>
                  <w:divBdr>
                    <w:top w:val="none" w:sz="0" w:space="0" w:color="auto"/>
                    <w:left w:val="none" w:sz="0" w:space="0" w:color="auto"/>
                    <w:bottom w:val="none" w:sz="0" w:space="0" w:color="auto"/>
                    <w:right w:val="none" w:sz="0" w:space="0" w:color="auto"/>
                  </w:divBdr>
                </w:div>
              </w:divsChild>
            </w:div>
            <w:div w:id="336153141">
              <w:marLeft w:val="0"/>
              <w:marRight w:val="0"/>
              <w:marTop w:val="0"/>
              <w:marBottom w:val="0"/>
              <w:divBdr>
                <w:top w:val="none" w:sz="0" w:space="0" w:color="auto"/>
                <w:left w:val="none" w:sz="0" w:space="0" w:color="auto"/>
                <w:bottom w:val="none" w:sz="0" w:space="0" w:color="auto"/>
                <w:right w:val="none" w:sz="0" w:space="0" w:color="auto"/>
              </w:divBdr>
              <w:divsChild>
                <w:div w:id="17139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5348">
          <w:marLeft w:val="-225"/>
          <w:marRight w:val="-225"/>
          <w:marTop w:val="0"/>
          <w:marBottom w:val="0"/>
          <w:divBdr>
            <w:top w:val="none" w:sz="0" w:space="0" w:color="auto"/>
            <w:left w:val="none" w:sz="0" w:space="0" w:color="auto"/>
            <w:bottom w:val="none" w:sz="0" w:space="0" w:color="auto"/>
            <w:right w:val="none" w:sz="0" w:space="0" w:color="auto"/>
          </w:divBdr>
          <w:divsChild>
            <w:div w:id="186640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296372590">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377730116">
      <w:bodyDiv w:val="1"/>
      <w:marLeft w:val="0"/>
      <w:marRight w:val="0"/>
      <w:marTop w:val="0"/>
      <w:marBottom w:val="0"/>
      <w:divBdr>
        <w:top w:val="none" w:sz="0" w:space="0" w:color="auto"/>
        <w:left w:val="none" w:sz="0" w:space="0" w:color="auto"/>
        <w:bottom w:val="none" w:sz="0" w:space="0" w:color="auto"/>
        <w:right w:val="none" w:sz="0" w:space="0" w:color="auto"/>
      </w:divBdr>
    </w:div>
    <w:div w:id="1403257578">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675452330">
      <w:bodyDiv w:val="1"/>
      <w:marLeft w:val="0"/>
      <w:marRight w:val="0"/>
      <w:marTop w:val="0"/>
      <w:marBottom w:val="0"/>
      <w:divBdr>
        <w:top w:val="none" w:sz="0" w:space="0" w:color="auto"/>
        <w:left w:val="none" w:sz="0" w:space="0" w:color="auto"/>
        <w:bottom w:val="none" w:sz="0" w:space="0" w:color="auto"/>
        <w:right w:val="none" w:sz="0" w:space="0" w:color="auto"/>
      </w:divBdr>
    </w:div>
    <w:div w:id="1720782864">
      <w:bodyDiv w:val="1"/>
      <w:marLeft w:val="0"/>
      <w:marRight w:val="0"/>
      <w:marTop w:val="0"/>
      <w:marBottom w:val="0"/>
      <w:divBdr>
        <w:top w:val="none" w:sz="0" w:space="0" w:color="auto"/>
        <w:left w:val="none" w:sz="0" w:space="0" w:color="auto"/>
        <w:bottom w:val="none" w:sz="0" w:space="0" w:color="auto"/>
        <w:right w:val="none" w:sz="0" w:space="0" w:color="auto"/>
      </w:divBdr>
      <w:divsChild>
        <w:div w:id="1701861230">
          <w:marLeft w:val="150"/>
          <w:marRight w:val="150"/>
          <w:marTop w:val="150"/>
          <w:marBottom w:val="150"/>
          <w:divBdr>
            <w:top w:val="none" w:sz="0" w:space="0" w:color="auto"/>
            <w:left w:val="none" w:sz="0" w:space="0" w:color="auto"/>
            <w:bottom w:val="none" w:sz="0" w:space="0" w:color="auto"/>
            <w:right w:val="none" w:sz="0" w:space="0" w:color="auto"/>
          </w:divBdr>
        </w:div>
        <w:div w:id="56629430">
          <w:marLeft w:val="450"/>
          <w:marRight w:val="450"/>
          <w:marTop w:val="0"/>
          <w:marBottom w:val="0"/>
          <w:divBdr>
            <w:top w:val="none" w:sz="0" w:space="0" w:color="auto"/>
            <w:left w:val="none" w:sz="0" w:space="0" w:color="auto"/>
            <w:bottom w:val="none" w:sz="0" w:space="0" w:color="auto"/>
            <w:right w:val="none" w:sz="0" w:space="0" w:color="auto"/>
          </w:divBdr>
          <w:divsChild>
            <w:div w:id="1040203517">
              <w:marLeft w:val="450"/>
              <w:marRight w:val="450"/>
              <w:marTop w:val="0"/>
              <w:marBottom w:val="0"/>
              <w:divBdr>
                <w:top w:val="none" w:sz="0" w:space="0" w:color="auto"/>
                <w:left w:val="none" w:sz="0" w:space="0" w:color="auto"/>
                <w:bottom w:val="none" w:sz="0" w:space="0" w:color="auto"/>
                <w:right w:val="none" w:sz="0" w:space="0" w:color="auto"/>
              </w:divBdr>
            </w:div>
            <w:div w:id="245116221">
              <w:marLeft w:val="1131"/>
              <w:marRight w:val="566"/>
              <w:marTop w:val="240"/>
              <w:marBottom w:val="240"/>
              <w:divBdr>
                <w:top w:val="none" w:sz="0" w:space="0" w:color="auto"/>
                <w:left w:val="none" w:sz="0" w:space="0" w:color="auto"/>
                <w:bottom w:val="none" w:sz="0" w:space="0" w:color="auto"/>
                <w:right w:val="none" w:sz="0" w:space="0" w:color="auto"/>
              </w:divBdr>
            </w:div>
            <w:div w:id="1408459479">
              <w:marLeft w:val="1131"/>
              <w:marRight w:val="566"/>
              <w:marTop w:val="240"/>
              <w:marBottom w:val="240"/>
              <w:divBdr>
                <w:top w:val="none" w:sz="0" w:space="0" w:color="auto"/>
                <w:left w:val="none" w:sz="0" w:space="0" w:color="auto"/>
                <w:bottom w:val="none" w:sz="0" w:space="0" w:color="auto"/>
                <w:right w:val="none" w:sz="0" w:space="0" w:color="auto"/>
              </w:divBdr>
            </w:div>
          </w:divsChild>
        </w:div>
        <w:div w:id="7952686">
          <w:marLeft w:val="150"/>
          <w:marRight w:val="150"/>
          <w:marTop w:val="150"/>
          <w:marBottom w:val="150"/>
          <w:divBdr>
            <w:top w:val="none" w:sz="0" w:space="0" w:color="auto"/>
            <w:left w:val="none" w:sz="0" w:space="0" w:color="auto"/>
            <w:bottom w:val="none" w:sz="0" w:space="0" w:color="auto"/>
            <w:right w:val="none" w:sz="0" w:space="0" w:color="auto"/>
          </w:divBdr>
        </w:div>
        <w:div w:id="1136490026">
          <w:marLeft w:val="450"/>
          <w:marRight w:val="450"/>
          <w:marTop w:val="0"/>
          <w:marBottom w:val="0"/>
          <w:divBdr>
            <w:top w:val="none" w:sz="0" w:space="0" w:color="auto"/>
            <w:left w:val="none" w:sz="0" w:space="0" w:color="auto"/>
            <w:bottom w:val="none" w:sz="0" w:space="0" w:color="auto"/>
            <w:right w:val="none" w:sz="0" w:space="0" w:color="auto"/>
          </w:divBdr>
          <w:divsChild>
            <w:div w:id="1558936696">
              <w:marLeft w:val="450"/>
              <w:marRight w:val="450"/>
              <w:marTop w:val="0"/>
              <w:marBottom w:val="0"/>
              <w:divBdr>
                <w:top w:val="none" w:sz="0" w:space="0" w:color="auto"/>
                <w:left w:val="none" w:sz="0" w:space="0" w:color="auto"/>
                <w:bottom w:val="none" w:sz="0" w:space="0" w:color="auto"/>
                <w:right w:val="none" w:sz="0" w:space="0" w:color="auto"/>
              </w:divBdr>
            </w:div>
          </w:divsChild>
        </w:div>
        <w:div w:id="1632402732">
          <w:marLeft w:val="150"/>
          <w:marRight w:val="150"/>
          <w:marTop w:val="150"/>
          <w:marBottom w:val="150"/>
          <w:divBdr>
            <w:top w:val="none" w:sz="0" w:space="0" w:color="auto"/>
            <w:left w:val="none" w:sz="0" w:space="0" w:color="auto"/>
            <w:bottom w:val="none" w:sz="0" w:space="0" w:color="auto"/>
            <w:right w:val="none" w:sz="0" w:space="0" w:color="auto"/>
          </w:divBdr>
        </w:div>
        <w:div w:id="1918635566">
          <w:marLeft w:val="450"/>
          <w:marRight w:val="450"/>
          <w:marTop w:val="0"/>
          <w:marBottom w:val="0"/>
          <w:divBdr>
            <w:top w:val="none" w:sz="0" w:space="0" w:color="auto"/>
            <w:left w:val="none" w:sz="0" w:space="0" w:color="auto"/>
            <w:bottom w:val="none" w:sz="0" w:space="0" w:color="auto"/>
            <w:right w:val="none" w:sz="0" w:space="0" w:color="auto"/>
          </w:divBdr>
          <w:divsChild>
            <w:div w:id="586037217">
              <w:marLeft w:val="450"/>
              <w:marRight w:val="450"/>
              <w:marTop w:val="0"/>
              <w:marBottom w:val="0"/>
              <w:divBdr>
                <w:top w:val="none" w:sz="0" w:space="0" w:color="auto"/>
                <w:left w:val="none" w:sz="0" w:space="0" w:color="auto"/>
                <w:bottom w:val="none" w:sz="0" w:space="0" w:color="auto"/>
                <w:right w:val="none" w:sz="0" w:space="0" w:color="auto"/>
              </w:divBdr>
            </w:div>
            <w:div w:id="1134561540">
              <w:marLeft w:val="1131"/>
              <w:marRight w:val="566"/>
              <w:marTop w:val="240"/>
              <w:marBottom w:val="240"/>
              <w:divBdr>
                <w:top w:val="none" w:sz="0" w:space="0" w:color="auto"/>
                <w:left w:val="none" w:sz="0" w:space="0" w:color="auto"/>
                <w:bottom w:val="none" w:sz="0" w:space="0" w:color="auto"/>
                <w:right w:val="none" w:sz="0" w:space="0" w:color="auto"/>
              </w:divBdr>
            </w:div>
          </w:divsChild>
        </w:div>
        <w:div w:id="343870001">
          <w:marLeft w:val="150"/>
          <w:marRight w:val="150"/>
          <w:marTop w:val="150"/>
          <w:marBottom w:val="150"/>
          <w:divBdr>
            <w:top w:val="none" w:sz="0" w:space="0" w:color="auto"/>
            <w:left w:val="none" w:sz="0" w:space="0" w:color="auto"/>
            <w:bottom w:val="none" w:sz="0" w:space="0" w:color="auto"/>
            <w:right w:val="none" w:sz="0" w:space="0" w:color="auto"/>
          </w:divBdr>
        </w:div>
        <w:div w:id="68692239">
          <w:marLeft w:val="450"/>
          <w:marRight w:val="450"/>
          <w:marTop w:val="0"/>
          <w:marBottom w:val="0"/>
          <w:divBdr>
            <w:top w:val="none" w:sz="0" w:space="0" w:color="auto"/>
            <w:left w:val="none" w:sz="0" w:space="0" w:color="auto"/>
            <w:bottom w:val="none" w:sz="0" w:space="0" w:color="auto"/>
            <w:right w:val="none" w:sz="0" w:space="0" w:color="auto"/>
          </w:divBdr>
          <w:divsChild>
            <w:div w:id="2021353849">
              <w:marLeft w:val="450"/>
              <w:marRight w:val="450"/>
              <w:marTop w:val="0"/>
              <w:marBottom w:val="0"/>
              <w:divBdr>
                <w:top w:val="none" w:sz="0" w:space="0" w:color="auto"/>
                <w:left w:val="none" w:sz="0" w:space="0" w:color="auto"/>
                <w:bottom w:val="none" w:sz="0" w:space="0" w:color="auto"/>
                <w:right w:val="none" w:sz="0" w:space="0" w:color="auto"/>
              </w:divBdr>
            </w:div>
            <w:div w:id="137115245">
              <w:marLeft w:val="1131"/>
              <w:marRight w:val="566"/>
              <w:marTop w:val="240"/>
              <w:marBottom w:val="240"/>
              <w:divBdr>
                <w:top w:val="none" w:sz="0" w:space="0" w:color="auto"/>
                <w:left w:val="none" w:sz="0" w:space="0" w:color="auto"/>
                <w:bottom w:val="none" w:sz="0" w:space="0" w:color="auto"/>
                <w:right w:val="none" w:sz="0" w:space="0" w:color="auto"/>
              </w:divBdr>
            </w:div>
          </w:divsChild>
        </w:div>
        <w:div w:id="1029447903">
          <w:marLeft w:val="150"/>
          <w:marRight w:val="150"/>
          <w:marTop w:val="150"/>
          <w:marBottom w:val="150"/>
          <w:divBdr>
            <w:top w:val="none" w:sz="0" w:space="0" w:color="auto"/>
            <w:left w:val="none" w:sz="0" w:space="0" w:color="auto"/>
            <w:bottom w:val="none" w:sz="0" w:space="0" w:color="auto"/>
            <w:right w:val="none" w:sz="0" w:space="0" w:color="auto"/>
          </w:divBdr>
        </w:div>
        <w:div w:id="632948208">
          <w:marLeft w:val="450"/>
          <w:marRight w:val="450"/>
          <w:marTop w:val="0"/>
          <w:marBottom w:val="0"/>
          <w:divBdr>
            <w:top w:val="none" w:sz="0" w:space="0" w:color="auto"/>
            <w:left w:val="none" w:sz="0" w:space="0" w:color="auto"/>
            <w:bottom w:val="none" w:sz="0" w:space="0" w:color="auto"/>
            <w:right w:val="none" w:sz="0" w:space="0" w:color="auto"/>
          </w:divBdr>
          <w:divsChild>
            <w:div w:id="693582703">
              <w:marLeft w:val="450"/>
              <w:marRight w:val="450"/>
              <w:marTop w:val="0"/>
              <w:marBottom w:val="0"/>
              <w:divBdr>
                <w:top w:val="none" w:sz="0" w:space="0" w:color="auto"/>
                <w:left w:val="none" w:sz="0" w:space="0" w:color="auto"/>
                <w:bottom w:val="none" w:sz="0" w:space="0" w:color="auto"/>
                <w:right w:val="none" w:sz="0" w:space="0" w:color="auto"/>
              </w:divBdr>
            </w:div>
            <w:div w:id="267322576">
              <w:marLeft w:val="1131"/>
              <w:marRight w:val="566"/>
              <w:marTop w:val="240"/>
              <w:marBottom w:val="240"/>
              <w:divBdr>
                <w:top w:val="none" w:sz="0" w:space="0" w:color="auto"/>
                <w:left w:val="none" w:sz="0" w:space="0" w:color="auto"/>
                <w:bottom w:val="none" w:sz="0" w:space="0" w:color="auto"/>
                <w:right w:val="none" w:sz="0" w:space="0" w:color="auto"/>
              </w:divBdr>
            </w:div>
          </w:divsChild>
        </w:div>
        <w:div w:id="1633248449">
          <w:marLeft w:val="150"/>
          <w:marRight w:val="150"/>
          <w:marTop w:val="150"/>
          <w:marBottom w:val="150"/>
          <w:divBdr>
            <w:top w:val="none" w:sz="0" w:space="0" w:color="auto"/>
            <w:left w:val="none" w:sz="0" w:space="0" w:color="auto"/>
            <w:bottom w:val="none" w:sz="0" w:space="0" w:color="auto"/>
            <w:right w:val="none" w:sz="0" w:space="0" w:color="auto"/>
          </w:divBdr>
        </w:div>
        <w:div w:id="1871800957">
          <w:marLeft w:val="450"/>
          <w:marRight w:val="450"/>
          <w:marTop w:val="0"/>
          <w:marBottom w:val="0"/>
          <w:divBdr>
            <w:top w:val="none" w:sz="0" w:space="0" w:color="auto"/>
            <w:left w:val="none" w:sz="0" w:space="0" w:color="auto"/>
            <w:bottom w:val="none" w:sz="0" w:space="0" w:color="auto"/>
            <w:right w:val="none" w:sz="0" w:space="0" w:color="auto"/>
          </w:divBdr>
          <w:divsChild>
            <w:div w:id="1480149140">
              <w:marLeft w:val="450"/>
              <w:marRight w:val="450"/>
              <w:marTop w:val="0"/>
              <w:marBottom w:val="0"/>
              <w:divBdr>
                <w:top w:val="none" w:sz="0" w:space="0" w:color="auto"/>
                <w:left w:val="none" w:sz="0" w:space="0" w:color="auto"/>
                <w:bottom w:val="none" w:sz="0" w:space="0" w:color="auto"/>
                <w:right w:val="none" w:sz="0" w:space="0" w:color="auto"/>
              </w:divBdr>
            </w:div>
            <w:div w:id="2022511195">
              <w:marLeft w:val="1131"/>
              <w:marRight w:val="566"/>
              <w:marTop w:val="240"/>
              <w:marBottom w:val="240"/>
              <w:divBdr>
                <w:top w:val="none" w:sz="0" w:space="0" w:color="auto"/>
                <w:left w:val="none" w:sz="0" w:space="0" w:color="auto"/>
                <w:bottom w:val="none" w:sz="0" w:space="0" w:color="auto"/>
                <w:right w:val="none" w:sz="0" w:space="0" w:color="auto"/>
              </w:divBdr>
            </w:div>
            <w:div w:id="1981298164">
              <w:marLeft w:val="1131"/>
              <w:marRight w:val="566"/>
              <w:marTop w:val="240"/>
              <w:marBottom w:val="240"/>
              <w:divBdr>
                <w:top w:val="none" w:sz="0" w:space="0" w:color="auto"/>
                <w:left w:val="none" w:sz="0" w:space="0" w:color="auto"/>
                <w:bottom w:val="none" w:sz="0" w:space="0" w:color="auto"/>
                <w:right w:val="none" w:sz="0" w:space="0" w:color="auto"/>
              </w:divBdr>
            </w:div>
          </w:divsChild>
        </w:div>
        <w:div w:id="1691031129">
          <w:marLeft w:val="150"/>
          <w:marRight w:val="150"/>
          <w:marTop w:val="150"/>
          <w:marBottom w:val="150"/>
          <w:divBdr>
            <w:top w:val="none" w:sz="0" w:space="0" w:color="auto"/>
            <w:left w:val="none" w:sz="0" w:space="0" w:color="auto"/>
            <w:bottom w:val="none" w:sz="0" w:space="0" w:color="auto"/>
            <w:right w:val="none" w:sz="0" w:space="0" w:color="auto"/>
          </w:divBdr>
        </w:div>
        <w:div w:id="66192344">
          <w:marLeft w:val="450"/>
          <w:marRight w:val="450"/>
          <w:marTop w:val="0"/>
          <w:marBottom w:val="0"/>
          <w:divBdr>
            <w:top w:val="none" w:sz="0" w:space="0" w:color="auto"/>
            <w:left w:val="none" w:sz="0" w:space="0" w:color="auto"/>
            <w:bottom w:val="none" w:sz="0" w:space="0" w:color="auto"/>
            <w:right w:val="none" w:sz="0" w:space="0" w:color="auto"/>
          </w:divBdr>
          <w:divsChild>
            <w:div w:id="1525317389">
              <w:marLeft w:val="450"/>
              <w:marRight w:val="450"/>
              <w:marTop w:val="0"/>
              <w:marBottom w:val="0"/>
              <w:divBdr>
                <w:top w:val="none" w:sz="0" w:space="0" w:color="auto"/>
                <w:left w:val="none" w:sz="0" w:space="0" w:color="auto"/>
                <w:bottom w:val="none" w:sz="0" w:space="0" w:color="auto"/>
                <w:right w:val="none" w:sz="0" w:space="0" w:color="auto"/>
              </w:divBdr>
            </w:div>
            <w:div w:id="1740204954">
              <w:marLeft w:val="1131"/>
              <w:marRight w:val="566"/>
              <w:marTop w:val="240"/>
              <w:marBottom w:val="240"/>
              <w:divBdr>
                <w:top w:val="none" w:sz="0" w:space="0" w:color="auto"/>
                <w:left w:val="none" w:sz="0" w:space="0" w:color="auto"/>
                <w:bottom w:val="none" w:sz="0" w:space="0" w:color="auto"/>
                <w:right w:val="none" w:sz="0" w:space="0" w:color="auto"/>
              </w:divBdr>
            </w:div>
            <w:div w:id="1374883924">
              <w:marLeft w:val="1131"/>
              <w:marRight w:val="566"/>
              <w:marTop w:val="240"/>
              <w:marBottom w:val="240"/>
              <w:divBdr>
                <w:top w:val="none" w:sz="0" w:space="0" w:color="auto"/>
                <w:left w:val="none" w:sz="0" w:space="0" w:color="auto"/>
                <w:bottom w:val="none" w:sz="0" w:space="0" w:color="auto"/>
                <w:right w:val="none" w:sz="0" w:space="0" w:color="auto"/>
              </w:divBdr>
            </w:div>
          </w:divsChild>
        </w:div>
        <w:div w:id="265770683">
          <w:marLeft w:val="150"/>
          <w:marRight w:val="150"/>
          <w:marTop w:val="150"/>
          <w:marBottom w:val="150"/>
          <w:divBdr>
            <w:top w:val="none" w:sz="0" w:space="0" w:color="auto"/>
            <w:left w:val="none" w:sz="0" w:space="0" w:color="auto"/>
            <w:bottom w:val="none" w:sz="0" w:space="0" w:color="auto"/>
            <w:right w:val="none" w:sz="0" w:space="0" w:color="auto"/>
          </w:divBdr>
        </w:div>
        <w:div w:id="1314480504">
          <w:marLeft w:val="450"/>
          <w:marRight w:val="450"/>
          <w:marTop w:val="0"/>
          <w:marBottom w:val="0"/>
          <w:divBdr>
            <w:top w:val="none" w:sz="0" w:space="0" w:color="auto"/>
            <w:left w:val="none" w:sz="0" w:space="0" w:color="auto"/>
            <w:bottom w:val="none" w:sz="0" w:space="0" w:color="auto"/>
            <w:right w:val="none" w:sz="0" w:space="0" w:color="auto"/>
          </w:divBdr>
          <w:divsChild>
            <w:div w:id="1635597756">
              <w:marLeft w:val="450"/>
              <w:marRight w:val="450"/>
              <w:marTop w:val="0"/>
              <w:marBottom w:val="0"/>
              <w:divBdr>
                <w:top w:val="none" w:sz="0" w:space="0" w:color="auto"/>
                <w:left w:val="none" w:sz="0" w:space="0" w:color="auto"/>
                <w:bottom w:val="none" w:sz="0" w:space="0" w:color="auto"/>
                <w:right w:val="none" w:sz="0" w:space="0" w:color="auto"/>
              </w:divBdr>
            </w:div>
            <w:div w:id="336809651">
              <w:marLeft w:val="1131"/>
              <w:marRight w:val="566"/>
              <w:marTop w:val="240"/>
              <w:marBottom w:val="240"/>
              <w:divBdr>
                <w:top w:val="none" w:sz="0" w:space="0" w:color="auto"/>
                <w:left w:val="none" w:sz="0" w:space="0" w:color="auto"/>
                <w:bottom w:val="none" w:sz="0" w:space="0" w:color="auto"/>
                <w:right w:val="none" w:sz="0" w:space="0" w:color="auto"/>
              </w:divBdr>
            </w:div>
          </w:divsChild>
        </w:div>
        <w:div w:id="1675185666">
          <w:marLeft w:val="150"/>
          <w:marRight w:val="150"/>
          <w:marTop w:val="150"/>
          <w:marBottom w:val="150"/>
          <w:divBdr>
            <w:top w:val="none" w:sz="0" w:space="0" w:color="auto"/>
            <w:left w:val="none" w:sz="0" w:space="0" w:color="auto"/>
            <w:bottom w:val="none" w:sz="0" w:space="0" w:color="auto"/>
            <w:right w:val="none" w:sz="0" w:space="0" w:color="auto"/>
          </w:divBdr>
        </w:div>
        <w:div w:id="605305990">
          <w:marLeft w:val="450"/>
          <w:marRight w:val="450"/>
          <w:marTop w:val="0"/>
          <w:marBottom w:val="0"/>
          <w:divBdr>
            <w:top w:val="none" w:sz="0" w:space="0" w:color="auto"/>
            <w:left w:val="none" w:sz="0" w:space="0" w:color="auto"/>
            <w:bottom w:val="none" w:sz="0" w:space="0" w:color="auto"/>
            <w:right w:val="none" w:sz="0" w:space="0" w:color="auto"/>
          </w:divBdr>
          <w:divsChild>
            <w:div w:id="1087382178">
              <w:marLeft w:val="450"/>
              <w:marRight w:val="450"/>
              <w:marTop w:val="0"/>
              <w:marBottom w:val="0"/>
              <w:divBdr>
                <w:top w:val="none" w:sz="0" w:space="0" w:color="auto"/>
                <w:left w:val="none" w:sz="0" w:space="0" w:color="auto"/>
                <w:bottom w:val="none" w:sz="0" w:space="0" w:color="auto"/>
                <w:right w:val="none" w:sz="0" w:space="0" w:color="auto"/>
              </w:divBdr>
            </w:div>
          </w:divsChild>
        </w:div>
        <w:div w:id="1878933345">
          <w:marLeft w:val="150"/>
          <w:marRight w:val="150"/>
          <w:marTop w:val="150"/>
          <w:marBottom w:val="150"/>
          <w:divBdr>
            <w:top w:val="none" w:sz="0" w:space="0" w:color="auto"/>
            <w:left w:val="none" w:sz="0" w:space="0" w:color="auto"/>
            <w:bottom w:val="none" w:sz="0" w:space="0" w:color="auto"/>
            <w:right w:val="none" w:sz="0" w:space="0" w:color="auto"/>
          </w:divBdr>
        </w:div>
        <w:div w:id="1437795036">
          <w:marLeft w:val="450"/>
          <w:marRight w:val="450"/>
          <w:marTop w:val="0"/>
          <w:marBottom w:val="0"/>
          <w:divBdr>
            <w:top w:val="none" w:sz="0" w:space="0" w:color="auto"/>
            <w:left w:val="none" w:sz="0" w:space="0" w:color="auto"/>
            <w:bottom w:val="none" w:sz="0" w:space="0" w:color="auto"/>
            <w:right w:val="none" w:sz="0" w:space="0" w:color="auto"/>
          </w:divBdr>
          <w:divsChild>
            <w:div w:id="75252065">
              <w:marLeft w:val="450"/>
              <w:marRight w:val="450"/>
              <w:marTop w:val="0"/>
              <w:marBottom w:val="0"/>
              <w:divBdr>
                <w:top w:val="none" w:sz="0" w:space="0" w:color="auto"/>
                <w:left w:val="none" w:sz="0" w:space="0" w:color="auto"/>
                <w:bottom w:val="none" w:sz="0" w:space="0" w:color="auto"/>
                <w:right w:val="none" w:sz="0" w:space="0" w:color="auto"/>
              </w:divBdr>
            </w:div>
            <w:div w:id="1070693535">
              <w:marLeft w:val="1131"/>
              <w:marRight w:val="566"/>
              <w:marTop w:val="240"/>
              <w:marBottom w:val="240"/>
              <w:divBdr>
                <w:top w:val="none" w:sz="0" w:space="0" w:color="auto"/>
                <w:left w:val="none" w:sz="0" w:space="0" w:color="auto"/>
                <w:bottom w:val="none" w:sz="0" w:space="0" w:color="auto"/>
                <w:right w:val="none" w:sz="0" w:space="0" w:color="auto"/>
              </w:divBdr>
            </w:div>
            <w:div w:id="932280811">
              <w:marLeft w:val="1131"/>
              <w:marRight w:val="566"/>
              <w:marTop w:val="240"/>
              <w:marBottom w:val="240"/>
              <w:divBdr>
                <w:top w:val="none" w:sz="0" w:space="0" w:color="auto"/>
                <w:left w:val="none" w:sz="0" w:space="0" w:color="auto"/>
                <w:bottom w:val="none" w:sz="0" w:space="0" w:color="auto"/>
                <w:right w:val="none" w:sz="0" w:space="0" w:color="auto"/>
              </w:divBdr>
            </w:div>
          </w:divsChild>
        </w:div>
        <w:div w:id="902570596">
          <w:marLeft w:val="150"/>
          <w:marRight w:val="150"/>
          <w:marTop w:val="150"/>
          <w:marBottom w:val="150"/>
          <w:divBdr>
            <w:top w:val="none" w:sz="0" w:space="0" w:color="auto"/>
            <w:left w:val="none" w:sz="0" w:space="0" w:color="auto"/>
            <w:bottom w:val="none" w:sz="0" w:space="0" w:color="auto"/>
            <w:right w:val="none" w:sz="0" w:space="0" w:color="auto"/>
          </w:divBdr>
        </w:div>
      </w:divsChild>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16697225">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66835435">
      <w:bodyDiv w:val="1"/>
      <w:marLeft w:val="0"/>
      <w:marRight w:val="0"/>
      <w:marTop w:val="0"/>
      <w:marBottom w:val="0"/>
      <w:divBdr>
        <w:top w:val="none" w:sz="0" w:space="0" w:color="auto"/>
        <w:left w:val="none" w:sz="0" w:space="0" w:color="auto"/>
        <w:bottom w:val="none" w:sz="0" w:space="0" w:color="auto"/>
        <w:right w:val="none" w:sz="0" w:space="0" w:color="auto"/>
      </w:divBdr>
      <w:divsChild>
        <w:div w:id="1454203234">
          <w:marLeft w:val="0"/>
          <w:marRight w:val="0"/>
          <w:marTop w:val="0"/>
          <w:marBottom w:val="225"/>
          <w:divBdr>
            <w:top w:val="none" w:sz="0" w:space="0" w:color="auto"/>
            <w:left w:val="none" w:sz="0" w:space="0" w:color="auto"/>
            <w:bottom w:val="none" w:sz="0" w:space="0" w:color="auto"/>
            <w:right w:val="none" w:sz="0" w:space="0" w:color="auto"/>
          </w:divBdr>
          <w:divsChild>
            <w:div w:id="893200512">
              <w:marLeft w:val="0"/>
              <w:marRight w:val="225"/>
              <w:marTop w:val="0"/>
              <w:marBottom w:val="0"/>
              <w:divBdr>
                <w:top w:val="none" w:sz="0" w:space="0" w:color="auto"/>
                <w:left w:val="none" w:sz="0" w:space="0" w:color="auto"/>
                <w:bottom w:val="none" w:sz="0" w:space="0" w:color="auto"/>
                <w:right w:val="none" w:sz="0" w:space="0" w:color="auto"/>
              </w:divBdr>
            </w:div>
          </w:divsChild>
        </w:div>
        <w:div w:id="1317805989">
          <w:marLeft w:val="0"/>
          <w:marRight w:val="0"/>
          <w:marTop w:val="0"/>
          <w:marBottom w:val="225"/>
          <w:divBdr>
            <w:top w:val="none" w:sz="0" w:space="0" w:color="auto"/>
            <w:left w:val="none" w:sz="0" w:space="0" w:color="auto"/>
            <w:bottom w:val="none" w:sz="0" w:space="0" w:color="auto"/>
            <w:right w:val="none" w:sz="0" w:space="0" w:color="auto"/>
          </w:divBdr>
          <w:divsChild>
            <w:div w:id="1753307614">
              <w:marLeft w:val="0"/>
              <w:marRight w:val="225"/>
              <w:marTop w:val="0"/>
              <w:marBottom w:val="0"/>
              <w:divBdr>
                <w:top w:val="none" w:sz="0" w:space="0" w:color="auto"/>
                <w:left w:val="none" w:sz="0" w:space="0" w:color="auto"/>
                <w:bottom w:val="none" w:sz="0" w:space="0" w:color="auto"/>
                <w:right w:val="none" w:sz="0" w:space="0" w:color="auto"/>
              </w:divBdr>
              <w:divsChild>
                <w:div w:id="616835622">
                  <w:marLeft w:val="0"/>
                  <w:marRight w:val="0"/>
                  <w:marTop w:val="0"/>
                  <w:marBottom w:val="0"/>
                  <w:divBdr>
                    <w:top w:val="none" w:sz="0" w:space="0" w:color="auto"/>
                    <w:left w:val="none" w:sz="0" w:space="0" w:color="auto"/>
                    <w:bottom w:val="none" w:sz="0" w:space="0" w:color="auto"/>
                    <w:right w:val="none" w:sz="0" w:space="0" w:color="auto"/>
                  </w:divBdr>
                  <w:divsChild>
                    <w:div w:id="799304493">
                      <w:marLeft w:val="0"/>
                      <w:marRight w:val="375"/>
                      <w:marTop w:val="0"/>
                      <w:marBottom w:val="0"/>
                      <w:divBdr>
                        <w:top w:val="none" w:sz="0" w:space="0" w:color="auto"/>
                        <w:left w:val="none" w:sz="0" w:space="0" w:color="auto"/>
                        <w:bottom w:val="none" w:sz="0" w:space="0" w:color="auto"/>
                        <w:right w:val="none" w:sz="0" w:space="0" w:color="auto"/>
                      </w:divBdr>
                      <w:divsChild>
                        <w:div w:id="608053378">
                          <w:marLeft w:val="0"/>
                          <w:marRight w:val="0"/>
                          <w:marTop w:val="0"/>
                          <w:marBottom w:val="0"/>
                          <w:divBdr>
                            <w:top w:val="none" w:sz="0" w:space="0" w:color="auto"/>
                            <w:left w:val="none" w:sz="0" w:space="0" w:color="auto"/>
                            <w:bottom w:val="none" w:sz="0" w:space="0" w:color="auto"/>
                            <w:right w:val="none" w:sz="0" w:space="0" w:color="auto"/>
                          </w:divBdr>
                        </w:div>
                        <w:div w:id="229074265">
                          <w:marLeft w:val="0"/>
                          <w:marRight w:val="0"/>
                          <w:marTop w:val="0"/>
                          <w:marBottom w:val="0"/>
                          <w:divBdr>
                            <w:top w:val="none" w:sz="0" w:space="0" w:color="auto"/>
                            <w:left w:val="none" w:sz="0" w:space="0" w:color="auto"/>
                            <w:bottom w:val="none" w:sz="0" w:space="0" w:color="auto"/>
                            <w:right w:val="none" w:sz="0" w:space="0" w:color="auto"/>
                          </w:divBdr>
                        </w:div>
                      </w:divsChild>
                    </w:div>
                    <w:div w:id="134682154">
                      <w:marLeft w:val="0"/>
                      <w:marRight w:val="375"/>
                      <w:marTop w:val="0"/>
                      <w:marBottom w:val="0"/>
                      <w:divBdr>
                        <w:top w:val="none" w:sz="0" w:space="0" w:color="auto"/>
                        <w:left w:val="none" w:sz="0" w:space="0" w:color="auto"/>
                        <w:bottom w:val="none" w:sz="0" w:space="0" w:color="auto"/>
                        <w:right w:val="none" w:sz="0" w:space="0" w:color="auto"/>
                      </w:divBdr>
                      <w:divsChild>
                        <w:div w:id="843587723">
                          <w:marLeft w:val="0"/>
                          <w:marRight w:val="0"/>
                          <w:marTop w:val="0"/>
                          <w:marBottom w:val="0"/>
                          <w:divBdr>
                            <w:top w:val="none" w:sz="0" w:space="0" w:color="auto"/>
                            <w:left w:val="none" w:sz="0" w:space="0" w:color="auto"/>
                            <w:bottom w:val="none" w:sz="0" w:space="0" w:color="auto"/>
                            <w:right w:val="none" w:sz="0" w:space="0" w:color="auto"/>
                          </w:divBdr>
                        </w:div>
                        <w:div w:id="14114546">
                          <w:marLeft w:val="0"/>
                          <w:marRight w:val="0"/>
                          <w:marTop w:val="0"/>
                          <w:marBottom w:val="0"/>
                          <w:divBdr>
                            <w:top w:val="none" w:sz="0" w:space="0" w:color="auto"/>
                            <w:left w:val="none" w:sz="0" w:space="0" w:color="auto"/>
                            <w:bottom w:val="none" w:sz="0" w:space="0" w:color="auto"/>
                            <w:right w:val="none" w:sz="0" w:space="0" w:color="auto"/>
                          </w:divBdr>
                        </w:div>
                      </w:divsChild>
                    </w:div>
                    <w:div w:id="1728531759">
                      <w:marLeft w:val="0"/>
                      <w:marRight w:val="375"/>
                      <w:marTop w:val="0"/>
                      <w:marBottom w:val="0"/>
                      <w:divBdr>
                        <w:top w:val="none" w:sz="0" w:space="0" w:color="auto"/>
                        <w:left w:val="none" w:sz="0" w:space="0" w:color="auto"/>
                        <w:bottom w:val="none" w:sz="0" w:space="0" w:color="auto"/>
                        <w:right w:val="none" w:sz="0" w:space="0" w:color="auto"/>
                      </w:divBdr>
                      <w:divsChild>
                        <w:div w:id="1397557890">
                          <w:marLeft w:val="0"/>
                          <w:marRight w:val="0"/>
                          <w:marTop w:val="0"/>
                          <w:marBottom w:val="0"/>
                          <w:divBdr>
                            <w:top w:val="none" w:sz="0" w:space="0" w:color="auto"/>
                            <w:left w:val="none" w:sz="0" w:space="0" w:color="auto"/>
                            <w:bottom w:val="none" w:sz="0" w:space="0" w:color="auto"/>
                            <w:right w:val="none" w:sz="0" w:space="0" w:color="auto"/>
                          </w:divBdr>
                        </w:div>
                        <w:div w:id="484205421">
                          <w:marLeft w:val="0"/>
                          <w:marRight w:val="0"/>
                          <w:marTop w:val="0"/>
                          <w:marBottom w:val="0"/>
                          <w:divBdr>
                            <w:top w:val="none" w:sz="0" w:space="0" w:color="auto"/>
                            <w:left w:val="none" w:sz="0" w:space="0" w:color="auto"/>
                            <w:bottom w:val="none" w:sz="0" w:space="0" w:color="auto"/>
                            <w:right w:val="none" w:sz="0" w:space="0" w:color="auto"/>
                          </w:divBdr>
                        </w:div>
                      </w:divsChild>
                    </w:div>
                    <w:div w:id="596908582">
                      <w:marLeft w:val="0"/>
                      <w:marRight w:val="0"/>
                      <w:marTop w:val="0"/>
                      <w:marBottom w:val="0"/>
                      <w:divBdr>
                        <w:top w:val="none" w:sz="0" w:space="0" w:color="auto"/>
                        <w:left w:val="none" w:sz="0" w:space="0" w:color="auto"/>
                        <w:bottom w:val="none" w:sz="0" w:space="0" w:color="auto"/>
                        <w:right w:val="none" w:sz="0" w:space="0" w:color="auto"/>
                      </w:divBdr>
                      <w:divsChild>
                        <w:div w:id="786050849">
                          <w:marLeft w:val="0"/>
                          <w:marRight w:val="0"/>
                          <w:marTop w:val="0"/>
                          <w:marBottom w:val="0"/>
                          <w:divBdr>
                            <w:top w:val="none" w:sz="0" w:space="0" w:color="auto"/>
                            <w:left w:val="none" w:sz="0" w:space="0" w:color="auto"/>
                            <w:bottom w:val="none" w:sz="0" w:space="0" w:color="auto"/>
                            <w:right w:val="none" w:sz="0" w:space="0" w:color="auto"/>
                          </w:divBdr>
                        </w:div>
                        <w:div w:id="6768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0804">
                  <w:marLeft w:val="0"/>
                  <w:marRight w:val="0"/>
                  <w:marTop w:val="0"/>
                  <w:marBottom w:val="0"/>
                  <w:divBdr>
                    <w:top w:val="none" w:sz="0" w:space="0" w:color="auto"/>
                    <w:left w:val="none" w:sz="0" w:space="0" w:color="auto"/>
                    <w:bottom w:val="none" w:sz="0" w:space="0" w:color="auto"/>
                    <w:right w:val="none" w:sz="0" w:space="0" w:color="auto"/>
                  </w:divBdr>
                  <w:divsChild>
                    <w:div w:id="429813146">
                      <w:marLeft w:val="0"/>
                      <w:marRight w:val="0"/>
                      <w:marTop w:val="0"/>
                      <w:marBottom w:val="150"/>
                      <w:divBdr>
                        <w:top w:val="none" w:sz="0" w:space="0" w:color="auto"/>
                        <w:left w:val="none" w:sz="0" w:space="0" w:color="auto"/>
                        <w:bottom w:val="none" w:sz="0" w:space="0" w:color="auto"/>
                        <w:right w:val="none" w:sz="0" w:space="0" w:color="auto"/>
                      </w:divBdr>
                    </w:div>
                    <w:div w:id="15418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9/3/pdf/00335166.pdf" TargetMode="External"/><Relationship Id="rId13" Type="http://schemas.openxmlformats.org/officeDocument/2006/relationships/hyperlink" Target="http://www1.tce.pr.gov.br/conteudo/pesquisas-prontas/308475/area/24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2.stj.jus.br/processo/revista/inteiroteor/?num_registro=201801906447&amp;dt_publicacao=16/04/2019" TargetMode="External"/><Relationship Id="rId17" Type="http://schemas.openxmlformats.org/officeDocument/2006/relationships/hyperlink" Target="http://www1.tce.pr.gov.br/conteudo/sumulas-selecionadas/316602/area/249" TargetMode="External"/><Relationship Id="rId2" Type="http://schemas.openxmlformats.org/officeDocument/2006/relationships/numbering" Target="numbering.xml"/><Relationship Id="rId16" Type="http://schemas.openxmlformats.org/officeDocument/2006/relationships/hyperlink" Target="http://www1.tce.pr.gov.br/conteudo/repercussao-geral-no-stf-e-os-tribunais-de-contas/307026/area/24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stf.jus.br/processos/detalhe.asp?incidente=2419108" TargetMode="External"/><Relationship Id="rId5" Type="http://schemas.openxmlformats.org/officeDocument/2006/relationships/webSettings" Target="webSettings.xml"/><Relationship Id="rId15" Type="http://schemas.openxmlformats.org/officeDocument/2006/relationships/hyperlink" Target="http://www1.tce.pr.gov.br/conteudo/boletim-de-jurisprudencia-internacional/316601/area/249" TargetMode="External"/><Relationship Id="rId10" Type="http://schemas.openxmlformats.org/officeDocument/2006/relationships/hyperlink" Target="https://www2.tce.pe.gov.br/scriptcase/aplicacoesv7/nas/excerto/form_dbo_juris_vwexcerto_Servidor/form_dbo_juris_vwexcerto_Servidor.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ntas.tcu.gov.br/sagas/SvlVisualizarRelVotoAcRtf?codFiltro=SAGAS-SESSAO-ENCERRADA&amp;seOcultaPagina=S&amp;item0=681326" TargetMode="External"/><Relationship Id="rId14" Type="http://schemas.openxmlformats.org/officeDocument/2006/relationships/hyperlink" Target="http://www1.tce.pr.gov.br/conteudo/boletim-informativo-de-jurisprudencia/280400/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C0439-ED63-47AD-AE63-73DF24F8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2180</Words>
  <Characters>11777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3</cp:revision>
  <cp:lastPrinted>2019-04-01T19:45:00Z</cp:lastPrinted>
  <dcterms:created xsi:type="dcterms:W3CDTF">2019-10-09T18:07:00Z</dcterms:created>
  <dcterms:modified xsi:type="dcterms:W3CDTF">2019-10-09T20:18:00Z</dcterms:modified>
</cp:coreProperties>
</file>