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500D" w14:textId="77777777" w:rsidR="00674104" w:rsidRDefault="00000000">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3270AF62" w14:textId="77777777" w:rsidR="00674104" w:rsidRDefault="00674104">
      <w:pPr>
        <w:jc w:val="center"/>
        <w:rPr>
          <w:rFonts w:ascii="Arial" w:hAnsi="Arial" w:cs="Arial"/>
          <w:b/>
          <w:sz w:val="20"/>
          <w:szCs w:val="20"/>
        </w:rPr>
      </w:pPr>
    </w:p>
    <w:p w14:paraId="2804FFF8" w14:textId="5E3E2D67" w:rsidR="00674104" w:rsidRDefault="00000000">
      <w:pPr>
        <w:jc w:val="center"/>
        <w:rPr>
          <w:rFonts w:ascii="Arial" w:hAnsi="Arial" w:cs="Arial"/>
          <w:b/>
          <w:sz w:val="20"/>
          <w:szCs w:val="20"/>
        </w:rPr>
      </w:pPr>
      <w:r>
        <w:rPr>
          <w:rFonts w:ascii="Arial" w:hAnsi="Arial" w:cs="Arial"/>
          <w:b/>
          <w:sz w:val="20"/>
          <w:szCs w:val="20"/>
        </w:rPr>
        <w:t>Número 2</w:t>
      </w:r>
      <w:r w:rsidR="00613425">
        <w:rPr>
          <w:rFonts w:ascii="Arial" w:hAnsi="Arial" w:cs="Arial"/>
          <w:b/>
          <w:sz w:val="20"/>
          <w:szCs w:val="20"/>
        </w:rPr>
        <w:t>4</w:t>
      </w:r>
    </w:p>
    <w:p w14:paraId="62DC9DDD" w14:textId="77777777" w:rsidR="00674104" w:rsidRDefault="00674104">
      <w:pPr>
        <w:jc w:val="center"/>
        <w:rPr>
          <w:rFonts w:ascii="Arial" w:hAnsi="Arial" w:cs="Arial"/>
          <w:b/>
          <w:sz w:val="20"/>
          <w:szCs w:val="20"/>
        </w:rPr>
      </w:pPr>
    </w:p>
    <w:p w14:paraId="44A12025" w14:textId="2D78B9F0" w:rsidR="00674104" w:rsidRDefault="00000000">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745B04C1" w14:textId="77777777" w:rsidR="00674104" w:rsidRDefault="00000000">
      <w:pPr>
        <w:jc w:val="both"/>
        <w:rPr>
          <w:rFonts w:ascii="Arial" w:hAnsi="Arial" w:cs="Arial"/>
          <w:sz w:val="20"/>
          <w:szCs w:val="20"/>
        </w:rPr>
      </w:pPr>
      <w:r>
        <w:rPr>
          <w:rFonts w:ascii="Arial" w:hAnsi="Arial" w:cs="Arial"/>
          <w:sz w:val="20"/>
          <w:szCs w:val="20"/>
        </w:rPr>
        <w:t xml:space="preserve"> </w:t>
      </w:r>
    </w:p>
    <w:p w14:paraId="62D24DBB" w14:textId="77777777" w:rsidR="00674104" w:rsidRDefault="00000000">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38FCF53F" w14:textId="77777777" w:rsidR="00674104" w:rsidRDefault="00674104">
      <w:pPr>
        <w:jc w:val="both"/>
        <w:rPr>
          <w:rFonts w:ascii="Arial" w:hAnsi="Arial" w:cs="Arial"/>
          <w:sz w:val="20"/>
          <w:szCs w:val="20"/>
        </w:rPr>
      </w:pPr>
    </w:p>
    <w:p w14:paraId="5B594475" w14:textId="77777777" w:rsidR="00674104" w:rsidRDefault="00000000">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0AA41CCA" w14:textId="77777777" w:rsidR="00674104" w:rsidRDefault="00674104">
      <w:pPr>
        <w:jc w:val="both"/>
        <w:rPr>
          <w:rFonts w:ascii="Arial" w:hAnsi="Arial" w:cs="Arial"/>
          <w:sz w:val="20"/>
          <w:szCs w:val="20"/>
        </w:rPr>
      </w:pPr>
    </w:p>
    <w:p w14:paraId="54F13485" w14:textId="77777777" w:rsidR="00674104" w:rsidRDefault="00000000">
      <w:pPr>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0800" behindDoc="0" locked="0" layoutInCell="1" allowOverlap="1" wp14:anchorId="59835C21" wp14:editId="1F723F06">
                <wp:simplePos x="0" y="0"/>
                <wp:positionH relativeFrom="margin">
                  <wp:posOffset>-635</wp:posOffset>
                </wp:positionH>
                <wp:positionV relativeFrom="paragraph">
                  <wp:posOffset>29845</wp:posOffset>
                </wp:positionV>
                <wp:extent cx="5397500" cy="0"/>
                <wp:effectExtent l="0" t="0" r="12700" b="57150"/>
                <wp:wrapNone/>
                <wp:docPr id="4"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800;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4478A291"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3015CC1" w14:textId="77777777" w:rsidR="00674104" w:rsidRDefault="00674104">
      <w:pPr>
        <w:spacing w:line="276" w:lineRule="auto"/>
        <w:jc w:val="both"/>
        <w:rPr>
          <w:rFonts w:ascii="Arial" w:eastAsia="Arial" w:hAnsi="Arial" w:cs="Arial"/>
          <w:sz w:val="20"/>
          <w:szCs w:val="20"/>
        </w:rPr>
      </w:pPr>
    </w:p>
    <w:p w14:paraId="691D7C5D" w14:textId="120ECF7C" w:rsidR="00613425" w:rsidRPr="00613425" w:rsidRDefault="00613425" w:rsidP="00613425">
      <w:pPr>
        <w:spacing w:line="276" w:lineRule="auto"/>
        <w:jc w:val="both"/>
        <w:rPr>
          <w:rFonts w:ascii="Arial" w:eastAsia="Arial" w:hAnsi="Arial" w:cs="Arial"/>
          <w:bCs/>
          <w:sz w:val="20"/>
          <w:szCs w:val="20"/>
        </w:rPr>
      </w:pPr>
      <w:r w:rsidRPr="00613425">
        <w:rPr>
          <w:rFonts w:ascii="Arial" w:eastAsia="Arial" w:hAnsi="Arial" w:cs="Arial"/>
          <w:bCs/>
          <w:sz w:val="20"/>
          <w:szCs w:val="20"/>
        </w:rPr>
        <w:t xml:space="preserve">1. </w:t>
      </w:r>
      <w:r w:rsidRPr="00613425">
        <w:rPr>
          <w:rFonts w:ascii="Arial" w:eastAsia="Arial" w:hAnsi="Arial" w:cs="Arial"/>
          <w:bCs/>
          <w:sz w:val="20"/>
          <w:szCs w:val="20"/>
        </w:rPr>
        <w:t>Desestatização. Concessão de serviços de apoio à visitação, revitalização, modernização, operação e manutenção dos serviços turísticos no Parque Nacional de Jericoacoara/CE. Determinações. Recomendações. Retorno dos autos à unidade técnica para acompanhamento. Ciência.</w:t>
      </w:r>
    </w:p>
    <w:p w14:paraId="11D7BE6E" w14:textId="77777777" w:rsidR="00674104" w:rsidRDefault="00674104">
      <w:pPr>
        <w:spacing w:line="276" w:lineRule="auto"/>
        <w:jc w:val="both"/>
        <w:rPr>
          <w:rFonts w:ascii="Arial" w:eastAsia="Arial" w:hAnsi="Arial" w:cs="Arial"/>
          <w:sz w:val="20"/>
          <w:szCs w:val="20"/>
        </w:rPr>
      </w:pPr>
    </w:p>
    <w:p w14:paraId="1254AE67" w14:textId="7CB63C7B" w:rsidR="00613425" w:rsidRPr="00613425" w:rsidRDefault="00613425" w:rsidP="00613425">
      <w:pPr>
        <w:spacing w:line="276" w:lineRule="auto"/>
        <w:jc w:val="both"/>
        <w:rPr>
          <w:rFonts w:ascii="Arial" w:eastAsia="Arial" w:hAnsi="Arial" w:cs="Arial"/>
          <w:bCs/>
          <w:color w:val="000000"/>
          <w:sz w:val="20"/>
          <w:szCs w:val="20"/>
        </w:rPr>
      </w:pPr>
      <w:r w:rsidRPr="00613425">
        <w:rPr>
          <w:rFonts w:ascii="Arial" w:eastAsia="Arial" w:hAnsi="Arial" w:cs="Arial"/>
          <w:bCs/>
          <w:color w:val="000000"/>
          <w:sz w:val="20"/>
          <w:szCs w:val="20"/>
        </w:rPr>
        <w:t xml:space="preserve">2. Consulta. Município de </w:t>
      </w:r>
      <w:r>
        <w:rPr>
          <w:rFonts w:ascii="Arial" w:eastAsia="Arial" w:hAnsi="Arial" w:cs="Arial"/>
          <w:bCs/>
          <w:color w:val="000000"/>
          <w:sz w:val="20"/>
          <w:szCs w:val="20"/>
        </w:rPr>
        <w:t>P</w:t>
      </w:r>
      <w:r w:rsidRPr="00613425">
        <w:rPr>
          <w:rFonts w:ascii="Arial" w:eastAsia="Arial" w:hAnsi="Arial" w:cs="Arial"/>
          <w:bCs/>
          <w:color w:val="000000"/>
          <w:sz w:val="20"/>
          <w:szCs w:val="20"/>
        </w:rPr>
        <w:t xml:space="preserve">orecatu. 1. Não é possível a contratação direta de agentes comunitários de saúde e agentes de combate às endemias sem a prévia realização de processo seletivo público, ainda que no combate a surto epidêmico. 2. A contratação dos serviços dos agentes via terceirização por uma empresa contratada é uma medida excepcional que deve ocorrer somente nos casos de combate aos surtos epidêmicos devidamente comprovados, conforme estabelecido no art. 16 da </w:t>
      </w:r>
      <w:r>
        <w:rPr>
          <w:rFonts w:ascii="Arial" w:eastAsia="Arial" w:hAnsi="Arial" w:cs="Arial"/>
          <w:bCs/>
          <w:color w:val="000000"/>
          <w:sz w:val="20"/>
          <w:szCs w:val="20"/>
        </w:rPr>
        <w:t>L</w:t>
      </w:r>
      <w:r w:rsidRPr="00613425">
        <w:rPr>
          <w:rFonts w:ascii="Arial" w:eastAsia="Arial" w:hAnsi="Arial" w:cs="Arial"/>
          <w:bCs/>
          <w:color w:val="000000"/>
          <w:sz w:val="20"/>
          <w:szCs w:val="20"/>
        </w:rPr>
        <w:t xml:space="preserve">ei </w:t>
      </w:r>
      <w:r>
        <w:rPr>
          <w:rFonts w:ascii="Arial" w:eastAsia="Arial" w:hAnsi="Arial" w:cs="Arial"/>
          <w:bCs/>
          <w:color w:val="000000"/>
          <w:sz w:val="20"/>
          <w:szCs w:val="20"/>
        </w:rPr>
        <w:t>F</w:t>
      </w:r>
      <w:r w:rsidRPr="00613425">
        <w:rPr>
          <w:rFonts w:ascii="Arial" w:eastAsia="Arial" w:hAnsi="Arial" w:cs="Arial"/>
          <w:bCs/>
          <w:color w:val="000000"/>
          <w:sz w:val="20"/>
          <w:szCs w:val="20"/>
        </w:rPr>
        <w:t>ederal nº 11.350/2006. 3. Ainda que determinado município apresente índice de despesa total com pessoal superior a 95% do limite estabelecido pela lei de responsabilidade fiscal (</w:t>
      </w:r>
      <w:r>
        <w:rPr>
          <w:rFonts w:ascii="Arial" w:eastAsia="Arial" w:hAnsi="Arial" w:cs="Arial"/>
          <w:bCs/>
          <w:color w:val="000000"/>
          <w:sz w:val="20"/>
          <w:szCs w:val="20"/>
        </w:rPr>
        <w:t>LRF</w:t>
      </w:r>
      <w:r w:rsidRPr="00613425">
        <w:rPr>
          <w:rFonts w:ascii="Arial" w:eastAsia="Arial" w:hAnsi="Arial" w:cs="Arial"/>
          <w:bCs/>
          <w:color w:val="000000"/>
          <w:sz w:val="20"/>
          <w:szCs w:val="20"/>
        </w:rPr>
        <w:t xml:space="preserve">), será possível a admissão de agentes comunitários de saúde e de combate às endemias, por intermédio de processo seletivo público, no limite do valor repassado pela união nos termos do art. 198, §7º, da </w:t>
      </w:r>
      <w:r>
        <w:rPr>
          <w:rFonts w:ascii="Arial" w:eastAsia="Arial" w:hAnsi="Arial" w:cs="Arial"/>
          <w:bCs/>
          <w:color w:val="000000"/>
          <w:sz w:val="20"/>
          <w:szCs w:val="20"/>
        </w:rPr>
        <w:t>C</w:t>
      </w:r>
      <w:r w:rsidRPr="00613425">
        <w:rPr>
          <w:rFonts w:ascii="Arial" w:eastAsia="Arial" w:hAnsi="Arial" w:cs="Arial"/>
          <w:bCs/>
          <w:color w:val="000000"/>
          <w:sz w:val="20"/>
          <w:szCs w:val="20"/>
        </w:rPr>
        <w:t xml:space="preserve">onstituição </w:t>
      </w:r>
      <w:r>
        <w:rPr>
          <w:rFonts w:ascii="Arial" w:eastAsia="Arial" w:hAnsi="Arial" w:cs="Arial"/>
          <w:bCs/>
          <w:color w:val="000000"/>
          <w:sz w:val="20"/>
          <w:szCs w:val="20"/>
        </w:rPr>
        <w:t>F</w:t>
      </w:r>
      <w:r w:rsidRPr="00613425">
        <w:rPr>
          <w:rFonts w:ascii="Arial" w:eastAsia="Arial" w:hAnsi="Arial" w:cs="Arial"/>
          <w:bCs/>
          <w:color w:val="000000"/>
          <w:sz w:val="20"/>
          <w:szCs w:val="20"/>
        </w:rPr>
        <w:t xml:space="preserve">ederal, que não deve ser computado em sua receita corrente líquida, assim como as despesas com os agentes ressarcidas pela união não devem ser incluídas nas despesas de pessoal para o cálculo do limite. No entanto, não poderá realizar a concessão de vantagens, gratificações ou outros incentivos, em razão do disposto no art. 22, parágrafo único, inciso </w:t>
      </w:r>
      <w:r>
        <w:rPr>
          <w:rFonts w:ascii="Arial" w:eastAsia="Arial" w:hAnsi="Arial" w:cs="Arial"/>
          <w:bCs/>
          <w:color w:val="000000"/>
          <w:sz w:val="20"/>
          <w:szCs w:val="20"/>
        </w:rPr>
        <w:t>I</w:t>
      </w:r>
      <w:r w:rsidRPr="00613425">
        <w:rPr>
          <w:rFonts w:ascii="Arial" w:eastAsia="Arial" w:hAnsi="Arial" w:cs="Arial"/>
          <w:bCs/>
          <w:color w:val="000000"/>
          <w:sz w:val="20"/>
          <w:szCs w:val="20"/>
        </w:rPr>
        <w:t xml:space="preserve">, da </w:t>
      </w:r>
      <w:r>
        <w:rPr>
          <w:rFonts w:ascii="Arial" w:eastAsia="Arial" w:hAnsi="Arial" w:cs="Arial"/>
          <w:bCs/>
          <w:color w:val="000000"/>
          <w:sz w:val="20"/>
          <w:szCs w:val="20"/>
        </w:rPr>
        <w:t>LRF</w:t>
      </w:r>
      <w:r w:rsidRPr="00613425">
        <w:rPr>
          <w:rFonts w:ascii="Arial" w:eastAsia="Arial" w:hAnsi="Arial" w:cs="Arial"/>
          <w:bCs/>
          <w:color w:val="000000"/>
          <w:sz w:val="20"/>
          <w:szCs w:val="20"/>
        </w:rPr>
        <w:t xml:space="preserve">. </w:t>
      </w:r>
    </w:p>
    <w:p w14:paraId="578F4203" w14:textId="77777777" w:rsidR="00674104" w:rsidRDefault="00674104">
      <w:pPr>
        <w:spacing w:line="276" w:lineRule="auto"/>
        <w:jc w:val="both"/>
        <w:rPr>
          <w:rFonts w:ascii="Arial" w:eastAsia="Arial" w:hAnsi="Arial" w:cs="Arial"/>
          <w:sz w:val="20"/>
        </w:rPr>
      </w:pPr>
    </w:p>
    <w:p w14:paraId="6C56822C" w14:textId="49C73153" w:rsidR="00613425" w:rsidRPr="00613425" w:rsidRDefault="00613425" w:rsidP="00613425">
      <w:pPr>
        <w:spacing w:line="276" w:lineRule="auto"/>
        <w:jc w:val="both"/>
        <w:rPr>
          <w:rFonts w:ascii="Arial" w:eastAsia="Arial" w:hAnsi="Arial" w:cs="Arial"/>
          <w:bCs/>
          <w:sz w:val="20"/>
        </w:rPr>
      </w:pPr>
      <w:r w:rsidRPr="00613425">
        <w:rPr>
          <w:rFonts w:ascii="Arial" w:eastAsia="Arial" w:hAnsi="Arial" w:cs="Arial"/>
          <w:bCs/>
          <w:sz w:val="20"/>
        </w:rPr>
        <w:t>3</w:t>
      </w:r>
      <w:r w:rsidRPr="00613425">
        <w:rPr>
          <w:rFonts w:ascii="Arial" w:eastAsia="Arial" w:hAnsi="Arial" w:cs="Arial"/>
          <w:bCs/>
          <w:sz w:val="20"/>
        </w:rPr>
        <w:t xml:space="preserve">. Denúncia. Consórcio intermunicipal. Pregão presencial. Suposta irregularidade em cláusula </w:t>
      </w:r>
      <w:proofErr w:type="spellStart"/>
      <w:r w:rsidRPr="00613425">
        <w:rPr>
          <w:rFonts w:ascii="Arial" w:eastAsia="Arial" w:hAnsi="Arial" w:cs="Arial"/>
          <w:bCs/>
          <w:sz w:val="20"/>
        </w:rPr>
        <w:t>editalícia</w:t>
      </w:r>
      <w:proofErr w:type="spellEnd"/>
      <w:r w:rsidRPr="00613425">
        <w:rPr>
          <w:rFonts w:ascii="Arial" w:eastAsia="Arial" w:hAnsi="Arial" w:cs="Arial"/>
          <w:bCs/>
          <w:sz w:val="20"/>
        </w:rPr>
        <w:t>. Improcedência do apontamento. Extinção do processo com resolução do mérito. Arquivamento.</w:t>
      </w:r>
    </w:p>
    <w:p w14:paraId="29202E88" w14:textId="77777777" w:rsidR="00674104" w:rsidRDefault="00674104">
      <w:pPr>
        <w:spacing w:line="276" w:lineRule="auto"/>
        <w:jc w:val="both"/>
        <w:rPr>
          <w:rFonts w:ascii="Arial" w:eastAsia="Arial" w:hAnsi="Arial" w:cs="Arial"/>
          <w:sz w:val="20"/>
        </w:rPr>
      </w:pPr>
    </w:p>
    <w:p w14:paraId="3D4D5A84" w14:textId="174D9C9E" w:rsidR="00613425" w:rsidRPr="00613425" w:rsidRDefault="00613425" w:rsidP="00613425">
      <w:pPr>
        <w:spacing w:line="276" w:lineRule="auto"/>
        <w:jc w:val="both"/>
        <w:rPr>
          <w:rFonts w:ascii="Arial" w:eastAsia="Arial" w:hAnsi="Arial" w:cs="Arial"/>
          <w:sz w:val="20"/>
        </w:rPr>
      </w:pPr>
      <w:r w:rsidRPr="00613425">
        <w:rPr>
          <w:rFonts w:ascii="Arial" w:eastAsia="Arial" w:hAnsi="Arial" w:cs="Arial"/>
          <w:sz w:val="20"/>
        </w:rPr>
        <w:t xml:space="preserve">4. Constitucional. Tributário. Taxa de controle, acompanhamento e fiscalização das atividades de pesquisa, lavra, exploração e aproveitamento de recursos minerários - </w:t>
      </w:r>
      <w:r>
        <w:rPr>
          <w:rFonts w:ascii="Arial" w:eastAsia="Arial" w:hAnsi="Arial" w:cs="Arial"/>
          <w:sz w:val="20"/>
        </w:rPr>
        <w:t>TFRM</w:t>
      </w:r>
      <w:r w:rsidRPr="00613425">
        <w:rPr>
          <w:rFonts w:ascii="Arial" w:eastAsia="Arial" w:hAnsi="Arial" w:cs="Arial"/>
          <w:sz w:val="20"/>
        </w:rPr>
        <w:t xml:space="preserve">. Lei n.º 1.613/2011. Estado do </w:t>
      </w:r>
      <w:r>
        <w:rPr>
          <w:rFonts w:ascii="Arial" w:eastAsia="Arial" w:hAnsi="Arial" w:cs="Arial"/>
          <w:sz w:val="20"/>
        </w:rPr>
        <w:t>A</w:t>
      </w:r>
      <w:r w:rsidRPr="00613425">
        <w:rPr>
          <w:rFonts w:ascii="Arial" w:eastAsia="Arial" w:hAnsi="Arial" w:cs="Arial"/>
          <w:sz w:val="20"/>
        </w:rPr>
        <w:t xml:space="preserve">mapá. Modificação legislativa que não altera a substância da norma. </w:t>
      </w:r>
      <w:r w:rsidRPr="00613425">
        <w:rPr>
          <w:rFonts w:ascii="Arial" w:eastAsia="Arial" w:hAnsi="Arial" w:cs="Arial"/>
          <w:sz w:val="20"/>
        </w:rPr>
        <w:lastRenderedPageBreak/>
        <w:t xml:space="preserve">Manutenção do objeto da ação direta de inconstitucionalidade. Taxa instituída em razão do poder de polícia fiscalizatório. Inteligência do art. 23, </w:t>
      </w:r>
      <w:r>
        <w:rPr>
          <w:rFonts w:ascii="Arial" w:eastAsia="Arial" w:hAnsi="Arial" w:cs="Arial"/>
          <w:sz w:val="20"/>
        </w:rPr>
        <w:t>XI</w:t>
      </w:r>
      <w:r w:rsidRPr="00613425">
        <w:rPr>
          <w:rFonts w:ascii="Arial" w:eastAsia="Arial" w:hAnsi="Arial" w:cs="Arial"/>
          <w:sz w:val="20"/>
        </w:rPr>
        <w:t xml:space="preserve">, da </w:t>
      </w:r>
      <w:r>
        <w:rPr>
          <w:rFonts w:ascii="Arial" w:eastAsia="Arial" w:hAnsi="Arial" w:cs="Arial"/>
          <w:sz w:val="20"/>
        </w:rPr>
        <w:t>CRFB</w:t>
      </w:r>
      <w:r w:rsidRPr="00613425">
        <w:rPr>
          <w:rFonts w:ascii="Arial" w:eastAsia="Arial" w:hAnsi="Arial" w:cs="Arial"/>
          <w:sz w:val="20"/>
        </w:rPr>
        <w:t xml:space="preserve">/88. É possível aos estados exercer a atividade de poder de polícia em matéria de fiscalização das atividades de pesquisa e exploração de recursos minerais. Ação </w:t>
      </w:r>
      <w:r>
        <w:rPr>
          <w:rFonts w:ascii="Arial" w:eastAsia="Arial" w:hAnsi="Arial" w:cs="Arial"/>
          <w:sz w:val="20"/>
        </w:rPr>
        <w:t>D</w:t>
      </w:r>
      <w:r w:rsidRPr="00613425">
        <w:rPr>
          <w:rFonts w:ascii="Arial" w:eastAsia="Arial" w:hAnsi="Arial" w:cs="Arial"/>
          <w:sz w:val="20"/>
        </w:rPr>
        <w:t xml:space="preserve">ireta de </w:t>
      </w:r>
      <w:r>
        <w:rPr>
          <w:rFonts w:ascii="Arial" w:eastAsia="Arial" w:hAnsi="Arial" w:cs="Arial"/>
          <w:sz w:val="20"/>
        </w:rPr>
        <w:t>I</w:t>
      </w:r>
      <w:r w:rsidRPr="00613425">
        <w:rPr>
          <w:rFonts w:ascii="Arial" w:eastAsia="Arial" w:hAnsi="Arial" w:cs="Arial"/>
          <w:sz w:val="20"/>
        </w:rPr>
        <w:t>nconstitucionalidade julgada improcedente.</w:t>
      </w:r>
    </w:p>
    <w:p w14:paraId="4113E75B" w14:textId="77777777" w:rsidR="00674104" w:rsidRDefault="00674104">
      <w:pPr>
        <w:spacing w:line="276" w:lineRule="auto"/>
        <w:jc w:val="both"/>
        <w:rPr>
          <w:rFonts w:ascii="Arial" w:eastAsia="Arial" w:hAnsi="Arial" w:cs="Arial"/>
          <w:sz w:val="20"/>
        </w:rPr>
      </w:pPr>
    </w:p>
    <w:p w14:paraId="073A261E" w14:textId="34654D10" w:rsidR="00613425" w:rsidRPr="00613425" w:rsidRDefault="00613425" w:rsidP="00613425">
      <w:pPr>
        <w:spacing w:line="276" w:lineRule="auto"/>
        <w:jc w:val="both"/>
        <w:rPr>
          <w:rFonts w:ascii="Arial" w:eastAsia="Arial" w:hAnsi="Arial" w:cs="Arial"/>
          <w:color w:val="000000"/>
          <w:sz w:val="20"/>
          <w:szCs w:val="20"/>
        </w:rPr>
      </w:pPr>
      <w:r w:rsidRPr="00613425">
        <w:rPr>
          <w:rFonts w:ascii="Arial" w:eastAsia="Arial" w:hAnsi="Arial" w:cs="Arial"/>
          <w:color w:val="000000"/>
          <w:sz w:val="20"/>
          <w:szCs w:val="20"/>
        </w:rPr>
        <w:t xml:space="preserve">5. Agravo </w:t>
      </w:r>
      <w:r>
        <w:rPr>
          <w:rFonts w:ascii="Arial" w:eastAsia="Arial" w:hAnsi="Arial" w:cs="Arial"/>
          <w:color w:val="000000"/>
          <w:sz w:val="20"/>
          <w:szCs w:val="20"/>
        </w:rPr>
        <w:t>R</w:t>
      </w:r>
      <w:r w:rsidRPr="00613425">
        <w:rPr>
          <w:rFonts w:ascii="Arial" w:eastAsia="Arial" w:hAnsi="Arial" w:cs="Arial"/>
          <w:color w:val="000000"/>
          <w:sz w:val="20"/>
          <w:szCs w:val="20"/>
        </w:rPr>
        <w:t xml:space="preserve">egimental no </w:t>
      </w:r>
      <w:r>
        <w:rPr>
          <w:rFonts w:ascii="Arial" w:eastAsia="Arial" w:hAnsi="Arial" w:cs="Arial"/>
          <w:color w:val="000000"/>
          <w:sz w:val="20"/>
          <w:szCs w:val="20"/>
        </w:rPr>
        <w:t>R</w:t>
      </w:r>
      <w:r w:rsidRPr="00613425">
        <w:rPr>
          <w:rFonts w:ascii="Arial" w:eastAsia="Arial" w:hAnsi="Arial" w:cs="Arial"/>
          <w:color w:val="000000"/>
          <w:sz w:val="20"/>
          <w:szCs w:val="20"/>
        </w:rPr>
        <w:t xml:space="preserve">ecurso </w:t>
      </w:r>
      <w:r>
        <w:rPr>
          <w:rFonts w:ascii="Arial" w:eastAsia="Arial" w:hAnsi="Arial" w:cs="Arial"/>
          <w:color w:val="000000"/>
          <w:sz w:val="20"/>
          <w:szCs w:val="20"/>
        </w:rPr>
        <w:t>E</w:t>
      </w:r>
      <w:r w:rsidRPr="00613425">
        <w:rPr>
          <w:rFonts w:ascii="Arial" w:eastAsia="Arial" w:hAnsi="Arial" w:cs="Arial"/>
          <w:color w:val="000000"/>
          <w:sz w:val="20"/>
          <w:szCs w:val="20"/>
        </w:rPr>
        <w:t xml:space="preserve">special. Pesca em local e período proibidos. Uso de petrechos não permitidos. Aplicação do princípio da insignificância. Impossibilidade. Agravo </w:t>
      </w:r>
      <w:r>
        <w:rPr>
          <w:rFonts w:ascii="Arial" w:eastAsia="Arial" w:hAnsi="Arial" w:cs="Arial"/>
          <w:color w:val="000000"/>
          <w:sz w:val="20"/>
          <w:szCs w:val="20"/>
        </w:rPr>
        <w:t>R</w:t>
      </w:r>
      <w:r w:rsidRPr="00613425">
        <w:rPr>
          <w:rFonts w:ascii="Arial" w:eastAsia="Arial" w:hAnsi="Arial" w:cs="Arial"/>
          <w:color w:val="000000"/>
          <w:sz w:val="20"/>
          <w:szCs w:val="20"/>
        </w:rPr>
        <w:t>egimental não provido.</w:t>
      </w:r>
    </w:p>
    <w:p w14:paraId="24DBAAFB" w14:textId="77777777" w:rsidR="00674104" w:rsidRDefault="00674104">
      <w:pPr>
        <w:spacing w:line="276" w:lineRule="auto"/>
        <w:jc w:val="both"/>
        <w:rPr>
          <w:rFonts w:ascii="Arial" w:eastAsia="Arial" w:hAnsi="Arial" w:cs="Arial"/>
          <w:bCs/>
          <w:sz w:val="20"/>
          <w:szCs w:val="20"/>
        </w:rPr>
      </w:pPr>
    </w:p>
    <w:p w14:paraId="1A3B1EBA" w14:textId="45A3612C"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69167A3E" w14:textId="77777777" w:rsidR="00674104" w:rsidRDefault="00674104">
      <w:pPr>
        <w:spacing w:line="276" w:lineRule="auto"/>
        <w:jc w:val="both"/>
        <w:rPr>
          <w:rFonts w:ascii="Arial" w:eastAsia="Arial" w:hAnsi="Arial" w:cs="Arial"/>
          <w:sz w:val="20"/>
          <w:szCs w:val="20"/>
        </w:rPr>
      </w:pPr>
    </w:p>
    <w:p w14:paraId="50EB5E32" w14:textId="6229C63F" w:rsidR="00F332E4" w:rsidRDefault="00613425" w:rsidP="00F332E4">
      <w:pPr>
        <w:spacing w:after="120" w:line="276" w:lineRule="auto"/>
        <w:jc w:val="both"/>
        <w:rPr>
          <w:rFonts w:ascii="Arial" w:eastAsia="Arial" w:hAnsi="Arial" w:cs="Arial"/>
          <w:b/>
          <w:sz w:val="20"/>
          <w:szCs w:val="20"/>
        </w:rPr>
      </w:pPr>
      <w:r>
        <w:rPr>
          <w:rFonts w:ascii="Arial" w:eastAsia="Arial" w:hAnsi="Arial" w:cs="Arial"/>
          <w:b/>
          <w:sz w:val="20"/>
          <w:szCs w:val="20"/>
        </w:rPr>
        <w:t>1</w:t>
      </w:r>
      <w:r w:rsidR="009204AA">
        <w:rPr>
          <w:rFonts w:ascii="Arial" w:eastAsia="Arial" w:hAnsi="Arial" w:cs="Arial"/>
          <w:b/>
          <w:sz w:val="20"/>
          <w:szCs w:val="20"/>
        </w:rPr>
        <w:t xml:space="preserve">. </w:t>
      </w:r>
      <w:r w:rsidR="00F332E4" w:rsidRPr="00F332E4">
        <w:rPr>
          <w:rFonts w:ascii="Arial" w:eastAsia="Arial" w:hAnsi="Arial" w:cs="Arial"/>
          <w:b/>
          <w:sz w:val="20"/>
          <w:szCs w:val="20"/>
        </w:rPr>
        <w:t>DESESTATIZAÇÃO. CONCESSÃO DE SERVIÇOS DE APOIO À VISITAÇÃO, REVITALIZAÇÃO, MODERNIZAÇÃO, OPERAÇÃO E MANUTENÇÃO DOS SERVIÇOS TURÍSTICOS NO PARQUE NACIONAL DE JERICOACOARA/CE. DETERMINAÇÕES. RECOMENDAÇÕES. RETORNO DOS AUTOS À UNIDADE TÉCNICA PARA ACOMPANHAMENTO. CIÊNCIA.</w:t>
      </w:r>
    </w:p>
    <w:p w14:paraId="6C0E05A8" w14:textId="4C2A4CDD" w:rsidR="00F332E4" w:rsidRPr="00F332E4" w:rsidRDefault="00F332E4" w:rsidP="00F332E4">
      <w:pPr>
        <w:spacing w:after="120" w:line="276" w:lineRule="auto"/>
        <w:jc w:val="both"/>
        <w:rPr>
          <w:rFonts w:ascii="Arial" w:eastAsia="Arial" w:hAnsi="Arial" w:cs="Arial"/>
          <w:bCs/>
          <w:sz w:val="20"/>
          <w:szCs w:val="20"/>
        </w:rPr>
      </w:pPr>
      <w:r w:rsidRPr="00F332E4">
        <w:rPr>
          <w:rFonts w:ascii="Arial" w:eastAsia="Arial" w:hAnsi="Arial" w:cs="Arial"/>
          <w:bCs/>
          <w:sz w:val="20"/>
          <w:szCs w:val="20"/>
        </w:rPr>
        <w:t>(...)</w:t>
      </w:r>
    </w:p>
    <w:p w14:paraId="27B5104F"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9.1. considerar, com fundamento no art. 1º da Instrução Normativa 81/2018, dado o escopo definido para a análise da presente desestatização, que o Instituto Chico Mendes de Conservação da Biodiversidade (</w:t>
      </w:r>
      <w:proofErr w:type="spellStart"/>
      <w:r w:rsidRPr="0048296C">
        <w:rPr>
          <w:rFonts w:eastAsia="Arial"/>
          <w:bCs/>
          <w:sz w:val="20"/>
          <w:szCs w:val="20"/>
        </w:rPr>
        <w:t>ICMBio</w:t>
      </w:r>
      <w:proofErr w:type="spellEnd"/>
      <w:r w:rsidRPr="0048296C">
        <w:rPr>
          <w:rFonts w:eastAsia="Arial"/>
          <w:bCs/>
          <w:sz w:val="20"/>
          <w:szCs w:val="20"/>
        </w:rPr>
        <w:t>) atendeu, com ressalvas, aos aspectos de completude e suficiência técnica dos elementos apresentados por meio do acervo documental inerente à desestatização do Parque Nacional de Jericoacoara;</w:t>
      </w:r>
    </w:p>
    <w:p w14:paraId="683F7C0A"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 determinar ao Ministério do Meio Ambiente (MMA), ao Instituto Chico Mendes de Conservação da Biodiversidade (</w:t>
      </w:r>
      <w:proofErr w:type="spellStart"/>
      <w:r w:rsidRPr="0048296C">
        <w:rPr>
          <w:rFonts w:eastAsia="Arial"/>
          <w:bCs/>
          <w:sz w:val="20"/>
          <w:szCs w:val="20"/>
        </w:rPr>
        <w:t>ICMBio</w:t>
      </w:r>
      <w:proofErr w:type="spellEnd"/>
      <w:r w:rsidRPr="0048296C">
        <w:rPr>
          <w:rFonts w:eastAsia="Arial"/>
          <w:bCs/>
          <w:sz w:val="20"/>
          <w:szCs w:val="20"/>
        </w:rPr>
        <w:t>) e à Secretaria Especial do Programa de Parcerias de Investimento (SPPI), com fundamento no art. 4º, inciso II, da Resolução 315/2020, que, até a data de publicação do edital da concessão de prestação de serviços de apoio à visitação, revitalização, modernização, operação e manutenção dos serviços turísticos no Parque Nacional de Jericoacoara:</w:t>
      </w:r>
    </w:p>
    <w:p w14:paraId="66868790"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9.2.1. insiram, na documentação a ser disponibilizada aos interessados em participar do processo licitatório, informações sobre as questões fundiárias que envolvem grande parte da área do parque, bem como as informações eventualmente consideradas necessárias para evidenciar o baixo risco de impacto relevante dessas questões no processo de concessão;</w:t>
      </w:r>
    </w:p>
    <w:p w14:paraId="520B89C9"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9.2.2. excluam, com a devida readequação dos valores do CAPEX do projeto de concessão, o item “pavimentação com asfalto”, previsto como sendo um dos itens de investimento na planilha do modelo econômico-financeiro;</w:t>
      </w:r>
    </w:p>
    <w:p w14:paraId="1FB1C222"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9.2.3. revejam e corrijam na minuta de contrato e em seus anexos os seguintes erros de forma e outros porventura identificados na revisão a ser realizada:</w:t>
      </w:r>
    </w:p>
    <w:p w14:paraId="01714B3A"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9.2.3.1. remissão a fontes de referência não encontradas em subcláusulas da minuta de contrato;</w:t>
      </w:r>
    </w:p>
    <w:p w14:paraId="725F9E60"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9.2.3.2. inconsistência entre os valores percentuais da área da concessão em relação à área do PNJ, descritos nos itens 1.1 e 2.2 do anexo A da minuta de contrato - Caracterização do Parque Nacional de Jericoacoara;</w:t>
      </w:r>
    </w:p>
    <w:p w14:paraId="594BAC74"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9.2.3.3. inconsistência entre os prazos e títulos das intervenções obrigatórias descritos nos itens 6.4 e 10.1 (tabela) do anexo B da minuta de contrato – caderno de encargos;</w:t>
      </w:r>
    </w:p>
    <w:p w14:paraId="4723D2F4"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lastRenderedPageBreak/>
        <w:t>9.3. recomendar ao Ministério do Meio Ambiente (MMA), ao Instituto Chico Mendes de Conservação da Biodiversidade (</w:t>
      </w:r>
      <w:proofErr w:type="spellStart"/>
      <w:r w:rsidRPr="0048296C">
        <w:rPr>
          <w:rFonts w:eastAsia="Arial"/>
          <w:bCs/>
          <w:sz w:val="20"/>
          <w:szCs w:val="20"/>
        </w:rPr>
        <w:t>ICMBio</w:t>
      </w:r>
      <w:proofErr w:type="spellEnd"/>
      <w:r w:rsidRPr="0048296C">
        <w:rPr>
          <w:rFonts w:eastAsia="Arial"/>
          <w:bCs/>
          <w:sz w:val="20"/>
          <w:szCs w:val="20"/>
        </w:rPr>
        <w:t>) e à Secretaria Especial do Programa de Parcerias de Investimento (SPPI), com fundamento no art. 11 da Resolução 315/2020, que, até a data de publicação do edital da concessão de prestação de serviços de apoio à visitação, revitalização, modernização, operação e manutenção dos serviços turísticos no Parque Nacional de Jericoacoara:</w:t>
      </w:r>
    </w:p>
    <w:p w14:paraId="4460BB4C"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9.3.1. incluam, na minuta de contrato, um item específico que trate da alocação dos riscos relativos às questões fundiárias que envolvem grande parte da área do parque;</w:t>
      </w:r>
    </w:p>
    <w:p w14:paraId="4DFE3896"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9.3.2. adotem as medidas necessárias com vistas a fazer constar prazos máximos de execução dos investimentos previstos nos itens 6.15, 6.16 e 6.18 do anexo B da minuta contratual (caderno de encargos);</w:t>
      </w:r>
    </w:p>
    <w:p w14:paraId="2CCDB480"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9.3.3. disponibilizem, aos interessados em participar do processo licitatório, documentação que contém esclarecimentos sobre as mudanças realizadas no modelo econômico-financeiro no âmbito do projeto de concessão dos serviços de apoio à visitação do parque;</w:t>
      </w:r>
    </w:p>
    <w:p w14:paraId="6A925C74"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9.3.4. disponibilizem, aos interessados em participar do processo licitatório, orçamento e projeto detalhados das intervenções previstas no caderno de encargos, inclusive especificações técnicas essenciais para a caracterização dos investimentos mínimos obrigatórios;</w:t>
      </w:r>
    </w:p>
    <w:p w14:paraId="0BF1B2B3" w14:textId="77777777" w:rsidR="0048296C" w:rsidRPr="0048296C" w:rsidRDefault="0048296C" w:rsidP="0048296C">
      <w:pPr>
        <w:pStyle w:val="Default"/>
        <w:spacing w:line="276" w:lineRule="auto"/>
        <w:jc w:val="both"/>
        <w:rPr>
          <w:rFonts w:eastAsia="Arial"/>
          <w:bCs/>
          <w:sz w:val="20"/>
          <w:szCs w:val="20"/>
        </w:rPr>
      </w:pPr>
      <w:r w:rsidRPr="0048296C">
        <w:rPr>
          <w:rFonts w:eastAsia="Arial"/>
          <w:bCs/>
          <w:sz w:val="20"/>
          <w:szCs w:val="20"/>
        </w:rPr>
        <w:t>9.4. dar ciência desta deliberação, bem como do relatório e do voto que a antecedem, ao Ministério do Meio Ambiente (MMA), ao Instituto Chico Mendes de Conservação da Biodiversidade (</w:t>
      </w:r>
      <w:proofErr w:type="spellStart"/>
      <w:r w:rsidRPr="0048296C">
        <w:rPr>
          <w:rFonts w:eastAsia="Arial"/>
          <w:bCs/>
          <w:sz w:val="20"/>
          <w:szCs w:val="20"/>
        </w:rPr>
        <w:t>ICMBio</w:t>
      </w:r>
      <w:proofErr w:type="spellEnd"/>
      <w:r w:rsidRPr="0048296C">
        <w:rPr>
          <w:rFonts w:eastAsia="Arial"/>
          <w:bCs/>
          <w:sz w:val="20"/>
          <w:szCs w:val="20"/>
        </w:rPr>
        <w:t xml:space="preserve">) e à Secretaria Especial do Programa de Parcerias de Investimentos (SPPI); e </w:t>
      </w:r>
    </w:p>
    <w:p w14:paraId="5261275C" w14:textId="3A95D7F5" w:rsidR="0048296C" w:rsidRDefault="0048296C" w:rsidP="0048296C">
      <w:pPr>
        <w:pStyle w:val="Default"/>
        <w:spacing w:after="120"/>
        <w:jc w:val="both"/>
        <w:rPr>
          <w:rFonts w:eastAsia="Arial"/>
          <w:bCs/>
          <w:sz w:val="20"/>
          <w:szCs w:val="20"/>
        </w:rPr>
      </w:pPr>
      <w:r w:rsidRPr="0048296C">
        <w:rPr>
          <w:rFonts w:eastAsia="Arial"/>
          <w:bCs/>
          <w:sz w:val="20"/>
          <w:szCs w:val="20"/>
        </w:rPr>
        <w:t>9.5. restituir os autos à Secretaria de Controle Externo da Agricultura e do Meio Ambiente e autorizar o monitoramento das deliberações que vierem a ser prolatadas.</w:t>
      </w:r>
    </w:p>
    <w:p w14:paraId="218A99CA" w14:textId="3D7AAFAC" w:rsidR="005D558B" w:rsidRPr="0048296C" w:rsidRDefault="005D558B" w:rsidP="0048296C">
      <w:pPr>
        <w:pStyle w:val="Default"/>
        <w:spacing w:after="120"/>
        <w:jc w:val="both"/>
        <w:rPr>
          <w:rFonts w:eastAsia="Arial"/>
          <w:bCs/>
          <w:sz w:val="20"/>
          <w:szCs w:val="20"/>
        </w:rPr>
      </w:pPr>
      <w:r>
        <w:rPr>
          <w:rFonts w:eastAsia="Arial"/>
          <w:bCs/>
          <w:sz w:val="20"/>
          <w:szCs w:val="20"/>
        </w:rPr>
        <w:t>(...)</w:t>
      </w:r>
    </w:p>
    <w:p w14:paraId="5FF443DE" w14:textId="51185D3C" w:rsidR="007A5AED" w:rsidRDefault="007A5AED" w:rsidP="009204AA">
      <w:pPr>
        <w:pStyle w:val="Default"/>
        <w:spacing w:after="240"/>
        <w:jc w:val="both"/>
        <w:rPr>
          <w:rFonts w:eastAsia="Arial"/>
          <w:sz w:val="20"/>
          <w:szCs w:val="20"/>
        </w:rPr>
      </w:pPr>
      <w:r w:rsidRPr="007A5AED">
        <w:rPr>
          <w:rFonts w:eastAsia="Arial"/>
          <w:sz w:val="20"/>
          <w:szCs w:val="20"/>
        </w:rPr>
        <w:t xml:space="preserve">(TCU, 010.212/2022-1, </w:t>
      </w:r>
      <w:hyperlink r:id="rId8" w:history="1">
        <w:r w:rsidRPr="007A5AED">
          <w:rPr>
            <w:rStyle w:val="Hyperlink"/>
            <w:rFonts w:eastAsia="Arial"/>
            <w:sz w:val="20"/>
            <w:szCs w:val="20"/>
          </w:rPr>
          <w:t>Acórdão n.º 2534/2022 – Plenário</w:t>
        </w:r>
      </w:hyperlink>
      <w:r w:rsidRPr="007A5AED">
        <w:rPr>
          <w:rFonts w:eastAsia="Arial"/>
          <w:sz w:val="20"/>
          <w:szCs w:val="20"/>
        </w:rPr>
        <w:t xml:space="preserve">, Rel. </w:t>
      </w:r>
      <w:r w:rsidRPr="0067269E">
        <w:rPr>
          <w:rFonts w:eastAsia="Arial"/>
          <w:sz w:val="20"/>
          <w:szCs w:val="20"/>
        </w:rPr>
        <w:t xml:space="preserve">Ministro </w:t>
      </w:r>
      <w:r>
        <w:rPr>
          <w:rFonts w:eastAsia="Arial"/>
          <w:sz w:val="20"/>
          <w:szCs w:val="20"/>
        </w:rPr>
        <w:t xml:space="preserve">Benjamin </w:t>
      </w:r>
      <w:proofErr w:type="spellStart"/>
      <w:r>
        <w:rPr>
          <w:rFonts w:eastAsia="Arial"/>
          <w:sz w:val="20"/>
          <w:szCs w:val="20"/>
        </w:rPr>
        <w:t>Zymler</w:t>
      </w:r>
      <w:proofErr w:type="spellEnd"/>
      <w:r w:rsidRPr="0067269E">
        <w:rPr>
          <w:rFonts w:eastAsia="Arial"/>
          <w:sz w:val="20"/>
          <w:szCs w:val="20"/>
        </w:rPr>
        <w:t xml:space="preserve">, </w:t>
      </w:r>
      <w:r>
        <w:rPr>
          <w:rFonts w:eastAsia="Arial"/>
          <w:sz w:val="20"/>
          <w:szCs w:val="20"/>
        </w:rPr>
        <w:t>Plenário</w:t>
      </w:r>
      <w:r w:rsidRPr="0067269E">
        <w:rPr>
          <w:rFonts w:eastAsia="Arial"/>
          <w:sz w:val="20"/>
          <w:szCs w:val="20"/>
        </w:rPr>
        <w:t xml:space="preserve">, julgado em </w:t>
      </w:r>
      <w:r>
        <w:rPr>
          <w:rFonts w:eastAsia="Arial"/>
          <w:sz w:val="20"/>
          <w:szCs w:val="20"/>
        </w:rPr>
        <w:t>23</w:t>
      </w:r>
      <w:r w:rsidRPr="0067269E">
        <w:rPr>
          <w:rFonts w:eastAsia="Arial"/>
          <w:sz w:val="20"/>
          <w:szCs w:val="20"/>
        </w:rPr>
        <w:t>/11/2022)</w:t>
      </w:r>
    </w:p>
    <w:p w14:paraId="551DEDE1"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1002E7E9" w14:textId="77777777" w:rsidR="007B66F3" w:rsidRPr="007B66F3" w:rsidRDefault="007B66F3" w:rsidP="007B66F3">
      <w:pPr>
        <w:spacing w:after="120"/>
        <w:jc w:val="both"/>
        <w:rPr>
          <w:rFonts w:ascii="Arial" w:eastAsia="Arial" w:hAnsi="Arial" w:cs="Arial"/>
          <w:bCs/>
          <w:sz w:val="20"/>
        </w:rPr>
      </w:pPr>
    </w:p>
    <w:p w14:paraId="27EE6B67" w14:textId="2ACC30E2" w:rsidR="00674104" w:rsidRPr="00732D1C" w:rsidRDefault="00613425" w:rsidP="00732D1C">
      <w:pPr>
        <w:spacing w:after="120"/>
        <w:jc w:val="both"/>
        <w:rPr>
          <w:rFonts w:ascii="Arial" w:eastAsia="Arial" w:hAnsi="Arial" w:cs="Arial"/>
          <w:b/>
          <w:sz w:val="20"/>
          <w:szCs w:val="20"/>
        </w:rPr>
      </w:pPr>
      <w:r>
        <w:rPr>
          <w:rFonts w:ascii="Arial" w:eastAsia="Arial" w:hAnsi="Arial" w:cs="Arial"/>
          <w:b/>
          <w:sz w:val="20"/>
        </w:rPr>
        <w:t>2</w:t>
      </w:r>
      <w:r w:rsidR="004E74A0">
        <w:rPr>
          <w:rFonts w:ascii="Arial" w:eastAsia="Arial" w:hAnsi="Arial" w:cs="Arial"/>
          <w:b/>
          <w:sz w:val="20"/>
        </w:rPr>
        <w:t xml:space="preserve">. </w:t>
      </w:r>
      <w:r w:rsidR="00732D1C" w:rsidRPr="00732D1C">
        <w:rPr>
          <w:rFonts w:ascii="Arial" w:eastAsia="Arial" w:hAnsi="Arial" w:cs="Arial"/>
          <w:b/>
          <w:sz w:val="20"/>
        </w:rPr>
        <w:t xml:space="preserve">CONSULTA. MUNICÍPIO DE PORECATU. 1. NÃO É POSSÍVEL A CONTRATAÇÃO DIRETA DE AGENTES COMUNITÁRIOS DE SAÚDE E AGENTES DE COMBATE ÀS ENDEMIAS SEM A PRÉVIA REALIZAÇÃO DE PROCESSO SELETIVO PÚBLICO, AINDA QUE NO COMBATE A SURTO EPIDÊMICO. 2. A CONTRATAÇÃO DOS SERVIÇOS DOS AGENTES VIA TERCEIRIZAÇÃO POR UMA EMPRESA CONTRATADA É UMA MEDIDA EXCEPCIONAL QUE DEVE OCORRER SOMENTE NOS CASOS DE COMBATE AOS SURTOS EPIDÊMICOS DEVIDAMENTE COMPROVADOS, CONFORME ESTABELECIDO NO ART. 16 DA LEI FEDERAL Nº 11.350/2006. 3. AINDA QUE DETERMINADO MUNICÍPIO APRESENTE ÍNDICE DE DESPESA TOTAL COM PESSOAL SUPERIOR A 95% DO LIMITE ESTABELECIDO PELA LEI DE RESPONSABILIDADE FISCAL (LRF), SERÁ POSSÍVEL A ADMISSÃO DE AGENTES COMUNITÁRIOS DE SAÚDE E DE COMBATE ÀS ENDEMIAS, POR INTERMÉDIO DE PROCESSO SELETIVO PÚBLICO, NO LIMITE DO VALOR REPASSADO PELA UNIÃO NOS TERMOS DO ART. 198, §7º, DA CONSTITUIÇÃO FEDERAL, QUE NÃO DEVE SER COMPUTADO EM SUA RECEITA CORRENTE LÍQUIDA, ASSIM COMO AS DESPESAS COM OS AGENTES RESSARCIDAS PELA UNIÃO NÃO DEVEM SER INCLUÍDAS NAS DESPESAS DE PESSOAL PARA O CÁLCULO DO LIMITE. NO ENTANTO, NÃO PODERÁ REALIZAR A </w:t>
      </w:r>
      <w:r w:rsidR="00732D1C" w:rsidRPr="00732D1C">
        <w:rPr>
          <w:rFonts w:ascii="Arial" w:eastAsia="Arial" w:hAnsi="Arial" w:cs="Arial"/>
          <w:b/>
          <w:sz w:val="20"/>
        </w:rPr>
        <w:lastRenderedPageBreak/>
        <w:t>CONCESSÃO DE VANTAGENS, GRATIFICAÇÕES OU OUTROS INCENTIVOS, EM RAZÃO DO DISPOSTO NO ART. 22, PARÁGRAFO ÚNICO, INCISO I, DA LRF.</w:t>
      </w:r>
      <w:r w:rsidR="00732D1C">
        <w:rPr>
          <w:rFonts w:ascii="Arial" w:eastAsia="Arial" w:hAnsi="Arial" w:cs="Arial"/>
          <w:b/>
          <w:sz w:val="20"/>
        </w:rPr>
        <w:t xml:space="preserve"> </w:t>
      </w:r>
    </w:p>
    <w:p w14:paraId="7CF8233B" w14:textId="1FED1346" w:rsidR="008A36CA" w:rsidRDefault="00732D1C" w:rsidP="00613425">
      <w:pPr>
        <w:spacing w:line="276" w:lineRule="auto"/>
        <w:jc w:val="both"/>
        <w:rPr>
          <w:rFonts w:ascii="Arial" w:eastAsia="Arial" w:hAnsi="Arial" w:cs="Arial"/>
          <w:sz w:val="20"/>
          <w:szCs w:val="20"/>
        </w:rPr>
      </w:pPr>
      <w:r>
        <w:rPr>
          <w:rFonts w:ascii="Arial" w:eastAsia="Arial" w:hAnsi="Arial" w:cs="Arial"/>
          <w:sz w:val="20"/>
          <w:szCs w:val="20"/>
        </w:rPr>
        <w:t>(TCEPR, Processo n</w:t>
      </w:r>
      <w:r w:rsidR="004E74A0">
        <w:rPr>
          <w:rFonts w:ascii="Arial" w:eastAsia="Arial" w:hAnsi="Arial" w:cs="Arial"/>
          <w:sz w:val="20"/>
          <w:szCs w:val="20"/>
        </w:rPr>
        <w:t>.</w:t>
      </w:r>
      <w:r>
        <w:rPr>
          <w:rFonts w:ascii="Arial" w:eastAsia="Arial" w:hAnsi="Arial" w:cs="Arial"/>
          <w:sz w:val="20"/>
          <w:szCs w:val="20"/>
        </w:rPr>
        <w:t xml:space="preserve">º </w:t>
      </w:r>
      <w:r w:rsidR="004E74A0">
        <w:rPr>
          <w:rFonts w:ascii="Arial" w:eastAsia="Arial" w:hAnsi="Arial" w:cs="Arial"/>
          <w:sz w:val="20"/>
        </w:rPr>
        <w:t>694257/21</w:t>
      </w:r>
      <w:r>
        <w:rPr>
          <w:rFonts w:ascii="Arial" w:eastAsia="Arial" w:hAnsi="Arial" w:cs="Arial"/>
          <w:sz w:val="20"/>
        </w:rPr>
        <w:t xml:space="preserve">. </w:t>
      </w:r>
      <w:hyperlink r:id="rId9" w:history="1">
        <w:r w:rsidRPr="004E74A0">
          <w:rPr>
            <w:rStyle w:val="Hyperlink"/>
            <w:rFonts w:ascii="Arial" w:eastAsia="Arial" w:hAnsi="Arial" w:cs="Arial"/>
            <w:sz w:val="20"/>
            <w:szCs w:val="20"/>
          </w:rPr>
          <w:t>Acórdão n</w:t>
        </w:r>
        <w:r w:rsidR="004E74A0" w:rsidRPr="004E74A0">
          <w:rPr>
            <w:rStyle w:val="Hyperlink"/>
            <w:rFonts w:ascii="Arial" w:eastAsia="Arial" w:hAnsi="Arial" w:cs="Arial"/>
            <w:sz w:val="20"/>
            <w:szCs w:val="20"/>
          </w:rPr>
          <w:t>.</w:t>
        </w:r>
        <w:r w:rsidRPr="004E74A0">
          <w:rPr>
            <w:rStyle w:val="Hyperlink"/>
            <w:rFonts w:ascii="Arial" w:eastAsia="Arial" w:hAnsi="Arial" w:cs="Arial"/>
            <w:sz w:val="20"/>
            <w:szCs w:val="20"/>
          </w:rPr>
          <w:t xml:space="preserve">º </w:t>
        </w:r>
        <w:r w:rsidR="004E74A0" w:rsidRPr="004E74A0">
          <w:rPr>
            <w:rStyle w:val="Hyperlink"/>
            <w:rFonts w:ascii="Arial" w:eastAsia="Arial" w:hAnsi="Arial" w:cs="Arial"/>
            <w:sz w:val="20"/>
          </w:rPr>
          <w:t>2240</w:t>
        </w:r>
        <w:r w:rsidRPr="004E74A0">
          <w:rPr>
            <w:rStyle w:val="Hyperlink"/>
            <w:rFonts w:ascii="Arial" w:eastAsia="Arial" w:hAnsi="Arial" w:cs="Arial"/>
            <w:sz w:val="20"/>
          </w:rPr>
          <w:t>/22 - Tribunal Pleno</w:t>
        </w:r>
      </w:hyperlink>
      <w:r>
        <w:rPr>
          <w:rFonts w:ascii="Arial" w:eastAsia="Arial" w:hAnsi="Arial" w:cs="Arial"/>
          <w:sz w:val="20"/>
          <w:szCs w:val="20"/>
        </w:rPr>
        <w:t>. Rel</w:t>
      </w:r>
      <w:r w:rsidR="004E74A0">
        <w:rPr>
          <w:rFonts w:ascii="Arial" w:eastAsia="Arial" w:hAnsi="Arial" w:cs="Arial"/>
          <w:sz w:val="20"/>
          <w:szCs w:val="20"/>
        </w:rPr>
        <w:t>. Auditor Tiago Alvarez Pedroso</w:t>
      </w:r>
      <w:r w:rsidR="004E74A0">
        <w:rPr>
          <w:rFonts w:ascii="Arial" w:eastAsia="Arial" w:hAnsi="Arial" w:cs="Arial"/>
          <w:sz w:val="20"/>
        </w:rPr>
        <w:t>, julgado em 26/09/2022, publicado em 06/10/2022)</w:t>
      </w:r>
    </w:p>
    <w:p w14:paraId="650917C1" w14:textId="77777777" w:rsidR="00613425" w:rsidRPr="00613425" w:rsidRDefault="00613425" w:rsidP="00613425">
      <w:pPr>
        <w:spacing w:line="276" w:lineRule="auto"/>
        <w:jc w:val="both"/>
        <w:rPr>
          <w:rFonts w:ascii="Arial" w:eastAsia="Arial" w:hAnsi="Arial" w:cs="Arial"/>
          <w:sz w:val="20"/>
          <w:szCs w:val="20"/>
        </w:rPr>
      </w:pPr>
    </w:p>
    <w:p w14:paraId="0150C813" w14:textId="1E354009" w:rsidR="008A36CA" w:rsidRPr="008A36CA" w:rsidRDefault="008A36CA" w:rsidP="008A36CA">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TRIBUNAL DE CONTAS DO ESTADO DE MINAS GERAIS</w:t>
      </w:r>
    </w:p>
    <w:p w14:paraId="4D108FE9" w14:textId="5937E93F" w:rsidR="008963EF" w:rsidRPr="008963EF" w:rsidRDefault="00613425" w:rsidP="008A36CA">
      <w:pPr>
        <w:spacing w:before="240"/>
        <w:jc w:val="both"/>
        <w:rPr>
          <w:rFonts w:ascii="Arial" w:eastAsia="Arial" w:hAnsi="Arial" w:cs="Arial"/>
          <w:b/>
          <w:sz w:val="20"/>
        </w:rPr>
      </w:pPr>
      <w:r>
        <w:rPr>
          <w:rFonts w:ascii="Arial" w:eastAsia="Arial" w:hAnsi="Arial" w:cs="Arial"/>
          <w:b/>
          <w:sz w:val="20"/>
        </w:rPr>
        <w:t>3</w:t>
      </w:r>
      <w:r w:rsidR="008963EF" w:rsidRPr="008963EF">
        <w:rPr>
          <w:rFonts w:ascii="Arial" w:eastAsia="Arial" w:hAnsi="Arial" w:cs="Arial"/>
          <w:b/>
          <w:sz w:val="20"/>
        </w:rPr>
        <w:t>. DENÚNCIA. CONSÓRCIO INTERMUNICIPAL. PREGÃO PRESENCIAL. SUPOSTA IRREGULARIDADE EM CLÁUSULA EDITALÍCIA. IMPROCEDÊNCIA DO APONTAMENTO. EXTINÇÃO DO PROCESSO COM RESOLUÇÃO DO MÉRITO. ARQUIVAMENTO.</w:t>
      </w:r>
    </w:p>
    <w:p w14:paraId="29E269EB" w14:textId="77777777" w:rsidR="008963EF" w:rsidRDefault="008963EF" w:rsidP="00CC1302">
      <w:pPr>
        <w:spacing w:before="120"/>
        <w:jc w:val="both"/>
        <w:rPr>
          <w:rFonts w:ascii="Arial" w:eastAsia="Arial" w:hAnsi="Arial" w:cs="Arial"/>
          <w:bCs/>
          <w:sz w:val="20"/>
        </w:rPr>
      </w:pPr>
      <w:r w:rsidRPr="008963EF">
        <w:rPr>
          <w:rFonts w:ascii="Arial" w:eastAsia="Arial" w:hAnsi="Arial" w:cs="Arial"/>
          <w:bCs/>
          <w:sz w:val="20"/>
        </w:rPr>
        <w:t>1. A jurisprudência deste Tribunal consolidou o entendimento de que, em edital de licitação cujo objeto seja a aquisição de pneus e câmaras de ar, é legal prever, como requisito de habilitação do licitante, a apresentação de certidão de regularidade emitida pelo órgão controlador em nome do fabricante ou do importador.2. O fato de o edital prever, como requisito de habilitação do licitante, a apresentação de certificado de regularidade emitida pelo órgão controlador em nome do fabricante, sem mencionar a possibilidade de o referido documento também ser expedido em nome do importador, não resulta em vício na licitação, uma vez que a Administração Municipal, ao prever a submissão do edital às disposições da lei que rege a política nacional do meio ambiente e às diretrizes do órgão controlador, deixou claro que sua intenção não foi a de excluir os (</w:t>
      </w:r>
      <w:proofErr w:type="spellStart"/>
      <w:r w:rsidRPr="008963EF">
        <w:rPr>
          <w:rFonts w:ascii="Arial" w:eastAsia="Arial" w:hAnsi="Arial" w:cs="Arial"/>
          <w:bCs/>
          <w:sz w:val="20"/>
        </w:rPr>
        <w:t>re</w:t>
      </w:r>
      <w:proofErr w:type="spellEnd"/>
      <w:r w:rsidRPr="008963EF">
        <w:rPr>
          <w:rFonts w:ascii="Arial" w:eastAsia="Arial" w:hAnsi="Arial" w:cs="Arial"/>
          <w:bCs/>
          <w:sz w:val="20"/>
        </w:rPr>
        <w:t>)vendedores do procedimento licitatório.</w:t>
      </w:r>
    </w:p>
    <w:p w14:paraId="489F3750" w14:textId="22A5B01E" w:rsidR="008963EF" w:rsidRPr="00CC1302" w:rsidRDefault="008963EF" w:rsidP="00CC1302">
      <w:pPr>
        <w:spacing w:before="120"/>
        <w:jc w:val="both"/>
        <w:rPr>
          <w:rFonts w:ascii="Arial" w:eastAsia="Arial" w:hAnsi="Arial" w:cs="Arial"/>
          <w:bCs/>
          <w:sz w:val="20"/>
        </w:rPr>
      </w:pPr>
      <w:r>
        <w:rPr>
          <w:rFonts w:ascii="Arial" w:eastAsia="Arial" w:hAnsi="Arial" w:cs="Arial"/>
          <w:bCs/>
          <w:sz w:val="20"/>
        </w:rPr>
        <w:t xml:space="preserve">(TCE-MG, </w:t>
      </w:r>
      <w:hyperlink r:id="rId10" w:history="1">
        <w:r w:rsidRPr="008963EF">
          <w:rPr>
            <w:rStyle w:val="Hyperlink"/>
            <w:rFonts w:ascii="Arial" w:eastAsia="Arial" w:hAnsi="Arial" w:cs="Arial"/>
            <w:bCs/>
            <w:sz w:val="20"/>
          </w:rPr>
          <w:t>Denúncia n.º 1102257</w:t>
        </w:r>
      </w:hyperlink>
      <w:r w:rsidRPr="008963EF">
        <w:rPr>
          <w:rFonts w:ascii="Arial" w:eastAsia="Arial" w:hAnsi="Arial" w:cs="Arial"/>
          <w:bCs/>
          <w:sz w:val="20"/>
        </w:rPr>
        <w:t xml:space="preserve">. Rel. </w:t>
      </w:r>
      <w:r>
        <w:rPr>
          <w:rFonts w:ascii="Arial" w:eastAsia="Arial" w:hAnsi="Arial" w:cs="Arial"/>
          <w:bCs/>
          <w:sz w:val="20"/>
        </w:rPr>
        <w:t>Conselheiro</w:t>
      </w:r>
      <w:r w:rsidRPr="008963EF">
        <w:rPr>
          <w:rFonts w:ascii="Arial" w:eastAsia="Arial" w:hAnsi="Arial" w:cs="Arial"/>
          <w:bCs/>
          <w:sz w:val="20"/>
        </w:rPr>
        <w:t xml:space="preserve"> </w:t>
      </w:r>
      <w:r>
        <w:rPr>
          <w:rFonts w:ascii="Arial" w:eastAsia="Arial" w:hAnsi="Arial" w:cs="Arial"/>
          <w:bCs/>
          <w:sz w:val="20"/>
        </w:rPr>
        <w:t xml:space="preserve">Durval </w:t>
      </w:r>
      <w:proofErr w:type="spellStart"/>
      <w:r>
        <w:rPr>
          <w:rFonts w:ascii="Arial" w:eastAsia="Arial" w:hAnsi="Arial" w:cs="Arial"/>
          <w:bCs/>
          <w:sz w:val="20"/>
        </w:rPr>
        <w:t>Angelo</w:t>
      </w:r>
      <w:proofErr w:type="spellEnd"/>
      <w:r>
        <w:rPr>
          <w:rFonts w:ascii="Arial" w:eastAsia="Arial" w:hAnsi="Arial" w:cs="Arial"/>
          <w:bCs/>
          <w:sz w:val="20"/>
        </w:rPr>
        <w:t xml:space="preserve">, 1ª Câmara, julgado em </w:t>
      </w:r>
      <w:r w:rsidRPr="008963EF">
        <w:rPr>
          <w:rFonts w:ascii="Arial" w:eastAsia="Arial" w:hAnsi="Arial" w:cs="Arial"/>
          <w:bCs/>
          <w:sz w:val="20"/>
        </w:rPr>
        <w:t>24/05/2022</w:t>
      </w:r>
      <w:r w:rsidR="008A36CA">
        <w:rPr>
          <w:rFonts w:ascii="Arial" w:eastAsia="Arial" w:hAnsi="Arial" w:cs="Arial"/>
          <w:bCs/>
          <w:sz w:val="20"/>
        </w:rPr>
        <w:t>, veiculada em</w:t>
      </w:r>
      <w:r w:rsidRPr="008963EF">
        <w:rPr>
          <w:rFonts w:ascii="Arial" w:eastAsia="Arial" w:hAnsi="Arial" w:cs="Arial"/>
          <w:bCs/>
          <w:sz w:val="20"/>
        </w:rPr>
        <w:t xml:space="preserve"> 02/06/2022</w:t>
      </w:r>
      <w:r w:rsidR="008A36CA">
        <w:rPr>
          <w:rFonts w:ascii="Arial" w:eastAsia="Arial" w:hAnsi="Arial" w:cs="Arial"/>
          <w:bCs/>
          <w:sz w:val="20"/>
        </w:rPr>
        <w:t>)</w:t>
      </w:r>
    </w:p>
    <w:p w14:paraId="3C993E63" w14:textId="77777777" w:rsidR="00674104" w:rsidRDefault="00674104">
      <w:pPr>
        <w:spacing w:line="276" w:lineRule="auto"/>
        <w:jc w:val="both"/>
        <w:rPr>
          <w:rFonts w:ascii="Arial" w:eastAsia="Arial" w:hAnsi="Arial" w:cs="Arial"/>
          <w:color w:val="000000"/>
        </w:rPr>
      </w:pPr>
    </w:p>
    <w:p w14:paraId="6B98CB70" w14:textId="2AA21BA1"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27C383C5" w14:textId="77777777" w:rsidR="00077C0D" w:rsidRDefault="00077C0D" w:rsidP="001331C5">
      <w:pPr>
        <w:spacing w:after="120"/>
        <w:jc w:val="both"/>
        <w:rPr>
          <w:rFonts w:ascii="Arial" w:eastAsia="Arial" w:hAnsi="Arial" w:cs="Arial"/>
          <w:b/>
          <w:bCs/>
          <w:color w:val="000000"/>
          <w:sz w:val="20"/>
          <w:szCs w:val="20"/>
        </w:rPr>
      </w:pPr>
    </w:p>
    <w:p w14:paraId="21D8918D" w14:textId="49D4098D" w:rsidR="00351F4B" w:rsidRDefault="00613425" w:rsidP="00351F4B">
      <w:pPr>
        <w:spacing w:after="120"/>
        <w:jc w:val="both"/>
        <w:rPr>
          <w:rFonts w:ascii="Arial" w:eastAsia="Arial" w:hAnsi="Arial" w:cs="Arial"/>
          <w:b/>
          <w:bCs/>
          <w:color w:val="000000"/>
          <w:sz w:val="20"/>
          <w:szCs w:val="20"/>
        </w:rPr>
      </w:pPr>
      <w:r>
        <w:rPr>
          <w:rFonts w:ascii="Arial" w:eastAsia="Arial" w:hAnsi="Arial" w:cs="Arial"/>
          <w:b/>
          <w:bCs/>
          <w:color w:val="000000"/>
          <w:sz w:val="20"/>
          <w:szCs w:val="20"/>
        </w:rPr>
        <w:t>4.</w:t>
      </w:r>
      <w:r w:rsidR="0032790A">
        <w:rPr>
          <w:rFonts w:ascii="Arial" w:eastAsia="Arial" w:hAnsi="Arial" w:cs="Arial"/>
          <w:b/>
          <w:bCs/>
          <w:color w:val="000000"/>
          <w:sz w:val="20"/>
          <w:szCs w:val="20"/>
        </w:rPr>
        <w:t xml:space="preserve"> </w:t>
      </w:r>
      <w:r w:rsidR="0032790A" w:rsidRPr="00351F4B">
        <w:rPr>
          <w:rFonts w:ascii="Arial" w:eastAsia="Arial" w:hAnsi="Arial" w:cs="Arial"/>
          <w:b/>
          <w:bCs/>
          <w:color w:val="000000"/>
          <w:sz w:val="20"/>
          <w:szCs w:val="20"/>
        </w:rPr>
        <w:t xml:space="preserve">CONSTITUCIONAL. TRIBUTÁRIO. TAXA DE CONTROLE, ACOMPANHAMENTO E FISCALIZAÇÃO DAS ATIVIDADES DE PESQUISA, LAVRA, EXPLORAÇÃO E APROVEITAMENTO DE RECURSOS MINERÁRIOS - </w:t>
      </w:r>
      <w:r w:rsidR="0032790A">
        <w:rPr>
          <w:rFonts w:ascii="Arial" w:eastAsia="Arial" w:hAnsi="Arial" w:cs="Arial"/>
          <w:b/>
          <w:bCs/>
          <w:color w:val="000000"/>
          <w:sz w:val="20"/>
          <w:szCs w:val="20"/>
        </w:rPr>
        <w:t>TFRM</w:t>
      </w:r>
      <w:r w:rsidR="0032790A" w:rsidRPr="00351F4B">
        <w:rPr>
          <w:rFonts w:ascii="Arial" w:eastAsia="Arial" w:hAnsi="Arial" w:cs="Arial"/>
          <w:b/>
          <w:bCs/>
          <w:color w:val="000000"/>
          <w:sz w:val="20"/>
          <w:szCs w:val="20"/>
        </w:rPr>
        <w:t>. LEI N</w:t>
      </w:r>
      <w:r w:rsidR="0032790A">
        <w:rPr>
          <w:rFonts w:ascii="Arial" w:eastAsia="Arial" w:hAnsi="Arial" w:cs="Arial"/>
          <w:b/>
          <w:bCs/>
          <w:color w:val="000000"/>
          <w:sz w:val="20"/>
          <w:szCs w:val="20"/>
        </w:rPr>
        <w:t>.</w:t>
      </w:r>
      <w:r w:rsidR="0032790A" w:rsidRPr="00351F4B">
        <w:rPr>
          <w:rFonts w:ascii="Arial" w:eastAsia="Arial" w:hAnsi="Arial" w:cs="Arial"/>
          <w:b/>
          <w:bCs/>
          <w:color w:val="000000"/>
          <w:sz w:val="20"/>
          <w:szCs w:val="20"/>
        </w:rPr>
        <w:t xml:space="preserve">º 1.613/2011. ESTADO DO </w:t>
      </w:r>
      <w:r w:rsidR="0032790A">
        <w:rPr>
          <w:rFonts w:ascii="Arial" w:eastAsia="Arial" w:hAnsi="Arial" w:cs="Arial"/>
          <w:b/>
          <w:bCs/>
          <w:color w:val="000000"/>
          <w:sz w:val="20"/>
          <w:szCs w:val="20"/>
        </w:rPr>
        <w:t>A</w:t>
      </w:r>
      <w:r w:rsidR="0032790A" w:rsidRPr="00351F4B">
        <w:rPr>
          <w:rFonts w:ascii="Arial" w:eastAsia="Arial" w:hAnsi="Arial" w:cs="Arial"/>
          <w:b/>
          <w:bCs/>
          <w:color w:val="000000"/>
          <w:sz w:val="20"/>
          <w:szCs w:val="20"/>
        </w:rPr>
        <w:t xml:space="preserve">MAPÁ. MODIFICAÇÃO LEGISLATIVA QUE NÃO ALTERA A SUBSTÂNCIA DA NORMA. MANUTENÇÃO DO OBJETO DA AÇÃO DIRETA DE INCONSTITUCIONALIDADE. TAXA INSTITUÍDA EM RAZÃO DO PODER DE POLÍCIA FISCALIZATÓRIO. INTELIGÊNCIA DO ART. 23, </w:t>
      </w:r>
      <w:r w:rsidR="0032790A">
        <w:rPr>
          <w:rFonts w:ascii="Arial" w:eastAsia="Arial" w:hAnsi="Arial" w:cs="Arial"/>
          <w:b/>
          <w:bCs/>
          <w:color w:val="000000"/>
          <w:sz w:val="20"/>
          <w:szCs w:val="20"/>
        </w:rPr>
        <w:t>XI</w:t>
      </w:r>
      <w:r w:rsidR="0032790A" w:rsidRPr="00351F4B">
        <w:rPr>
          <w:rFonts w:ascii="Arial" w:eastAsia="Arial" w:hAnsi="Arial" w:cs="Arial"/>
          <w:b/>
          <w:bCs/>
          <w:color w:val="000000"/>
          <w:sz w:val="20"/>
          <w:szCs w:val="20"/>
        </w:rPr>
        <w:t xml:space="preserve">, DA </w:t>
      </w:r>
      <w:r w:rsidR="0032790A">
        <w:rPr>
          <w:rFonts w:ascii="Arial" w:eastAsia="Arial" w:hAnsi="Arial" w:cs="Arial"/>
          <w:b/>
          <w:bCs/>
          <w:color w:val="000000"/>
          <w:sz w:val="20"/>
          <w:szCs w:val="20"/>
        </w:rPr>
        <w:t>CRFB</w:t>
      </w:r>
      <w:r w:rsidR="0032790A" w:rsidRPr="00351F4B">
        <w:rPr>
          <w:rFonts w:ascii="Arial" w:eastAsia="Arial" w:hAnsi="Arial" w:cs="Arial"/>
          <w:b/>
          <w:bCs/>
          <w:color w:val="000000"/>
          <w:sz w:val="20"/>
          <w:szCs w:val="20"/>
        </w:rPr>
        <w:t xml:space="preserve">/88. É POSSÍVEL AOS </w:t>
      </w:r>
      <w:r w:rsidR="0032790A">
        <w:rPr>
          <w:rFonts w:ascii="Arial" w:eastAsia="Arial" w:hAnsi="Arial" w:cs="Arial"/>
          <w:b/>
          <w:bCs/>
          <w:color w:val="000000"/>
          <w:sz w:val="20"/>
          <w:szCs w:val="20"/>
        </w:rPr>
        <w:t>E</w:t>
      </w:r>
      <w:r w:rsidR="0032790A" w:rsidRPr="00351F4B">
        <w:rPr>
          <w:rFonts w:ascii="Arial" w:eastAsia="Arial" w:hAnsi="Arial" w:cs="Arial"/>
          <w:b/>
          <w:bCs/>
          <w:color w:val="000000"/>
          <w:sz w:val="20"/>
          <w:szCs w:val="20"/>
        </w:rPr>
        <w:t>STADOS EXERCER A ATIVIDADE DE PODER DE POLÍCIA EM MATÉRIA DE FISCALIZAÇÃO DAS ATIVIDADES DE PESQUISA E EXPLORAÇÃO DE RECURSOS MINERAIS. AÇÃO DIRETA DE INCONSTITUCIONALIDADE JULGADA IMPROCEDENTE.</w:t>
      </w:r>
    </w:p>
    <w:p w14:paraId="5F09E3F3" w14:textId="73FF3D1E" w:rsidR="00351F4B" w:rsidRPr="00351F4B" w:rsidRDefault="00351F4B" w:rsidP="00351F4B">
      <w:pPr>
        <w:spacing w:after="120"/>
        <w:jc w:val="both"/>
        <w:rPr>
          <w:rFonts w:ascii="Arial" w:eastAsia="Arial" w:hAnsi="Arial" w:cs="Arial"/>
          <w:color w:val="000000"/>
          <w:sz w:val="20"/>
          <w:szCs w:val="20"/>
        </w:rPr>
      </w:pPr>
      <w:r w:rsidRPr="00351F4B">
        <w:rPr>
          <w:rFonts w:ascii="Arial" w:eastAsia="Arial" w:hAnsi="Arial" w:cs="Arial"/>
          <w:color w:val="000000"/>
          <w:sz w:val="20"/>
          <w:szCs w:val="20"/>
        </w:rPr>
        <w:t xml:space="preserve">1. A Lei nº 1.613/2011, do Estado do Amapá, instituiu taxa de polícia sobre a atividade de exploração mineral, com fundamento no art. 145, inciso II, da CRFB, ao estabelecer uma base de cálculo fixa atrelada à tonelada de minério extraído, independentemente do tipo de minério e do método de extração - exceto no caso do ouro, em que a unidade de medida adotada é o </w:t>
      </w:r>
      <w:proofErr w:type="gramStart"/>
      <w:r w:rsidRPr="00351F4B">
        <w:rPr>
          <w:rFonts w:ascii="Arial" w:eastAsia="Arial" w:hAnsi="Arial" w:cs="Arial"/>
          <w:color w:val="000000"/>
          <w:sz w:val="20"/>
          <w:szCs w:val="20"/>
        </w:rPr>
        <w:t>grama .</w:t>
      </w:r>
      <w:proofErr w:type="gramEnd"/>
      <w:r w:rsidRPr="00351F4B">
        <w:rPr>
          <w:rFonts w:ascii="Arial" w:eastAsia="Arial" w:hAnsi="Arial" w:cs="Arial"/>
          <w:color w:val="000000"/>
          <w:sz w:val="20"/>
          <w:szCs w:val="20"/>
        </w:rPr>
        <w:t xml:space="preserve"> 2. A Lei 2.410, de 18 de junho de 2019, modificou o art. 6º da Lei 1.613/11, alterando sua redação, e revogando o § 3º do dispositivo. Acrescentado o art. 6º-A ao diploma legal. 3. A impugnação por ação direta de dispositivo legal revogado por legislação posterior ocasiona a perda de objeto da demanda (ADI 3502, Rel. Min. Edson Fachin, Tribunal Pleno, julgado em 14/02/2020, </w:t>
      </w:r>
      <w:proofErr w:type="spellStart"/>
      <w:r w:rsidRPr="00351F4B">
        <w:rPr>
          <w:rFonts w:ascii="Arial" w:eastAsia="Arial" w:hAnsi="Arial" w:cs="Arial"/>
          <w:color w:val="000000"/>
          <w:sz w:val="20"/>
          <w:szCs w:val="20"/>
        </w:rPr>
        <w:t>DJe</w:t>
      </w:r>
      <w:proofErr w:type="spellEnd"/>
      <w:r w:rsidRPr="00351F4B">
        <w:rPr>
          <w:rFonts w:ascii="Arial" w:eastAsia="Arial" w:hAnsi="Arial" w:cs="Arial"/>
          <w:color w:val="000000"/>
          <w:sz w:val="20"/>
          <w:szCs w:val="20"/>
        </w:rPr>
        <w:t xml:space="preserve"> 12/03/2020). 4. O julgamento da impugnação a dispositivos cuja alteração legislativa não ocasionou mudança substancial em controle concentrado é possível, independentemente de emenda à petição </w:t>
      </w:r>
      <w:proofErr w:type="gramStart"/>
      <w:r w:rsidRPr="00351F4B">
        <w:rPr>
          <w:rFonts w:ascii="Arial" w:eastAsia="Arial" w:hAnsi="Arial" w:cs="Arial"/>
          <w:color w:val="000000"/>
          <w:sz w:val="20"/>
          <w:szCs w:val="20"/>
        </w:rPr>
        <w:t>inicial,.</w:t>
      </w:r>
      <w:proofErr w:type="gramEnd"/>
      <w:r w:rsidRPr="00351F4B">
        <w:rPr>
          <w:rFonts w:ascii="Arial" w:eastAsia="Arial" w:hAnsi="Arial" w:cs="Arial"/>
          <w:color w:val="000000"/>
          <w:sz w:val="20"/>
          <w:szCs w:val="20"/>
        </w:rPr>
        <w:t xml:space="preserve"> Precedentes: ADI 2501, Rel. Min. Joaquim Barbosa, Tribunal Pleno, </w:t>
      </w:r>
      <w:proofErr w:type="spellStart"/>
      <w:r w:rsidRPr="00351F4B">
        <w:rPr>
          <w:rFonts w:ascii="Arial" w:eastAsia="Arial" w:hAnsi="Arial" w:cs="Arial"/>
          <w:color w:val="000000"/>
          <w:sz w:val="20"/>
          <w:szCs w:val="20"/>
        </w:rPr>
        <w:t>DJe</w:t>
      </w:r>
      <w:proofErr w:type="spellEnd"/>
      <w:r w:rsidRPr="00351F4B">
        <w:rPr>
          <w:rFonts w:ascii="Arial" w:eastAsia="Arial" w:hAnsi="Arial" w:cs="Arial"/>
          <w:color w:val="000000"/>
          <w:sz w:val="20"/>
          <w:szCs w:val="20"/>
        </w:rPr>
        <w:t xml:space="preserve"> 19/12/2008 e ADI 2418, Rel. Min. </w:t>
      </w:r>
      <w:proofErr w:type="spellStart"/>
      <w:r w:rsidRPr="00351F4B">
        <w:rPr>
          <w:rFonts w:ascii="Arial" w:eastAsia="Arial" w:hAnsi="Arial" w:cs="Arial"/>
          <w:color w:val="000000"/>
          <w:sz w:val="20"/>
          <w:szCs w:val="20"/>
        </w:rPr>
        <w:t>Teori</w:t>
      </w:r>
      <w:proofErr w:type="spellEnd"/>
      <w:r w:rsidRPr="00351F4B">
        <w:rPr>
          <w:rFonts w:ascii="Arial" w:eastAsia="Arial" w:hAnsi="Arial" w:cs="Arial"/>
          <w:color w:val="000000"/>
          <w:sz w:val="20"/>
          <w:szCs w:val="20"/>
        </w:rPr>
        <w:t xml:space="preserve"> Zavascki, Tribunal Pleno, </w:t>
      </w:r>
      <w:proofErr w:type="spellStart"/>
      <w:r w:rsidRPr="00351F4B">
        <w:rPr>
          <w:rFonts w:ascii="Arial" w:eastAsia="Arial" w:hAnsi="Arial" w:cs="Arial"/>
          <w:color w:val="000000"/>
          <w:sz w:val="20"/>
          <w:szCs w:val="20"/>
        </w:rPr>
        <w:lastRenderedPageBreak/>
        <w:t>DJe</w:t>
      </w:r>
      <w:proofErr w:type="spellEnd"/>
      <w:r w:rsidRPr="00351F4B">
        <w:rPr>
          <w:rFonts w:ascii="Arial" w:eastAsia="Arial" w:hAnsi="Arial" w:cs="Arial"/>
          <w:color w:val="000000"/>
          <w:sz w:val="20"/>
          <w:szCs w:val="20"/>
        </w:rPr>
        <w:t xml:space="preserve"> 17/11/2016. 5. As modificações legislativas promovidas pela Lei 2.410/19, do Estado do Amapá, impõem a perda do objeto da ação em relação ao art. 6º, § 3º da Lei 1.613/11. 6. A Constituição estabelece competência administrativa aos Estados, Distrito Federal e Municípios para registrar, acompanhar e fiscalizar as “concessões de direitos de pesquisa e exploração de recursos minerais”, nos termos do inciso XI do seu art. 23. 7. A exegese do dispositivo adotada pelo Plenário do Supremo Tribunal Federal possibilita aos entes federados o exercício do poder de polícia sobre as atividades descritas na assim chamada “competência constitucional comum”. São constitucionalmente formais a Taxa de Controle, Acompanhamento e Fiscalização das Atividades de Exploração e Aproveitamento de Recursos Hídricos – TFRH do Estado do Amapá (ADI 6211, Rel. Min. Marco Aurélio, Tribunal Pleno, julgado em 04/12/2019, </w:t>
      </w:r>
      <w:proofErr w:type="spellStart"/>
      <w:r w:rsidRPr="00351F4B">
        <w:rPr>
          <w:rFonts w:ascii="Arial" w:eastAsia="Arial" w:hAnsi="Arial" w:cs="Arial"/>
          <w:color w:val="000000"/>
          <w:sz w:val="20"/>
          <w:szCs w:val="20"/>
        </w:rPr>
        <w:t>DJe</w:t>
      </w:r>
      <w:proofErr w:type="spellEnd"/>
      <w:r w:rsidRPr="00351F4B">
        <w:rPr>
          <w:rFonts w:ascii="Arial" w:eastAsia="Arial" w:hAnsi="Arial" w:cs="Arial"/>
          <w:color w:val="000000"/>
          <w:sz w:val="20"/>
          <w:szCs w:val="20"/>
        </w:rPr>
        <w:t xml:space="preserve"> 05/05/2020) e a Taxa de Controle, Monitoramento e Fiscalização Ambiental das Atividades de Pesquisa, Lavra, Exploração e Produção de Petróleo e Gás – TFPG do Estado do Rio de Janeiro (ADI 5480, Rel. Min. Alexandre de Moraes, Tribunal Pleno, julgado em 20/04/2020, </w:t>
      </w:r>
      <w:proofErr w:type="spellStart"/>
      <w:r w:rsidRPr="00351F4B">
        <w:rPr>
          <w:rFonts w:ascii="Arial" w:eastAsia="Arial" w:hAnsi="Arial" w:cs="Arial"/>
          <w:color w:val="000000"/>
          <w:sz w:val="20"/>
          <w:szCs w:val="20"/>
        </w:rPr>
        <w:t>DJe</w:t>
      </w:r>
      <w:proofErr w:type="spellEnd"/>
      <w:r w:rsidRPr="00351F4B">
        <w:rPr>
          <w:rFonts w:ascii="Arial" w:eastAsia="Arial" w:hAnsi="Arial" w:cs="Arial"/>
          <w:color w:val="000000"/>
          <w:sz w:val="20"/>
          <w:szCs w:val="20"/>
        </w:rPr>
        <w:t xml:space="preserve"> 04/09/2020). 8. Os impostos são regidos pela capacidade contributiva do sujeito passivo e seus fatos geradores são situações da vida relacionadas aos contribuintes, ao passo em que as taxas são regidas pelo princípio da comutatividade ou </w:t>
      </w:r>
      <w:proofErr w:type="spellStart"/>
      <w:r w:rsidRPr="00351F4B">
        <w:rPr>
          <w:rFonts w:ascii="Arial" w:eastAsia="Arial" w:hAnsi="Arial" w:cs="Arial"/>
          <w:color w:val="000000"/>
          <w:sz w:val="20"/>
          <w:szCs w:val="20"/>
        </w:rPr>
        <w:t>retributividade</w:t>
      </w:r>
      <w:proofErr w:type="spellEnd"/>
      <w:r w:rsidRPr="00351F4B">
        <w:rPr>
          <w:rFonts w:ascii="Arial" w:eastAsia="Arial" w:hAnsi="Arial" w:cs="Arial"/>
          <w:color w:val="000000"/>
          <w:sz w:val="20"/>
          <w:szCs w:val="20"/>
        </w:rPr>
        <w:t xml:space="preserve">, devendo o seu fato gerador necessariamente corresponder a uma atividade estatal, seja ela correspondente ao exercício regular do poder de polícia ou a prestação de um serviço público específico e divisível prestado ou colocado à disposição do contribuinte. 9. A taxa exigível pelo exercício regular do poder de polícia impõe ao </w:t>
      </w:r>
      <w:proofErr w:type="spellStart"/>
      <w:r w:rsidRPr="00351F4B">
        <w:rPr>
          <w:rFonts w:ascii="Arial" w:eastAsia="Arial" w:hAnsi="Arial" w:cs="Arial"/>
          <w:color w:val="000000"/>
          <w:sz w:val="20"/>
          <w:szCs w:val="20"/>
        </w:rPr>
        <w:t>ao</w:t>
      </w:r>
      <w:proofErr w:type="spellEnd"/>
      <w:r w:rsidRPr="00351F4B">
        <w:rPr>
          <w:rFonts w:ascii="Arial" w:eastAsia="Arial" w:hAnsi="Arial" w:cs="Arial"/>
          <w:color w:val="000000"/>
          <w:sz w:val="20"/>
          <w:szCs w:val="20"/>
        </w:rPr>
        <w:t xml:space="preserve"> particular o financiamento da atividade estatal que lhe limita direitos, mas que beneficia toda a coletividade. O ônus é aceito em virtude dos ganhos obtidos com a exploração da atividade fiscalizada. 10. No final do século XIX, os constitucionalistas e financistas norte-americanos construíram uma distinção entre os tributos cobrados com fundamento no “poder de tributar” e os exigidos sob a égide do “poder de polícia”. 11. Hodiernamente, doutrina e jurisprudência albergam sob a denominação de “</w:t>
      </w:r>
      <w:proofErr w:type="spellStart"/>
      <w:r w:rsidRPr="00351F4B">
        <w:rPr>
          <w:rFonts w:ascii="Arial" w:eastAsia="Arial" w:hAnsi="Arial" w:cs="Arial"/>
          <w:color w:val="000000"/>
          <w:sz w:val="20"/>
          <w:szCs w:val="20"/>
        </w:rPr>
        <w:t>extrafiscalidade</w:t>
      </w:r>
      <w:proofErr w:type="spellEnd"/>
      <w:r w:rsidRPr="00351F4B">
        <w:rPr>
          <w:rFonts w:ascii="Arial" w:eastAsia="Arial" w:hAnsi="Arial" w:cs="Arial"/>
          <w:color w:val="000000"/>
          <w:sz w:val="20"/>
          <w:szCs w:val="20"/>
        </w:rPr>
        <w:t xml:space="preserve">” as exigências financeiras que induzem ou desincentivam comportamentos dos cidadãos, antes reconhecidas como uma tradução econômica do poder de polícia 12. O tributo dotado de </w:t>
      </w:r>
      <w:proofErr w:type="spellStart"/>
      <w:r w:rsidRPr="00351F4B">
        <w:rPr>
          <w:rFonts w:ascii="Arial" w:eastAsia="Arial" w:hAnsi="Arial" w:cs="Arial"/>
          <w:color w:val="000000"/>
          <w:sz w:val="20"/>
          <w:szCs w:val="20"/>
        </w:rPr>
        <w:t>extrafiscalidade</w:t>
      </w:r>
      <w:proofErr w:type="spellEnd"/>
      <w:r w:rsidRPr="00351F4B">
        <w:rPr>
          <w:rFonts w:ascii="Arial" w:eastAsia="Arial" w:hAnsi="Arial" w:cs="Arial"/>
          <w:color w:val="000000"/>
          <w:sz w:val="20"/>
          <w:szCs w:val="20"/>
        </w:rPr>
        <w:t xml:space="preserve"> pode exorbitar algumas restrições constitucionais ao poder de tributar, desde que justificada a política administrativa adotada, v. g., o que se passa com os impostos do comércio exterior, em que a calibragem das alíquotas ultrapassa, por vezes, parâmetros usuais de mercado unicamente para a preservação da balança comercial do país. 13. A ideia de </w:t>
      </w:r>
      <w:proofErr w:type="spellStart"/>
      <w:r w:rsidRPr="00351F4B">
        <w:rPr>
          <w:rFonts w:ascii="Arial" w:eastAsia="Arial" w:hAnsi="Arial" w:cs="Arial"/>
          <w:color w:val="000000"/>
          <w:sz w:val="20"/>
          <w:szCs w:val="20"/>
        </w:rPr>
        <w:t>wealth</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maximization</w:t>
      </w:r>
      <w:proofErr w:type="spellEnd"/>
      <w:r w:rsidRPr="00351F4B">
        <w:rPr>
          <w:rFonts w:ascii="Arial" w:eastAsia="Arial" w:hAnsi="Arial" w:cs="Arial"/>
          <w:color w:val="000000"/>
          <w:sz w:val="20"/>
          <w:szCs w:val="20"/>
        </w:rPr>
        <w:t>, formulada à luz de uma Análise Econômica do Direito, determina que a riqueza (</w:t>
      </w:r>
      <w:proofErr w:type="spellStart"/>
      <w:r w:rsidRPr="00351F4B">
        <w:rPr>
          <w:rFonts w:ascii="Arial" w:eastAsia="Arial" w:hAnsi="Arial" w:cs="Arial"/>
          <w:color w:val="000000"/>
          <w:sz w:val="20"/>
          <w:szCs w:val="20"/>
        </w:rPr>
        <w:t>wealth</w:t>
      </w:r>
      <w:proofErr w:type="spellEnd"/>
      <w:r w:rsidRPr="00351F4B">
        <w:rPr>
          <w:rFonts w:ascii="Arial" w:eastAsia="Arial" w:hAnsi="Arial" w:cs="Arial"/>
          <w:color w:val="000000"/>
          <w:sz w:val="20"/>
          <w:szCs w:val="20"/>
        </w:rPr>
        <w:t xml:space="preserve">) a ser maximizada é a totalidade da satisfação das preferências moralmente relevantes e financeiramente sustentadas. A premissa, a princípio utilitarista, é aprimorada pelas limitações financeiras e os meios a serem empregados encontram-se protegidos pelo sistema de direitos. 14. A função da base de cálculo é quantificar o montante do tributo a ser recolhido aos cofres públicos, portanto é essencial que ela mantenha uma relação de congruência com a hipótese de incidência </w:t>
      </w:r>
      <w:proofErr w:type="gramStart"/>
      <w:r w:rsidRPr="00351F4B">
        <w:rPr>
          <w:rFonts w:ascii="Arial" w:eastAsia="Arial" w:hAnsi="Arial" w:cs="Arial"/>
          <w:color w:val="000000"/>
          <w:sz w:val="20"/>
          <w:szCs w:val="20"/>
        </w:rPr>
        <w:t>tributária</w:t>
      </w:r>
      <w:proofErr w:type="gramEnd"/>
      <w:r w:rsidRPr="00351F4B">
        <w:rPr>
          <w:rFonts w:ascii="Arial" w:eastAsia="Arial" w:hAnsi="Arial" w:cs="Arial"/>
          <w:color w:val="000000"/>
          <w:sz w:val="20"/>
          <w:szCs w:val="20"/>
        </w:rPr>
        <w:t xml:space="preserve"> mas também com elementos outros que contribuam para a máxima efetivação dos efeitos pretendidos com a tributação. À luz de uma teoria dos jogos, a referência é ao chamado “</w:t>
      </w:r>
      <w:proofErr w:type="spellStart"/>
      <w:r w:rsidRPr="00351F4B">
        <w:rPr>
          <w:rFonts w:ascii="Arial" w:eastAsia="Arial" w:hAnsi="Arial" w:cs="Arial"/>
          <w:color w:val="000000"/>
          <w:sz w:val="20"/>
          <w:szCs w:val="20"/>
        </w:rPr>
        <w:t>jeu</w:t>
      </w:r>
      <w:proofErr w:type="spellEnd"/>
      <w:r w:rsidRPr="00351F4B">
        <w:rPr>
          <w:rFonts w:ascii="Arial" w:eastAsia="Arial" w:hAnsi="Arial" w:cs="Arial"/>
          <w:color w:val="000000"/>
          <w:sz w:val="20"/>
          <w:szCs w:val="20"/>
        </w:rPr>
        <w:t xml:space="preserve"> de </w:t>
      </w:r>
      <w:proofErr w:type="spellStart"/>
      <w:r w:rsidRPr="00351F4B">
        <w:rPr>
          <w:rFonts w:ascii="Arial" w:eastAsia="Arial" w:hAnsi="Arial" w:cs="Arial"/>
          <w:color w:val="000000"/>
          <w:sz w:val="20"/>
          <w:szCs w:val="20"/>
        </w:rPr>
        <w:t>domination</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avec</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paiement</w:t>
      </w:r>
      <w:proofErr w:type="spellEnd"/>
      <w:r w:rsidRPr="00351F4B">
        <w:rPr>
          <w:rFonts w:ascii="Arial" w:eastAsia="Arial" w:hAnsi="Arial" w:cs="Arial"/>
          <w:color w:val="000000"/>
          <w:sz w:val="20"/>
          <w:szCs w:val="20"/>
        </w:rPr>
        <w:t xml:space="preserve"> de </w:t>
      </w:r>
      <w:proofErr w:type="spellStart"/>
      <w:r w:rsidRPr="00351F4B">
        <w:rPr>
          <w:rFonts w:ascii="Arial" w:eastAsia="Arial" w:hAnsi="Arial" w:cs="Arial"/>
          <w:color w:val="000000"/>
          <w:sz w:val="20"/>
          <w:szCs w:val="20"/>
        </w:rPr>
        <w:t>tribut</w:t>
      </w:r>
      <w:proofErr w:type="spellEnd"/>
      <w:r w:rsidRPr="00351F4B">
        <w:rPr>
          <w:rFonts w:ascii="Arial" w:eastAsia="Arial" w:hAnsi="Arial" w:cs="Arial"/>
          <w:color w:val="000000"/>
          <w:sz w:val="20"/>
          <w:szCs w:val="20"/>
        </w:rPr>
        <w:t xml:space="preserve">” em que o plano ótimo encontra concessões mútuas a partir de um dado pagamento, denominado prêmio (prime). 15. O modelo teórico configura-se, na prática, </w:t>
      </w:r>
      <w:proofErr w:type="gramStart"/>
      <w:r w:rsidRPr="00351F4B">
        <w:rPr>
          <w:rFonts w:ascii="Arial" w:eastAsia="Arial" w:hAnsi="Arial" w:cs="Arial"/>
          <w:color w:val="000000"/>
          <w:sz w:val="20"/>
          <w:szCs w:val="20"/>
        </w:rPr>
        <w:t>no momento em que</w:t>
      </w:r>
      <w:proofErr w:type="gramEnd"/>
      <w:r w:rsidRPr="00351F4B">
        <w:rPr>
          <w:rFonts w:ascii="Arial" w:eastAsia="Arial" w:hAnsi="Arial" w:cs="Arial"/>
          <w:color w:val="000000"/>
          <w:sz w:val="20"/>
          <w:szCs w:val="20"/>
        </w:rPr>
        <w:t xml:space="preserve"> há o interesse do particular de exercer determinada atividade lucrativa, ainda que para isso seja necessário o dispêndio de um valor financeiro. Sob a ótica do outro jogador, o Estado, o montante exigido deve ser bastante e suficiente para fazer face aos dispêndios com a fiscalização, mas também contribuir para a ausência ou mitigação de danos à coletividade. 16. A base de cálculo das taxas de polícia não é objetivamente apurável, mas estimada com base em critérios razoáveis de mensuração do custo da atividade estatal, que deverá ser rateado entre os sujeitos passivos que exploram o segmento fiscalizado. Para fins orçamentários há que se ter um planejamento mínimo em relação às despesas estatais, no que o mesmo planejamento é exigido para fins de fixação da base de cálculo de uma taxa que visa custear a atividade de polícia administrativa do Estado. Isso não quer dizer que a base de cálculo das taxas nunca poderá conter elementos relacionados </w:t>
      </w:r>
      <w:r w:rsidRPr="00351F4B">
        <w:rPr>
          <w:rFonts w:ascii="Arial" w:eastAsia="Arial" w:hAnsi="Arial" w:cs="Arial"/>
          <w:color w:val="000000"/>
          <w:sz w:val="20"/>
          <w:szCs w:val="20"/>
        </w:rPr>
        <w:lastRenderedPageBreak/>
        <w:t xml:space="preserve">aos contribuintes. 17. Os princípios da isonomia e da capacidade contributiva, como corolários da justiça fiscal, não são obliterados quando em voga tributos </w:t>
      </w:r>
      <w:proofErr w:type="spellStart"/>
      <w:r w:rsidRPr="00351F4B">
        <w:rPr>
          <w:rFonts w:ascii="Arial" w:eastAsia="Arial" w:hAnsi="Arial" w:cs="Arial"/>
          <w:color w:val="000000"/>
          <w:sz w:val="20"/>
          <w:szCs w:val="20"/>
        </w:rPr>
        <w:t>contraprestacionais</w:t>
      </w:r>
      <w:proofErr w:type="spellEnd"/>
      <w:r w:rsidRPr="00351F4B">
        <w:rPr>
          <w:rFonts w:ascii="Arial" w:eastAsia="Arial" w:hAnsi="Arial" w:cs="Arial"/>
          <w:color w:val="000000"/>
          <w:sz w:val="20"/>
          <w:szCs w:val="20"/>
        </w:rPr>
        <w:t xml:space="preserve">, tal qual as taxas. Nos autos do RE 177835, Rel. Min. Carlos Velloso, Tribunal Pleno, julgado em 22/04/1999, DJ 25/05/2001, o Supremo Tribunal Federal entendeu não só legítima, mas desejável, a incidência da taxa de fiscalização das atividades das empresas de valores mobiliários baseada no patrimônio líquido das sociedades. O julgamento deu origem à Sumula 665, </w:t>
      </w:r>
      <w:proofErr w:type="spellStart"/>
      <w:r w:rsidRPr="00351F4B">
        <w:rPr>
          <w:rFonts w:ascii="Arial" w:eastAsia="Arial" w:hAnsi="Arial" w:cs="Arial"/>
          <w:color w:val="000000"/>
          <w:sz w:val="20"/>
          <w:szCs w:val="20"/>
        </w:rPr>
        <w:t>verbis</w:t>
      </w:r>
      <w:proofErr w:type="spellEnd"/>
      <w:r w:rsidRPr="00351F4B">
        <w:rPr>
          <w:rFonts w:ascii="Arial" w:eastAsia="Arial" w:hAnsi="Arial" w:cs="Arial"/>
          <w:color w:val="000000"/>
          <w:sz w:val="20"/>
          <w:szCs w:val="20"/>
        </w:rPr>
        <w:t xml:space="preserve">: “É constitucional a Taxa de Fiscalização dos Mercados de Títulos e Valores Mobiliários instituída pela Lei 7.940/89”. 18. O Tribunal também atestou a constitucionalidade da exigência de taxa de polícia sobre as atividades dos auditores independentes, calculada a partir do tamanho da carteira de clientes na ADI 453, Rel. Min. Gilmar Mendes, Tribunal Pleno, julgado em 30/08/2006, DJ 16/03/2007. Há equidade na retribuição pelo poder de polícia exercido em vista da maior complexidade na fiscalização de um número de clientes mais numeroso. 19. A TFRM do Estado do Amapá, tal como prevista pela Lei nº 1.613/11, a princípio, não leva em consideração a capacidade contributiva do sujeito passivo, mas, ao determinar um valor fixo por tonelada de minério produzida, está a refletir os custos da fiscalização sobre a atividade de pesquisa, lavra e exploração do minério, que podem variar em função do volume da produção. 20. O tipo de minério não faz diferença para fins de fiscalização da atividade de extração, mas há, de fato, uma relação entre o volume de minério extraído e o aumento do custo da fiscalização in loco, conforme se pode presumir da regra editada pela Unidade Federada. 21. A TFRM tributa o patrimônio de empresas dotadas de enorme capacidade econômica. Em matéria publicada pelo Jornal Valor Econômico, datada do dia 29 de julho de 2022, aponta-se que a maior mineradora do país, VALE, registrou lucro líquido de US$ 4,09 bilhões apenas no primeiro semestre de 2022. Outra empresa mineradora que opera em profusão no território nacional, a Anglo American, registrou lucro líquido de US$ 3,68 bilhões de dólares também no primeiro semestre de 2022. 22. A garantia do não confisco em matéria tributária, insculpida no art. 150, IV da CRFB, está diretamente associada à condição do sujeito passivo da obrigação tributária. A proteção dirige-se ao seu direito de propriedade. Para as pessoas jurídicas, o confisco está presente quando o tributo, de tão gravoso, dificulta-lhes sobremodo a exploração de suas atividades econômicas habituais. É dizer que o tributo deve ser dosado com razoabilidade, de modo a valorizar a livre iniciativa. (CARRAZZA, Roque Antônio, Curso de Direito Constitucional Tributário, São Paulo: Malheiros Editores, p – 102/103). 23. O lucro auferido por pessoas jurídicas de direito privado é necessário, desejável e protegido pelo próprio ordenamento constitucional. Ademais, o lucro não se constitui de hipótese de incidência da TFRM, haja vista a existência de impostos e contribuições de competência da União que incidem exatamente sobre este signo presuntivo de riqueza. 21. </w:t>
      </w:r>
      <w:proofErr w:type="spellStart"/>
      <w:r w:rsidRPr="00351F4B">
        <w:rPr>
          <w:rFonts w:ascii="Arial" w:eastAsia="Arial" w:hAnsi="Arial" w:cs="Arial"/>
          <w:color w:val="000000"/>
          <w:sz w:val="20"/>
          <w:szCs w:val="20"/>
        </w:rPr>
        <w:t>Consectariamente</w:t>
      </w:r>
      <w:proofErr w:type="spellEnd"/>
      <w:r w:rsidRPr="00351F4B">
        <w:rPr>
          <w:rFonts w:ascii="Arial" w:eastAsia="Arial" w:hAnsi="Arial" w:cs="Arial"/>
          <w:color w:val="000000"/>
          <w:sz w:val="20"/>
          <w:szCs w:val="20"/>
        </w:rPr>
        <w:t xml:space="preserve">, partindo de um pressuposto de Análise Econômica do Direito, em que se busca a maximização da riqueza, afere-se que a exigência fiscal já datada de quase uma década não tem impactado os resultados das empresas que operam no mercado de mineração, mostrando-se exações suportáveis pelos contribuintes. Não há efeito confiscatório desproporcional. 22. À luz de uma teoria dos jogos, caso adotada a premissa do teto limite de recolhimento, é possível que o particular, assumindo uma posição agressiva, incremente sua capacidade produtiva, ultrapassando o teto que venha a ser fixado na legislação para recolhimento da taxa, momento em que o modelo tenderá a produzir a maximização de benefícios ao particular, em detrimento do outro jogador, no caso o Estado, e mesmo da própria coletividade, que conviverá com uma exploração da atividade mineral em escala exponencial. 23. A manutenção do sistema sem a fixação do teto tende a compor um equilíbrio ótimo para ambas as partes, na medida em que as empresas exploradoras da atividade são compelidas a limitar sua atividade produtiva em vista do quantum </w:t>
      </w:r>
      <w:proofErr w:type="spellStart"/>
      <w:r w:rsidRPr="00351F4B">
        <w:rPr>
          <w:rFonts w:ascii="Arial" w:eastAsia="Arial" w:hAnsi="Arial" w:cs="Arial"/>
          <w:color w:val="000000"/>
          <w:sz w:val="20"/>
          <w:szCs w:val="20"/>
        </w:rPr>
        <w:t>debeatur</w:t>
      </w:r>
      <w:proofErr w:type="spellEnd"/>
      <w:r w:rsidRPr="00351F4B">
        <w:rPr>
          <w:rFonts w:ascii="Arial" w:eastAsia="Arial" w:hAnsi="Arial" w:cs="Arial"/>
          <w:color w:val="000000"/>
          <w:sz w:val="20"/>
          <w:szCs w:val="20"/>
        </w:rPr>
        <w:t xml:space="preserve"> da taxa. A exploração para além da capacidade de pagamento ensejaria uma atividade não lucrativa, e, portanto, não desejável. 24. O potencial lesivo ao ambiente que a atividade minerária encerra, torna necessário que o Estado tenha recursos para assegurar a saúde e o </w:t>
      </w:r>
      <w:proofErr w:type="gramStart"/>
      <w:r w:rsidRPr="00351F4B">
        <w:rPr>
          <w:rFonts w:ascii="Arial" w:eastAsia="Arial" w:hAnsi="Arial" w:cs="Arial"/>
          <w:color w:val="000000"/>
          <w:sz w:val="20"/>
          <w:szCs w:val="20"/>
        </w:rPr>
        <w:t>bem estar</w:t>
      </w:r>
      <w:proofErr w:type="gramEnd"/>
      <w:r w:rsidRPr="00351F4B">
        <w:rPr>
          <w:rFonts w:ascii="Arial" w:eastAsia="Arial" w:hAnsi="Arial" w:cs="Arial"/>
          <w:color w:val="000000"/>
          <w:sz w:val="20"/>
          <w:szCs w:val="20"/>
        </w:rPr>
        <w:t xml:space="preserve"> das populações diretamente envolvidas no exercício da atividade de exploração mineral. Tragédias recentes como as dos </w:t>
      </w:r>
      <w:r w:rsidRPr="00351F4B">
        <w:rPr>
          <w:rFonts w:ascii="Arial" w:eastAsia="Arial" w:hAnsi="Arial" w:cs="Arial"/>
          <w:color w:val="000000"/>
          <w:sz w:val="20"/>
          <w:szCs w:val="20"/>
        </w:rPr>
        <w:lastRenderedPageBreak/>
        <w:t xml:space="preserve">municípios mineiros de Mariana/MG e Brumadinho/MG demonstram o quanto o poder de polícia administrativa nestas situações deve ser rigoroso e bem estruturado. 24. A ideia de se utilizar a tributação como forma de incentivo ou desincentivo à exploração de atividades nocivas ao meio ambiente é política de </w:t>
      </w:r>
      <w:proofErr w:type="gramStart"/>
      <w:r w:rsidRPr="00351F4B">
        <w:rPr>
          <w:rFonts w:ascii="Arial" w:eastAsia="Arial" w:hAnsi="Arial" w:cs="Arial"/>
          <w:color w:val="000000"/>
          <w:sz w:val="20"/>
          <w:szCs w:val="20"/>
        </w:rPr>
        <w:t>quase todos países</w:t>
      </w:r>
      <w:proofErr w:type="gramEnd"/>
      <w:r w:rsidRPr="00351F4B">
        <w:rPr>
          <w:rFonts w:ascii="Arial" w:eastAsia="Arial" w:hAnsi="Arial" w:cs="Arial"/>
          <w:color w:val="000000"/>
          <w:sz w:val="20"/>
          <w:szCs w:val="20"/>
        </w:rPr>
        <w:t xml:space="preserve"> do mundo, sugerida, inclusive, pela OCDE (</w:t>
      </w:r>
      <w:proofErr w:type="spellStart"/>
      <w:r w:rsidRPr="00351F4B">
        <w:rPr>
          <w:rFonts w:ascii="Arial" w:eastAsia="Arial" w:hAnsi="Arial" w:cs="Arial"/>
          <w:color w:val="000000"/>
          <w:sz w:val="20"/>
          <w:szCs w:val="20"/>
        </w:rPr>
        <w:t>Taxation</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Inovation</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and</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the</w:t>
      </w:r>
      <w:proofErr w:type="spellEnd"/>
      <w:r w:rsidRPr="00351F4B">
        <w:rPr>
          <w:rFonts w:ascii="Arial" w:eastAsia="Arial" w:hAnsi="Arial" w:cs="Arial"/>
          <w:color w:val="000000"/>
          <w:sz w:val="20"/>
          <w:szCs w:val="20"/>
        </w:rPr>
        <w:t xml:space="preserve"> </w:t>
      </w:r>
      <w:proofErr w:type="spellStart"/>
      <w:r w:rsidRPr="00351F4B">
        <w:rPr>
          <w:rFonts w:ascii="Arial" w:eastAsia="Arial" w:hAnsi="Arial" w:cs="Arial"/>
          <w:color w:val="000000"/>
          <w:sz w:val="20"/>
          <w:szCs w:val="20"/>
        </w:rPr>
        <w:t>Environment</w:t>
      </w:r>
      <w:proofErr w:type="spellEnd"/>
      <w:r w:rsidRPr="00351F4B">
        <w:rPr>
          <w:rFonts w:ascii="Arial" w:eastAsia="Arial" w:hAnsi="Arial" w:cs="Arial"/>
          <w:color w:val="000000"/>
          <w:sz w:val="20"/>
          <w:szCs w:val="20"/>
        </w:rPr>
        <w:t xml:space="preserve">, OECD, 2010). 25. As políticas ambientais que criam instrumentos que impõem um sobrepreço ao uso dos recursos naturais, à semelhança do que determina o princípio do “poluidor/pagador”, é legitimada sob a ótica de uma Análise Econômica do Direito, em linha com as chamadas “taxas </w:t>
      </w:r>
      <w:proofErr w:type="spellStart"/>
      <w:r w:rsidRPr="00351F4B">
        <w:rPr>
          <w:rFonts w:ascii="Arial" w:eastAsia="Arial" w:hAnsi="Arial" w:cs="Arial"/>
          <w:color w:val="000000"/>
          <w:sz w:val="20"/>
          <w:szCs w:val="20"/>
        </w:rPr>
        <w:t>pigouvianas</w:t>
      </w:r>
      <w:proofErr w:type="spellEnd"/>
      <w:r w:rsidRPr="00351F4B">
        <w:rPr>
          <w:rFonts w:ascii="Arial" w:eastAsia="Arial" w:hAnsi="Arial" w:cs="Arial"/>
          <w:color w:val="000000"/>
          <w:sz w:val="20"/>
          <w:szCs w:val="20"/>
        </w:rPr>
        <w:t xml:space="preserve">”. 26. Em nosso ordenamento, a definição de </w:t>
      </w:r>
      <w:proofErr w:type="spellStart"/>
      <w:r w:rsidRPr="00351F4B">
        <w:rPr>
          <w:rFonts w:ascii="Arial" w:eastAsia="Arial" w:hAnsi="Arial" w:cs="Arial"/>
          <w:color w:val="000000"/>
          <w:sz w:val="20"/>
          <w:szCs w:val="20"/>
        </w:rPr>
        <w:t>extrafiscalidade</w:t>
      </w:r>
      <w:proofErr w:type="spellEnd"/>
      <w:r w:rsidRPr="00351F4B">
        <w:rPr>
          <w:rFonts w:ascii="Arial" w:eastAsia="Arial" w:hAnsi="Arial" w:cs="Arial"/>
          <w:color w:val="000000"/>
          <w:sz w:val="20"/>
          <w:szCs w:val="20"/>
        </w:rPr>
        <w:t xml:space="preserve"> alberga grande parte do modelo econômico exposto por economistas desde o início do século XX. A maximização de resultados entre o exercício regular do poder de polícia, materializado na fiscalização ambiental, e a exigência de tributação sobre a atividade econômica perpassa pela aferição da eficácia da política operada pelo Poder Público. 27. A ordem constitucional brasileira consagra a relação entre a livre iniciativa e o meio ambiente, a partir da dicção do art. 170, no qual a ordem econômica fundada na valorização do trabalho humano e na livre iniciativa caminha pari passu com a defesa ambiental (inciso VI). 28. O Supremo Tribunal Federal julgou constitucional a Taxa de Controle e Fiscalização Ambiental devida pelas empresas que exercem atividades potencialmente poluidoras e utilizadoras de recursos naturais em virtude do poder de polícia exercido pelo Ibama. (RE 416601, Rel. Min. Carlos Velloso, Tribunal Pleno, julgado em 10/08/2005, DJ 30/09/2005). 29. Ação Direta julgada prejudicada pela perda de objeto em relação ao art. 6º, § 3º da Lei 1.613/11 e, quanto aos demais dispositivos impugnados, totalmente improcedente.</w:t>
      </w:r>
    </w:p>
    <w:p w14:paraId="677EBACE" w14:textId="03D16F78" w:rsidR="00351F4B" w:rsidRPr="00351F4B" w:rsidRDefault="00351F4B" w:rsidP="001331C5">
      <w:pPr>
        <w:spacing w:after="120"/>
        <w:jc w:val="both"/>
        <w:rPr>
          <w:rFonts w:ascii="Arial" w:eastAsia="Arial" w:hAnsi="Arial" w:cs="Arial"/>
          <w:color w:val="000000"/>
          <w:sz w:val="20"/>
          <w:szCs w:val="20"/>
        </w:rPr>
      </w:pPr>
      <w:r w:rsidRPr="00351F4B">
        <w:rPr>
          <w:rFonts w:ascii="Arial" w:eastAsia="Arial" w:hAnsi="Arial" w:cs="Arial"/>
          <w:color w:val="000000"/>
          <w:sz w:val="20"/>
          <w:szCs w:val="20"/>
        </w:rPr>
        <w:t xml:space="preserve">(STF, </w:t>
      </w:r>
      <w:hyperlink r:id="rId11" w:history="1">
        <w:r w:rsidRPr="00351F4B">
          <w:rPr>
            <w:rStyle w:val="Hyperlink"/>
            <w:rFonts w:ascii="Arial" w:eastAsia="Arial" w:hAnsi="Arial" w:cs="Arial"/>
            <w:sz w:val="20"/>
            <w:szCs w:val="20"/>
          </w:rPr>
          <w:t>ADI 4787</w:t>
        </w:r>
      </w:hyperlink>
      <w:r w:rsidRPr="00351F4B">
        <w:rPr>
          <w:rFonts w:ascii="Arial" w:eastAsia="Arial" w:hAnsi="Arial" w:cs="Arial"/>
          <w:color w:val="000000"/>
          <w:sz w:val="20"/>
          <w:szCs w:val="20"/>
        </w:rPr>
        <w:t>, Relator(a): Min. Luiz Fux, Tribunal Pleno, julgado em 01/08/2022, veiculado em 13/10/2022, publicado em 14/10/2022)</w:t>
      </w:r>
    </w:p>
    <w:p w14:paraId="55BDEBC5" w14:textId="77777777" w:rsidR="00674104" w:rsidRDefault="00674104">
      <w:pPr>
        <w:spacing w:line="276" w:lineRule="auto"/>
        <w:rPr>
          <w:rFonts w:ascii="Arial" w:eastAsia="Arial" w:hAnsi="Arial" w:cs="Arial"/>
          <w:color w:val="000000"/>
          <w:sz w:val="20"/>
          <w:szCs w:val="20"/>
        </w:rPr>
      </w:pPr>
    </w:p>
    <w:p w14:paraId="720AB9E8" w14:textId="77777777" w:rsidR="00674104" w:rsidRDefault="00000000">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08AF537" w14:textId="77777777" w:rsidR="00674104" w:rsidRDefault="00674104">
      <w:pPr>
        <w:pStyle w:val="TCU-Ac-item9-"/>
        <w:spacing w:line="276" w:lineRule="auto"/>
        <w:ind w:firstLine="0"/>
        <w:rPr>
          <w:rFonts w:ascii="Arial" w:eastAsia="Arial" w:hAnsi="Arial" w:cs="Arial"/>
          <w:b/>
          <w:bCs/>
          <w:color w:val="000000"/>
          <w:sz w:val="20"/>
          <w:szCs w:val="20"/>
        </w:rPr>
      </w:pPr>
    </w:p>
    <w:p w14:paraId="57EAA35C" w14:textId="5A507894" w:rsidR="00183A15" w:rsidRPr="00183A15" w:rsidRDefault="00613425" w:rsidP="00183A15">
      <w:pPr>
        <w:pStyle w:val="Default"/>
        <w:spacing w:after="120"/>
        <w:jc w:val="both"/>
        <w:rPr>
          <w:rFonts w:eastAsia="Arial"/>
          <w:b/>
          <w:bCs/>
          <w:sz w:val="20"/>
          <w:szCs w:val="20"/>
        </w:rPr>
      </w:pPr>
      <w:r>
        <w:rPr>
          <w:rFonts w:eastAsia="Arial"/>
          <w:b/>
          <w:bCs/>
          <w:sz w:val="20"/>
          <w:szCs w:val="20"/>
        </w:rPr>
        <w:t>5</w:t>
      </w:r>
      <w:r w:rsidR="0032790A" w:rsidRPr="00183A15">
        <w:rPr>
          <w:rFonts w:eastAsia="Arial"/>
          <w:b/>
          <w:bCs/>
          <w:sz w:val="20"/>
          <w:szCs w:val="20"/>
        </w:rPr>
        <w:t>. AGRAVO REGIMENTAL NO RECURSO ESPECIAL. PESCA EM LOCAL E PERÍODO PROIBIDOS. USO DE PETRECHOS NÃO PERMITIDOS. APLICAÇÃO DO PRINCÍPIO DA INSIGNIFICÂNCIA. IMPOSSIBILIDADE. AGRAVO REGIMENTAL NÃO PROVIDO.</w:t>
      </w:r>
    </w:p>
    <w:p w14:paraId="5F89E01B" w14:textId="77777777" w:rsidR="00183A15" w:rsidRPr="00183A15" w:rsidRDefault="00183A15" w:rsidP="00183A15">
      <w:pPr>
        <w:pStyle w:val="Default"/>
        <w:spacing w:line="276" w:lineRule="auto"/>
        <w:jc w:val="both"/>
        <w:rPr>
          <w:rFonts w:eastAsia="Arial"/>
          <w:sz w:val="20"/>
          <w:szCs w:val="20"/>
        </w:rPr>
      </w:pPr>
      <w:r w:rsidRPr="00183A15">
        <w:rPr>
          <w:rFonts w:eastAsia="Arial"/>
          <w:sz w:val="20"/>
          <w:szCs w:val="20"/>
        </w:rPr>
        <w:t>1. Segundo a compreensão do STJ, a aplicação do princípio da bagatela, nos crimes ambientais, requer a conjugação dos seguintes vetores: conduta minimamente ofensiva; ausência de periculosidade do agente; reduzido grau de reprovabilidade do comportamento e lesão jurídica inexpressiva.</w:t>
      </w:r>
    </w:p>
    <w:p w14:paraId="476743ED" w14:textId="77777777" w:rsidR="00183A15" w:rsidRPr="00183A15" w:rsidRDefault="00183A15" w:rsidP="00183A15">
      <w:pPr>
        <w:pStyle w:val="Default"/>
        <w:spacing w:line="276" w:lineRule="auto"/>
        <w:jc w:val="both"/>
        <w:rPr>
          <w:rFonts w:eastAsia="Arial"/>
          <w:sz w:val="20"/>
          <w:szCs w:val="20"/>
        </w:rPr>
      </w:pPr>
      <w:r w:rsidRPr="00183A15">
        <w:rPr>
          <w:rFonts w:eastAsia="Arial"/>
          <w:sz w:val="20"/>
          <w:szCs w:val="20"/>
        </w:rPr>
        <w:t>2. No caso, embora a quantidade de peixes apreendidos não haja sido expressiva, a forma como foi praticado o delito - em local proibido, em período de defeso, em virtude da piracema, mediante a utilização de rede, petrecho não permitido - demonstra a ofensividade da conduta e afasta, portanto, a aplicação do princípio da insignificância.</w:t>
      </w:r>
    </w:p>
    <w:p w14:paraId="5FA5A5F3" w14:textId="77777777" w:rsidR="00183A15" w:rsidRPr="00183A15" w:rsidRDefault="00183A15" w:rsidP="00183A15">
      <w:pPr>
        <w:pStyle w:val="Default"/>
        <w:spacing w:after="120"/>
        <w:jc w:val="both"/>
        <w:rPr>
          <w:rFonts w:eastAsia="Arial"/>
          <w:sz w:val="20"/>
          <w:szCs w:val="20"/>
        </w:rPr>
      </w:pPr>
      <w:r w:rsidRPr="00183A15">
        <w:rPr>
          <w:rFonts w:eastAsia="Arial"/>
          <w:sz w:val="20"/>
          <w:szCs w:val="20"/>
        </w:rPr>
        <w:t>3. Agravo regimental não provido.</w:t>
      </w:r>
    </w:p>
    <w:p w14:paraId="70DC46B9" w14:textId="5C7A0D39" w:rsidR="00183A15" w:rsidRDefault="00183A15" w:rsidP="00183A15">
      <w:pPr>
        <w:pStyle w:val="Default"/>
        <w:spacing w:line="276" w:lineRule="auto"/>
        <w:jc w:val="both"/>
        <w:rPr>
          <w:rFonts w:eastAsia="Arial"/>
          <w:sz w:val="20"/>
          <w:szCs w:val="20"/>
        </w:rPr>
      </w:pPr>
      <w:r w:rsidRPr="00613425">
        <w:rPr>
          <w:rFonts w:eastAsia="Arial"/>
          <w:sz w:val="20"/>
          <w:szCs w:val="20"/>
        </w:rPr>
        <w:t xml:space="preserve">(STJ, </w:t>
      </w:r>
      <w:hyperlink r:id="rId12" w:history="1">
        <w:proofErr w:type="spellStart"/>
        <w:r w:rsidRPr="00613425">
          <w:rPr>
            <w:rStyle w:val="Hyperlink"/>
            <w:rFonts w:eastAsia="Arial"/>
            <w:sz w:val="20"/>
            <w:szCs w:val="20"/>
          </w:rPr>
          <w:t>AgRg</w:t>
        </w:r>
        <w:proofErr w:type="spellEnd"/>
        <w:r w:rsidRPr="00613425">
          <w:rPr>
            <w:rStyle w:val="Hyperlink"/>
            <w:rFonts w:eastAsia="Arial"/>
            <w:sz w:val="20"/>
            <w:szCs w:val="20"/>
          </w:rPr>
          <w:t xml:space="preserve"> no </w:t>
        </w:r>
        <w:proofErr w:type="spellStart"/>
        <w:r w:rsidRPr="00613425">
          <w:rPr>
            <w:rStyle w:val="Hyperlink"/>
            <w:rFonts w:eastAsia="Arial"/>
            <w:sz w:val="20"/>
            <w:szCs w:val="20"/>
          </w:rPr>
          <w:t>AREsp</w:t>
        </w:r>
        <w:proofErr w:type="spellEnd"/>
        <w:r w:rsidRPr="00613425">
          <w:rPr>
            <w:rStyle w:val="Hyperlink"/>
            <w:rFonts w:eastAsia="Arial"/>
            <w:sz w:val="20"/>
            <w:szCs w:val="20"/>
          </w:rPr>
          <w:t xml:space="preserve"> n.º 1.884.148/RS</w:t>
        </w:r>
      </w:hyperlink>
      <w:r w:rsidRPr="00613425">
        <w:rPr>
          <w:rFonts w:eastAsia="Arial"/>
          <w:sz w:val="20"/>
          <w:szCs w:val="20"/>
        </w:rPr>
        <w:t xml:space="preserve">, Rel. </w:t>
      </w:r>
      <w:r w:rsidRPr="00183A15">
        <w:rPr>
          <w:rFonts w:eastAsia="Arial"/>
          <w:sz w:val="20"/>
          <w:szCs w:val="20"/>
        </w:rPr>
        <w:t xml:space="preserve">Ministro Rogerio </w:t>
      </w:r>
      <w:proofErr w:type="spellStart"/>
      <w:r w:rsidRPr="00183A15">
        <w:rPr>
          <w:rFonts w:eastAsia="Arial"/>
          <w:sz w:val="20"/>
          <w:szCs w:val="20"/>
        </w:rPr>
        <w:t>Schietti</w:t>
      </w:r>
      <w:proofErr w:type="spellEnd"/>
      <w:r w:rsidRPr="00183A15">
        <w:rPr>
          <w:rFonts w:eastAsia="Arial"/>
          <w:sz w:val="20"/>
          <w:szCs w:val="20"/>
        </w:rPr>
        <w:t xml:space="preserve"> Cruz, Sexta Turma, julgado em </w:t>
      </w:r>
      <w:r>
        <w:rPr>
          <w:rFonts w:eastAsia="Arial"/>
          <w:sz w:val="20"/>
          <w:szCs w:val="20"/>
        </w:rPr>
        <w:t>0</w:t>
      </w:r>
      <w:r w:rsidRPr="00183A15">
        <w:rPr>
          <w:rFonts w:eastAsia="Arial"/>
          <w:sz w:val="20"/>
          <w:szCs w:val="20"/>
        </w:rPr>
        <w:t xml:space="preserve">6/12/2022, </w:t>
      </w:r>
      <w:r>
        <w:rPr>
          <w:rFonts w:eastAsia="Arial"/>
          <w:sz w:val="20"/>
          <w:szCs w:val="20"/>
        </w:rPr>
        <w:t>veiculado em</w:t>
      </w:r>
      <w:r w:rsidRPr="00183A15">
        <w:rPr>
          <w:rFonts w:eastAsia="Arial"/>
          <w:sz w:val="20"/>
          <w:szCs w:val="20"/>
        </w:rPr>
        <w:t xml:space="preserve"> 15/12/2022.)</w:t>
      </w:r>
    </w:p>
    <w:p w14:paraId="53A486E8" w14:textId="77777777" w:rsidR="00674104" w:rsidRDefault="00674104">
      <w:pPr>
        <w:pStyle w:val="Default"/>
        <w:spacing w:line="276" w:lineRule="auto"/>
        <w:jc w:val="both"/>
        <w:rPr>
          <w:b/>
          <w:sz w:val="20"/>
          <w:szCs w:val="20"/>
        </w:rPr>
      </w:pPr>
    </w:p>
    <w:p w14:paraId="69D852A3" w14:textId="77777777" w:rsidR="00674104" w:rsidRDefault="00000000">
      <w:pPr>
        <w:pStyle w:val="Default"/>
        <w:spacing w:line="276" w:lineRule="auto"/>
        <w:jc w:val="center"/>
        <w:rPr>
          <w:rStyle w:val="Hyperlink"/>
          <w:sz w:val="20"/>
          <w:szCs w:val="20"/>
        </w:rPr>
      </w:pPr>
      <w:hyperlink r:id="rId13" w:tooltip="http://www1.tce.pr.gov.br/conteudo/pesquisas-prontas/308475/area/249" w:history="1">
        <w:r>
          <w:rPr>
            <w:rStyle w:val="Hyperlink"/>
            <w:b/>
            <w:sz w:val="20"/>
            <w:szCs w:val="20"/>
          </w:rPr>
          <w:t>Pesquisas Prontas</w:t>
        </w:r>
      </w:hyperlink>
    </w:p>
    <w:p w14:paraId="2AE727AF" w14:textId="77777777" w:rsidR="00674104" w:rsidRDefault="00674104">
      <w:pPr>
        <w:pStyle w:val="Default"/>
        <w:spacing w:line="276" w:lineRule="auto"/>
        <w:jc w:val="center"/>
        <w:rPr>
          <w:rStyle w:val="Hyperlink"/>
          <w:b/>
          <w:sz w:val="20"/>
          <w:szCs w:val="20"/>
        </w:rPr>
      </w:pPr>
    </w:p>
    <w:p w14:paraId="00EA30B5" w14:textId="77777777" w:rsidR="00674104" w:rsidRDefault="00000000">
      <w:pPr>
        <w:pStyle w:val="Default"/>
        <w:spacing w:line="276" w:lineRule="auto"/>
        <w:jc w:val="center"/>
        <w:rPr>
          <w:rStyle w:val="Hyperlink"/>
          <w:b/>
          <w:sz w:val="20"/>
          <w:szCs w:val="20"/>
        </w:rPr>
      </w:pPr>
      <w:hyperlink r:id="rId14" w:tooltip="http://www1.tce.pr.gov.br/conteudo/boletim-informativo-de-jurisprudencia/280400/area/249" w:history="1">
        <w:r>
          <w:rPr>
            <w:rStyle w:val="Hyperlink"/>
            <w:b/>
            <w:sz w:val="20"/>
            <w:szCs w:val="20"/>
          </w:rPr>
          <w:t>Boletim Informativo de Jurisprudência</w:t>
        </w:r>
      </w:hyperlink>
    </w:p>
    <w:p w14:paraId="335B31D9" w14:textId="77777777" w:rsidR="00674104" w:rsidRDefault="00674104">
      <w:pPr>
        <w:pStyle w:val="Default"/>
        <w:spacing w:line="276" w:lineRule="auto"/>
        <w:jc w:val="center"/>
        <w:rPr>
          <w:rStyle w:val="Hyperlink"/>
          <w:b/>
          <w:sz w:val="20"/>
          <w:szCs w:val="20"/>
        </w:rPr>
      </w:pPr>
    </w:p>
    <w:p w14:paraId="4C941E1C" w14:textId="77777777" w:rsidR="00674104" w:rsidRDefault="00000000">
      <w:pPr>
        <w:pStyle w:val="Default"/>
        <w:spacing w:line="276" w:lineRule="auto"/>
        <w:jc w:val="center"/>
        <w:rPr>
          <w:sz w:val="20"/>
          <w:szCs w:val="20"/>
        </w:rPr>
      </w:pPr>
      <w:hyperlink r:id="rId15" w:tooltip="http://www1.tce.pr.gov.br/conteudo/boletim-de-jurisprudencia-internacional/316601/area/249" w:history="1">
        <w:proofErr w:type="spellStart"/>
        <w:r>
          <w:rPr>
            <w:rStyle w:val="Hyperlink"/>
            <w:b/>
            <w:sz w:val="20"/>
            <w:szCs w:val="20"/>
          </w:rPr>
          <w:t>Interjuris</w:t>
        </w:r>
        <w:proofErr w:type="spellEnd"/>
      </w:hyperlink>
    </w:p>
    <w:p w14:paraId="6953FA10" w14:textId="77777777" w:rsidR="00674104" w:rsidRDefault="00674104">
      <w:pPr>
        <w:pStyle w:val="Default"/>
        <w:spacing w:line="276" w:lineRule="auto"/>
        <w:jc w:val="center"/>
        <w:rPr>
          <w:sz w:val="20"/>
          <w:szCs w:val="20"/>
        </w:rPr>
      </w:pPr>
    </w:p>
    <w:p w14:paraId="55AD30E5" w14:textId="77777777" w:rsidR="00674104" w:rsidRDefault="00000000">
      <w:pPr>
        <w:pStyle w:val="Default"/>
        <w:spacing w:line="276" w:lineRule="auto"/>
        <w:jc w:val="center"/>
        <w:rPr>
          <w:rStyle w:val="Hyperlink"/>
          <w:b/>
          <w:sz w:val="20"/>
          <w:szCs w:val="20"/>
        </w:rPr>
      </w:pPr>
      <w:hyperlink r:id="rId16" w:tooltip="http://www1.tce.pr.gov.br/conteudo/repercussao-geral-no-stf-e-os-tribunais-de-contas/307026/area/249" w:history="1">
        <w:r>
          <w:rPr>
            <w:rStyle w:val="Hyperlink"/>
            <w:b/>
            <w:sz w:val="20"/>
            <w:szCs w:val="20"/>
          </w:rPr>
          <w:t>Repercussão Geral do Supremo Tribunal Federal - STF e os Tribunais de Contas</w:t>
        </w:r>
      </w:hyperlink>
    </w:p>
    <w:p w14:paraId="7039AF69" w14:textId="77777777" w:rsidR="00674104" w:rsidRDefault="00674104">
      <w:pPr>
        <w:pStyle w:val="Default"/>
        <w:spacing w:line="276" w:lineRule="auto"/>
        <w:jc w:val="center"/>
        <w:rPr>
          <w:rStyle w:val="Hyperlink"/>
          <w:b/>
          <w:sz w:val="20"/>
          <w:szCs w:val="20"/>
        </w:rPr>
      </w:pPr>
    </w:p>
    <w:p w14:paraId="700B3066" w14:textId="77777777" w:rsidR="00674104" w:rsidRDefault="00000000">
      <w:pPr>
        <w:pStyle w:val="Default"/>
        <w:spacing w:line="276" w:lineRule="auto"/>
        <w:jc w:val="center"/>
        <w:rPr>
          <w:rStyle w:val="Hyperlink"/>
          <w:b/>
          <w:sz w:val="20"/>
          <w:szCs w:val="20"/>
        </w:rPr>
      </w:pPr>
      <w:hyperlink r:id="rId17" w:tooltip="http://www1.tce.pr.gov.br/conteudo/sumulas-selecionadas/316602/area/249" w:history="1">
        <w:r>
          <w:rPr>
            <w:rStyle w:val="Hyperlink"/>
            <w:b/>
            <w:sz w:val="20"/>
            <w:szCs w:val="20"/>
          </w:rPr>
          <w:t>Súmulas Selecionadas</w:t>
        </w:r>
      </w:hyperlink>
    </w:p>
    <w:p w14:paraId="784CB090" w14:textId="77777777" w:rsidR="00674104"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4896" behindDoc="0" locked="0" layoutInCell="1" allowOverlap="1" wp14:anchorId="7CE88545" wp14:editId="7F4D9BD4">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4896;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311E79BA" w14:textId="77777777" w:rsidR="00674104" w:rsidRDefault="00674104">
      <w:pPr>
        <w:jc w:val="center"/>
        <w:rPr>
          <w:rStyle w:val="Hyperlink"/>
          <w:rFonts w:ascii="Arial" w:hAnsi="Arial" w:cs="Arial"/>
          <w:i/>
          <w:color w:val="000000"/>
          <w:sz w:val="20"/>
          <w:szCs w:val="20"/>
          <w:u w:val="none"/>
        </w:rPr>
      </w:pPr>
    </w:p>
    <w:p w14:paraId="7930A052" w14:textId="77777777" w:rsidR="00674104" w:rsidRDefault="00000000">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AA65E" w14:textId="77777777" w:rsidR="00885059" w:rsidRDefault="00885059">
      <w:r>
        <w:separator/>
      </w:r>
    </w:p>
  </w:endnote>
  <w:endnote w:type="continuationSeparator" w:id="0">
    <w:p w14:paraId="74FC22A8" w14:textId="77777777" w:rsidR="00885059" w:rsidRDefault="0088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8AD4" w14:textId="77777777" w:rsidR="00674104" w:rsidRDefault="00000000">
    <w:pPr>
      <w:pStyle w:val="Rodap"/>
      <w:jc w:val="center"/>
      <w:rPr>
        <w:sz w:val="16"/>
        <w:szCs w:val="16"/>
      </w:rPr>
    </w:pPr>
    <w:r>
      <w:rPr>
        <w:noProof/>
        <w:lang w:eastAsia="pt-BR"/>
      </w:rPr>
      <mc:AlternateContent>
        <mc:Choice Requires="wpg">
          <w:drawing>
            <wp:inline distT="0" distB="0" distL="0" distR="0" wp14:anchorId="330BC690" wp14:editId="65CD5D46">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36.5pt;height:18.2pt;" stroked="f">
              <v:path textboxrect="0,0,0,0"/>
              <v:imagedata r:id="rId2" o:title=""/>
            </v:shape>
          </w:pict>
        </mc:Fallback>
      </mc:AlternateContent>
    </w:r>
  </w:p>
  <w:p w14:paraId="6C70E0EC" w14:textId="77777777" w:rsidR="00674104"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171ABF4" w14:textId="77777777" w:rsidR="00674104" w:rsidRDefault="00674104"/>
  <w:p w14:paraId="40DE90F9" w14:textId="77777777" w:rsidR="00674104" w:rsidRDefault="00674104"/>
  <w:p w14:paraId="356C786C"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7973" w14:textId="77777777" w:rsidR="00885059" w:rsidRDefault="00885059">
      <w:r>
        <w:separator/>
      </w:r>
    </w:p>
  </w:footnote>
  <w:footnote w:type="continuationSeparator" w:id="0">
    <w:p w14:paraId="2D7B9D73" w14:textId="77777777" w:rsidR="00885059" w:rsidRDefault="00885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B873" w14:textId="77777777" w:rsidR="00674104" w:rsidRDefault="00674104">
    <w:pPr>
      <w:pStyle w:val="Cabealho"/>
      <w:spacing w:after="100" w:afterAutospacing="1"/>
      <w:jc w:val="center"/>
      <w:rPr>
        <w:b/>
      </w:rPr>
    </w:pPr>
  </w:p>
  <w:p w14:paraId="29BE05AC" w14:textId="77777777" w:rsidR="00674104" w:rsidRDefault="00000000">
    <w:pPr>
      <w:pStyle w:val="Cabealho"/>
      <w:spacing w:after="100" w:afterAutospacing="1"/>
      <w:jc w:val="center"/>
      <w:rPr>
        <w:b/>
      </w:rPr>
    </w:pPr>
    <w:r>
      <w:rPr>
        <w:noProof/>
        <w:lang w:eastAsia="pt-BR"/>
      </w:rPr>
      <mc:AlternateContent>
        <mc:Choice Requires="wpg">
          <w:drawing>
            <wp:inline distT="0" distB="0" distL="0" distR="0" wp14:anchorId="2B072A04" wp14:editId="4CE3B2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r>
      <w:rPr>
        <w:noProof/>
        <w:lang w:eastAsia="pt-BR"/>
      </w:rPr>
      <mc:AlternateContent>
        <mc:Choice Requires="wpg">
          <w:drawing>
            <wp:inline distT="0" distB="0" distL="0" distR="0" wp14:anchorId="564474B4" wp14:editId="1B3DF5CF">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3"/>
                      <a:stretch/>
                    </pic:blipFill>
                    <pic:spPr bwMode="auto">
                      <a:xfrm>
                        <a:off x="0" y="0"/>
                        <a:ext cx="1245870" cy="77978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98.1pt;height:61.4pt;" stroked="f">
              <v:path textboxrect="0,0,0,0"/>
              <v:imagedata r:id="rId4"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4"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5"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6"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7"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8"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11"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4"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7"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9"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3"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7"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28"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30"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7"/>
  </w:num>
  <w:num w:numId="2" w16cid:durableId="306250873">
    <w:abstractNumId w:val="32"/>
  </w:num>
  <w:num w:numId="3" w16cid:durableId="677388726">
    <w:abstractNumId w:val="5"/>
  </w:num>
  <w:num w:numId="4" w16cid:durableId="1047685675">
    <w:abstractNumId w:val="6"/>
  </w:num>
  <w:num w:numId="5" w16cid:durableId="721440985">
    <w:abstractNumId w:val="7"/>
  </w:num>
  <w:num w:numId="6" w16cid:durableId="1806388785">
    <w:abstractNumId w:val="29"/>
  </w:num>
  <w:num w:numId="7" w16cid:durableId="1750274423">
    <w:abstractNumId w:val="26"/>
  </w:num>
  <w:num w:numId="8" w16cid:durableId="1623338313">
    <w:abstractNumId w:val="18"/>
  </w:num>
  <w:num w:numId="9" w16cid:durableId="30689274">
    <w:abstractNumId w:val="3"/>
  </w:num>
  <w:num w:numId="10" w16cid:durableId="1698004936">
    <w:abstractNumId w:val="22"/>
  </w:num>
  <w:num w:numId="11" w16cid:durableId="1982075097">
    <w:abstractNumId w:val="10"/>
  </w:num>
  <w:num w:numId="12" w16cid:durableId="1728411462">
    <w:abstractNumId w:val="4"/>
  </w:num>
  <w:num w:numId="13" w16cid:durableId="655452802">
    <w:abstractNumId w:val="19"/>
  </w:num>
  <w:num w:numId="14" w16cid:durableId="1281952948">
    <w:abstractNumId w:val="31"/>
  </w:num>
  <w:num w:numId="15" w16cid:durableId="103888583">
    <w:abstractNumId w:val="12"/>
  </w:num>
  <w:num w:numId="16" w16cid:durableId="1451974577">
    <w:abstractNumId w:val="20"/>
  </w:num>
  <w:num w:numId="17" w16cid:durableId="1703506953">
    <w:abstractNumId w:val="11"/>
  </w:num>
  <w:num w:numId="18" w16cid:durableId="2026638350">
    <w:abstractNumId w:val="8"/>
  </w:num>
  <w:num w:numId="19" w16cid:durableId="1215431091">
    <w:abstractNumId w:val="9"/>
  </w:num>
  <w:num w:numId="20" w16cid:durableId="1899054223">
    <w:abstractNumId w:val="28"/>
  </w:num>
  <w:num w:numId="21" w16cid:durableId="1581677446">
    <w:abstractNumId w:val="17"/>
  </w:num>
  <w:num w:numId="22" w16cid:durableId="402145135">
    <w:abstractNumId w:val="2"/>
  </w:num>
  <w:num w:numId="23" w16cid:durableId="1958825558">
    <w:abstractNumId w:val="24"/>
  </w:num>
  <w:num w:numId="24" w16cid:durableId="1643582161">
    <w:abstractNumId w:val="23"/>
  </w:num>
  <w:num w:numId="25" w16cid:durableId="1396464771">
    <w:abstractNumId w:val="13"/>
  </w:num>
  <w:num w:numId="26" w16cid:durableId="579027903">
    <w:abstractNumId w:val="25"/>
  </w:num>
  <w:num w:numId="27" w16cid:durableId="507332749">
    <w:abstractNumId w:val="15"/>
  </w:num>
  <w:num w:numId="28" w16cid:durableId="522325421">
    <w:abstractNumId w:val="14"/>
  </w:num>
  <w:num w:numId="29" w16cid:durableId="1994405859">
    <w:abstractNumId w:val="30"/>
  </w:num>
  <w:num w:numId="30" w16cid:durableId="2041665161">
    <w:abstractNumId w:val="21"/>
  </w:num>
  <w:num w:numId="31" w16cid:durableId="825508633">
    <w:abstractNumId w:val="16"/>
  </w:num>
  <w:num w:numId="32" w16cid:durableId="1166626897">
    <w:abstractNumId w:val="0"/>
  </w:num>
  <w:num w:numId="33" w16cid:durableId="21356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04"/>
    <w:rsid w:val="00040AC2"/>
    <w:rsid w:val="00077C0D"/>
    <w:rsid w:val="000A0C9E"/>
    <w:rsid w:val="000D5E35"/>
    <w:rsid w:val="001331C5"/>
    <w:rsid w:val="0015344D"/>
    <w:rsid w:val="00183A15"/>
    <w:rsid w:val="001D4B88"/>
    <w:rsid w:val="00265060"/>
    <w:rsid w:val="0032790A"/>
    <w:rsid w:val="00351F4B"/>
    <w:rsid w:val="003C2C91"/>
    <w:rsid w:val="0048296C"/>
    <w:rsid w:val="004E74A0"/>
    <w:rsid w:val="005D558B"/>
    <w:rsid w:val="00613425"/>
    <w:rsid w:val="0067269E"/>
    <w:rsid w:val="00674104"/>
    <w:rsid w:val="00694B26"/>
    <w:rsid w:val="006A03EE"/>
    <w:rsid w:val="006F25DF"/>
    <w:rsid w:val="00732D1C"/>
    <w:rsid w:val="007A5AED"/>
    <w:rsid w:val="007B66F3"/>
    <w:rsid w:val="00885059"/>
    <w:rsid w:val="008963EF"/>
    <w:rsid w:val="008A36CA"/>
    <w:rsid w:val="009204AA"/>
    <w:rsid w:val="00BA656E"/>
    <w:rsid w:val="00C668B4"/>
    <w:rsid w:val="00C77289"/>
    <w:rsid w:val="00CC1302"/>
    <w:rsid w:val="00D07359"/>
    <w:rsid w:val="00E87B46"/>
    <w:rsid w:val="00EB3D00"/>
    <w:rsid w:val="00F332E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E6DB"/>
  <w15:docId w15:val="{2B7DC2A1-38FD-4E21-B0D2-146661F5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 w:id="50346217">
              <w:marLeft w:val="0"/>
              <w:marRight w:val="0"/>
              <w:marTop w:val="0"/>
              <w:marBottom w:val="0"/>
              <w:divBdr>
                <w:top w:val="none" w:sz="0" w:space="0" w:color="auto"/>
                <w:left w:val="none" w:sz="0" w:space="0" w:color="auto"/>
                <w:bottom w:val="none" w:sz="0" w:space="0" w:color="auto"/>
                <w:right w:val="none" w:sz="0" w:space="0" w:color="auto"/>
              </w:divBdr>
              <w:divsChild>
                <w:div w:id="1878422132">
                  <w:marLeft w:val="0"/>
                  <w:marRight w:val="0"/>
                  <w:marTop w:val="0"/>
                  <w:marBottom w:val="0"/>
                  <w:divBdr>
                    <w:top w:val="none" w:sz="0" w:space="0" w:color="auto"/>
                    <w:left w:val="none" w:sz="0" w:space="0" w:color="auto"/>
                    <w:bottom w:val="none" w:sz="0" w:space="0" w:color="auto"/>
                    <w:right w:val="none" w:sz="0" w:space="0" w:color="auto"/>
                  </w:divBdr>
                </w:div>
                <w:div w:id="17020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as.tcu.gov.br/sagas/SvlVisualizarRelVotoAcRtf?codFiltro=SAGAS-SESSAO-ENCERRADA&amp;seOcultaPagina=S&amp;item0=807592"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on.stj.jus.br/SCON/GetInteiroTeorDoAcordao?num_registro=202101392110&amp;dt_publicacao=15/12/2022"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ir.stf.jus.br/paginadorpub/paginador.jsp?docTP=TP&amp;docID=763771063"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tcjuris.tce.mg.gov.br/Home/BaixarArquivoArq?arquivo=27685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2/10/pdf/00369277.pdf"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Normal.dotm</Template>
  <TotalTime>7</TotalTime>
  <Pages>8</Pages>
  <Words>4113</Words>
  <Characters>22216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Barros</cp:lastModifiedBy>
  <cp:revision>3</cp:revision>
  <dcterms:created xsi:type="dcterms:W3CDTF">2023-02-01T02:06:00Z</dcterms:created>
  <dcterms:modified xsi:type="dcterms:W3CDTF">2023-02-01T02:25:00Z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