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6D9B52" w14:textId="77777777" w:rsidR="00674104" w:rsidRPr="00D96370" w:rsidRDefault="004215CB">
      <w:pPr>
        <w:pStyle w:val="Cabealho"/>
        <w:spacing w:line="276" w:lineRule="auto"/>
        <w:jc w:val="center"/>
        <w:rPr>
          <w:rFonts w:ascii="Arial" w:hAnsi="Arial" w:cs="Arial"/>
          <w:sz w:val="28"/>
          <w:szCs w:val="28"/>
        </w:rPr>
      </w:pPr>
      <w:r w:rsidRPr="00D96370">
        <w:rPr>
          <w:rFonts w:ascii="Arial" w:hAnsi="Arial" w:cs="Arial"/>
          <w:b/>
          <w:sz w:val="28"/>
          <w:szCs w:val="28"/>
        </w:rPr>
        <w:t>TESES AMBIENTAIS</w:t>
      </w:r>
      <w:r w:rsidRPr="00D96370">
        <w:rPr>
          <w:rFonts w:ascii="Arial" w:hAnsi="Arial" w:cs="Arial"/>
          <w:sz w:val="28"/>
          <w:szCs w:val="28"/>
        </w:rPr>
        <w:t xml:space="preserve"> </w:t>
      </w:r>
    </w:p>
    <w:p w14:paraId="2AEC89DC" w14:textId="77777777" w:rsidR="00674104" w:rsidRDefault="00674104">
      <w:pPr>
        <w:jc w:val="center"/>
        <w:rPr>
          <w:rFonts w:ascii="Arial" w:hAnsi="Arial" w:cs="Arial"/>
          <w:b/>
          <w:sz w:val="20"/>
          <w:szCs w:val="20"/>
        </w:rPr>
      </w:pPr>
    </w:p>
    <w:p w14:paraId="4F717425" w14:textId="3FEC0DB4" w:rsidR="00674104" w:rsidRPr="00D96370" w:rsidRDefault="004215CB">
      <w:pPr>
        <w:jc w:val="center"/>
        <w:rPr>
          <w:rFonts w:ascii="Arial" w:hAnsi="Arial" w:cs="Arial"/>
          <w:b/>
        </w:rPr>
      </w:pPr>
      <w:r w:rsidRPr="00D96370">
        <w:rPr>
          <w:rFonts w:ascii="Arial" w:hAnsi="Arial" w:cs="Arial"/>
          <w:b/>
        </w:rPr>
        <w:t xml:space="preserve">Número </w:t>
      </w:r>
      <w:r w:rsidR="00D96370" w:rsidRPr="00D96370">
        <w:rPr>
          <w:rFonts w:ascii="Arial" w:hAnsi="Arial" w:cs="Arial"/>
          <w:b/>
        </w:rPr>
        <w:t>3</w:t>
      </w:r>
      <w:r w:rsidR="002A20EF">
        <w:rPr>
          <w:rFonts w:ascii="Arial" w:hAnsi="Arial" w:cs="Arial"/>
          <w:b/>
        </w:rPr>
        <w:t>3</w:t>
      </w:r>
    </w:p>
    <w:p w14:paraId="4E818442" w14:textId="77777777" w:rsidR="00674104" w:rsidRDefault="00674104">
      <w:pPr>
        <w:jc w:val="center"/>
        <w:rPr>
          <w:rFonts w:ascii="Arial" w:hAnsi="Arial" w:cs="Arial"/>
          <w:b/>
          <w:sz w:val="20"/>
          <w:szCs w:val="20"/>
        </w:rPr>
      </w:pPr>
    </w:p>
    <w:p w14:paraId="59BBC97E" w14:textId="6777A201" w:rsidR="00674104" w:rsidRDefault="004215CB">
      <w:pPr>
        <w:jc w:val="both"/>
        <w:rPr>
          <w:rFonts w:ascii="Arial" w:hAnsi="Arial" w:cs="Arial"/>
          <w:sz w:val="20"/>
          <w:szCs w:val="20"/>
        </w:rPr>
      </w:pPr>
      <w:r>
        <w:rPr>
          <w:rFonts w:ascii="Arial" w:hAnsi="Arial" w:cs="Arial"/>
          <w:sz w:val="20"/>
          <w:szCs w:val="20"/>
        </w:rPr>
        <w:t xml:space="preserve">Este Boletim de periodicidade </w:t>
      </w:r>
      <w:r w:rsidR="001331C5">
        <w:rPr>
          <w:rFonts w:ascii="Arial" w:hAnsi="Arial" w:cs="Arial"/>
          <w:sz w:val="20"/>
          <w:szCs w:val="20"/>
        </w:rPr>
        <w:t>bimestral</w:t>
      </w:r>
      <w:r>
        <w:rPr>
          <w:rFonts w:ascii="Arial" w:hAnsi="Arial" w:cs="Arial"/>
          <w:sz w:val="20"/>
          <w:szCs w:val="20"/>
        </w:rPr>
        <w:t xml:space="preserve"> contém informações sintéticas </w:t>
      </w:r>
      <w:r w:rsidR="00324281">
        <w:rPr>
          <w:rFonts w:ascii="Arial" w:hAnsi="Arial" w:cs="Arial"/>
          <w:sz w:val="20"/>
          <w:szCs w:val="20"/>
        </w:rPr>
        <w:t>de julgados relacionados ao</w:t>
      </w:r>
      <w:r>
        <w:rPr>
          <w:rFonts w:ascii="Arial" w:hAnsi="Arial" w:cs="Arial"/>
          <w:sz w:val="20"/>
          <w:szCs w:val="20"/>
        </w:rPr>
        <w:t xml:space="preserve"> Direito Ambiental proferidas pelo Supremo Tribunal Federal - STF, Superior Tribunal de Justiça - STJ, Tribunal de Contas da União - TCU e do Tribunal de Contas do Paraná - TCEPR, bem como de outros Tribunais de Contas Estaduais e Municipais sobre temas relacionados ao controle externo</w:t>
      </w:r>
      <w:r w:rsidR="001F0576">
        <w:rPr>
          <w:rFonts w:ascii="Arial" w:hAnsi="Arial" w:cs="Arial"/>
          <w:sz w:val="20"/>
          <w:szCs w:val="20"/>
        </w:rPr>
        <w:t>,</w:t>
      </w:r>
      <w:r>
        <w:rPr>
          <w:rFonts w:ascii="Arial" w:hAnsi="Arial" w:cs="Arial"/>
          <w:sz w:val="20"/>
          <w:szCs w:val="20"/>
        </w:rPr>
        <w:t xml:space="preserve"> evidenciando o </w:t>
      </w:r>
      <w:r w:rsidR="00324281">
        <w:rPr>
          <w:rFonts w:ascii="Arial" w:hAnsi="Arial" w:cs="Arial"/>
          <w:sz w:val="20"/>
          <w:szCs w:val="20"/>
        </w:rPr>
        <w:t>valor</w:t>
      </w:r>
      <w:r>
        <w:rPr>
          <w:rFonts w:ascii="Arial" w:hAnsi="Arial" w:cs="Arial"/>
          <w:sz w:val="20"/>
          <w:szCs w:val="20"/>
        </w:rPr>
        <w:t xml:space="preserve"> da sustentabilidade.</w:t>
      </w:r>
    </w:p>
    <w:p w14:paraId="142DC7BC" w14:textId="77777777" w:rsidR="00674104" w:rsidRDefault="004215CB">
      <w:pPr>
        <w:jc w:val="both"/>
        <w:rPr>
          <w:rFonts w:ascii="Arial" w:hAnsi="Arial" w:cs="Arial"/>
          <w:sz w:val="20"/>
          <w:szCs w:val="20"/>
        </w:rPr>
      </w:pPr>
      <w:r>
        <w:rPr>
          <w:rFonts w:ascii="Arial" w:hAnsi="Arial" w:cs="Arial"/>
          <w:sz w:val="20"/>
          <w:szCs w:val="20"/>
        </w:rPr>
        <w:t xml:space="preserve"> </w:t>
      </w:r>
    </w:p>
    <w:p w14:paraId="3B542C6C" w14:textId="77777777" w:rsidR="00674104" w:rsidRDefault="004215CB">
      <w:pPr>
        <w:jc w:val="both"/>
        <w:rPr>
          <w:rFonts w:ascii="Arial" w:hAnsi="Arial" w:cs="Arial"/>
          <w:sz w:val="20"/>
          <w:szCs w:val="20"/>
        </w:rPr>
      </w:pPr>
      <w:r>
        <w:rPr>
          <w:rFonts w:ascii="Arial" w:hAnsi="Arial" w:cs="Arial"/>
          <w:sz w:val="20"/>
          <w:szCs w:val="20"/>
        </w:rPr>
        <w:t>A seleção das decisões leva em consideração os aspectos de gestão ambiental eficiente, transparente e propositiva. Para aprofundamento, o leitor pode acessar o inteiro teor das deliberações por meio dos links disponíveis.</w:t>
      </w:r>
    </w:p>
    <w:p w14:paraId="2738FCC2" w14:textId="77777777" w:rsidR="00674104" w:rsidRDefault="00674104">
      <w:pPr>
        <w:jc w:val="both"/>
        <w:rPr>
          <w:rFonts w:ascii="Arial" w:hAnsi="Arial" w:cs="Arial"/>
          <w:sz w:val="20"/>
          <w:szCs w:val="20"/>
        </w:rPr>
      </w:pPr>
    </w:p>
    <w:p w14:paraId="504569EE" w14:textId="77777777" w:rsidR="00674104" w:rsidRDefault="004215CB">
      <w:pPr>
        <w:jc w:val="both"/>
        <w:rPr>
          <w:rFonts w:ascii="Arial" w:hAnsi="Arial" w:cs="Arial"/>
          <w:sz w:val="20"/>
          <w:szCs w:val="20"/>
        </w:rPr>
      </w:pPr>
      <w:r>
        <w:rPr>
          <w:rFonts w:ascii="Arial" w:hAnsi="Arial" w:cs="Arial"/>
          <w:sz w:val="20"/>
          <w:szCs w:val="20"/>
        </w:rPr>
        <w:t>Lembramos, por fim, que este informativo não representa um repositório oficial de jurisprudência.</w:t>
      </w:r>
    </w:p>
    <w:p w14:paraId="11FDA5EE" w14:textId="77777777" w:rsidR="00674104" w:rsidRDefault="00674104">
      <w:pPr>
        <w:jc w:val="both"/>
        <w:rPr>
          <w:rFonts w:ascii="Arial" w:hAnsi="Arial" w:cs="Arial"/>
          <w:sz w:val="20"/>
          <w:szCs w:val="20"/>
        </w:rPr>
      </w:pPr>
    </w:p>
    <w:p w14:paraId="4AD36677" w14:textId="1357764F" w:rsidR="00674104" w:rsidRDefault="00AD46A8">
      <w:pPr>
        <w:jc w:val="both"/>
        <w:rPr>
          <w:rFonts w:ascii="Arial" w:hAnsi="Arial" w:cs="Arial"/>
          <w:sz w:val="20"/>
          <w:szCs w:val="20"/>
        </w:rPr>
      </w:pPr>
      <w:r>
        <w:rPr>
          <w:noProof/>
        </w:rPr>
        <mc:AlternateContent>
          <mc:Choice Requires="wps">
            <w:drawing>
              <wp:anchor distT="4294967294" distB="4294967294" distL="114300" distR="114300" simplePos="0" relativeHeight="251660800" behindDoc="0" locked="0" layoutInCell="1" allowOverlap="1" wp14:anchorId="3510D793" wp14:editId="17C2482C">
                <wp:simplePos x="0" y="0"/>
                <wp:positionH relativeFrom="margin">
                  <wp:posOffset>-635</wp:posOffset>
                </wp:positionH>
                <wp:positionV relativeFrom="paragraph">
                  <wp:posOffset>29844</wp:posOffset>
                </wp:positionV>
                <wp:extent cx="5397500" cy="0"/>
                <wp:effectExtent l="0" t="0" r="12700" b="38100"/>
                <wp:wrapNone/>
                <wp:docPr id="1744572658"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9750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7E01E4B9" id="Conector reto 2" o:spid="_x0000_s1026" style="position:absolute;z-index:251660800;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margin;mso-height-relative:margin" from="-.05pt,2.35pt" to="424.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" strokecolor="black [3200]" strokeweight="2pt">
                <v:shadow on="t" color="black" opacity="24903f" origin=",.5" offset="0,.55556mm"/>
                <o:lock v:ext="edit" shapetype="f"/>
                <w10:wrap anchorx="margin"/>
              </v:line>
            </w:pict>
          </mc:Fallback>
        </mc:AlternateContent>
      </w:r>
    </w:p>
    <w:p w14:paraId="2B0EB641" w14:textId="77777777" w:rsidR="00674104" w:rsidRDefault="004215CB" w:rsidP="00733AAC">
      <w:pPr>
        <w:shd w:val="clear" w:color="EEECE1" w:themeColor="background2" w:fill="EEECE1" w:themeFill="background2"/>
        <w:spacing w:line="276" w:lineRule="auto"/>
        <w:jc w:val="center"/>
        <w:rPr>
          <w:rFonts w:ascii="Arial" w:eastAsia="Arial" w:hAnsi="Arial" w:cs="Arial"/>
          <w:b/>
          <w:sz w:val="20"/>
          <w:szCs w:val="20"/>
        </w:rPr>
      </w:pPr>
      <w:r>
        <w:rPr>
          <w:rFonts w:ascii="Arial" w:eastAsia="Arial" w:hAnsi="Arial" w:cs="Arial"/>
          <w:b/>
          <w:sz w:val="20"/>
          <w:szCs w:val="20"/>
        </w:rPr>
        <w:t>SUMÁRIO</w:t>
      </w:r>
    </w:p>
    <w:sdt>
      <w:sdtPr>
        <w:rPr>
          <w:rFonts w:ascii="Times New Roman" w:hAnsi="Times New Roman" w:cs="Times New Roman"/>
          <w:b w:val="0"/>
          <w:bCs w:val="0"/>
          <w:caps w:val="0"/>
          <w:sz w:val="24"/>
          <w:szCs w:val="24"/>
        </w:rPr>
        <w:id w:val="-1690376001"/>
        <w:docPartObj>
          <w:docPartGallery w:val="Table of Contents"/>
          <w:docPartUnique/>
        </w:docPartObj>
      </w:sdtPr>
      <w:sdtEndPr>
        <w:rPr>
          <w:rFonts w:asciiTheme="minorHAnsi" w:hAnsiTheme="minorHAnsi" w:cstheme="minorHAnsi"/>
          <w:b/>
          <w:bCs/>
          <w:caps/>
          <w:noProof/>
          <w:sz w:val="20"/>
          <w:szCs w:val="20"/>
        </w:rPr>
      </w:sdtEndPr>
      <w:sdtContent>
        <w:p w14:paraId="3A410D6B" w14:textId="6949629B" w:rsidR="00733AAC" w:rsidRDefault="004B01E8" w:rsidP="00733AAC">
          <w:pPr>
            <w:pStyle w:val="Sumrio1"/>
            <w:tabs>
              <w:tab w:val="right" w:leader="dot" w:pos="8494"/>
            </w:tabs>
            <w:jc w:val="both"/>
            <w:rPr>
              <w:rFonts w:eastAsiaTheme="minorEastAsia" w:cstheme="minorBidi"/>
              <w:b w:val="0"/>
              <w:bCs w:val="0"/>
              <w:caps w:val="0"/>
              <w:noProof/>
              <w:kern w:val="2"/>
              <w:sz w:val="24"/>
              <w:szCs w:val="24"/>
              <w14:ligatures w14:val="standardContextual"/>
            </w:rPr>
          </w:pPr>
          <w:r>
            <w:fldChar w:fldCharType="begin"/>
          </w:r>
          <w:r>
            <w:instrText xml:space="preserve"> TOC \o "1-1" \h \z \u </w:instrText>
          </w:r>
          <w:r>
            <w:fldChar w:fldCharType="separate"/>
          </w:r>
          <w:hyperlink w:anchor="_Toc166753153" w:history="1">
            <w:r w:rsidR="00733AAC" w:rsidRPr="00FE54AB">
              <w:rPr>
                <w:rStyle w:val="Hyperlink"/>
                <w:noProof/>
              </w:rPr>
              <w:t>1. RELATÓRIO DE ACOMPANHAMENTO. AÇÕES PARA VIABILIZAR A RETOMADA DA USINA TERMONUCLEAR ANGRA 3. DETERMINAÇÃO AO CPNE PARA QUE JUSTIFIQUE A DECISÃO SOBRE A OUTORGA DE ANGRA 3 A PARTIR DE ESTUDOS TARIFÁRIOS, AVALIANDO A HIPÓTESE DE EVENTUAL ABANDONO DO EMPREENDIMENTO. RECOMENDAÇÃO AO CNPE. CIÊNCIA AO CNPE, À ELETRONULEAR E AO BNDES. COMUNICAÇÃO AO CONGRESSO NACIONAL E A OUTROS ENTES PÚBLICOS, A RESPEITO DAS FRAGILIDADES IDENTIFICADAS. DETERMINAÇÃO PARA MONITORAMENTO. ARQUIVAMENTO.</w:t>
            </w:r>
            <w:r w:rsidR="00733AAC">
              <w:rPr>
                <w:noProof/>
                <w:webHidden/>
              </w:rPr>
              <w:tab/>
            </w:r>
            <w:r w:rsidR="00733AAC">
              <w:rPr>
                <w:noProof/>
                <w:webHidden/>
              </w:rPr>
              <w:fldChar w:fldCharType="begin"/>
            </w:r>
            <w:r w:rsidR="00733AAC">
              <w:rPr>
                <w:noProof/>
                <w:webHidden/>
              </w:rPr>
              <w:instrText xml:space="preserve"> PAGEREF _Toc166753153 \h </w:instrText>
            </w:r>
            <w:r w:rsidR="00733AAC">
              <w:rPr>
                <w:noProof/>
                <w:webHidden/>
              </w:rPr>
            </w:r>
            <w:r w:rsidR="00733AAC">
              <w:rPr>
                <w:noProof/>
                <w:webHidden/>
              </w:rPr>
              <w:fldChar w:fldCharType="separate"/>
            </w:r>
            <w:r w:rsidR="009E6D0F">
              <w:rPr>
                <w:noProof/>
                <w:webHidden/>
              </w:rPr>
              <w:t>2</w:t>
            </w:r>
            <w:r w:rsidR="00733AAC">
              <w:rPr>
                <w:noProof/>
                <w:webHidden/>
              </w:rPr>
              <w:fldChar w:fldCharType="end"/>
            </w:r>
          </w:hyperlink>
        </w:p>
        <w:p w14:paraId="6CACA0F4" w14:textId="6E6D5C86" w:rsidR="00733AAC" w:rsidRDefault="00915255" w:rsidP="00733AAC">
          <w:pPr>
            <w:pStyle w:val="Sumrio1"/>
            <w:tabs>
              <w:tab w:val="right" w:leader="dot" w:pos="8494"/>
            </w:tabs>
            <w:jc w:val="both"/>
            <w:rPr>
              <w:rFonts w:eastAsiaTheme="minorEastAsia" w:cstheme="minorBidi"/>
              <w:b w:val="0"/>
              <w:bCs w:val="0"/>
              <w:caps w:val="0"/>
              <w:noProof/>
              <w:kern w:val="2"/>
              <w:sz w:val="24"/>
              <w:szCs w:val="24"/>
              <w14:ligatures w14:val="standardContextual"/>
            </w:rPr>
          </w:pPr>
          <w:hyperlink w:anchor="_Toc166753154" w:history="1">
            <w:r w:rsidR="00733AAC" w:rsidRPr="00FE54AB">
              <w:rPr>
                <w:rStyle w:val="Hyperlink"/>
                <w:noProof/>
              </w:rPr>
              <w:t>2. CONSULTA. MUNICÍPIO DE CAPITÃO LEÔNIDAS MARQUES. DÚVIDA A RESPEITO DA APLICAÇÃO DA PARCELA EXTRA DOS RECURSOS RECEBIDOS NA FORMA DE ASSISTÊNCIA FINANCEIRA COMPLEMENTAR PAGA PELA UNIÃO AOS ENTES DA FEDERAÇÃO PARA A FINALIDADE DE ASSEGURAR O PAGAMENTO DO PISO SALARIAL AOS AGENTES COMUNITÁRIOS DE SAÚDE E AGENTES DE COMBATE ÀS ENDEMIAS. POSSIBILIDADE DE UTILIZAÇÃO DOS RECURSOS DA ASSISTÊNCIA FINANCEIRA PARA O APRIMORAMENTO DAS CONDIÇÕES DE TRABALHO DOS AGENTES. POSSIBILIDADE DE ESTABELECIMENTO DE PADRÃO REMUNERATÓRIO AOS AGENTES INDEPENDENTEMENTE DA EXISTÊNCIA DE SOBRAS REFERENTES AOS REPASSES FINANCEIROS PELA UNIÃO A TÍTULO DE ASSISTÊNCIA FINANCEIRA.</w:t>
            </w:r>
            <w:r w:rsidR="00733AAC">
              <w:rPr>
                <w:noProof/>
                <w:webHidden/>
              </w:rPr>
              <w:tab/>
            </w:r>
            <w:r w:rsidR="00733AAC">
              <w:rPr>
                <w:noProof/>
                <w:webHidden/>
              </w:rPr>
              <w:fldChar w:fldCharType="begin"/>
            </w:r>
            <w:r w:rsidR="00733AAC">
              <w:rPr>
                <w:noProof/>
                <w:webHidden/>
              </w:rPr>
              <w:instrText xml:space="preserve"> PAGEREF _Toc166753154 \h </w:instrText>
            </w:r>
            <w:r w:rsidR="00733AAC">
              <w:rPr>
                <w:noProof/>
                <w:webHidden/>
              </w:rPr>
            </w:r>
            <w:r w:rsidR="00733AAC">
              <w:rPr>
                <w:noProof/>
                <w:webHidden/>
              </w:rPr>
              <w:fldChar w:fldCharType="separate"/>
            </w:r>
            <w:r w:rsidR="009E6D0F">
              <w:rPr>
                <w:noProof/>
                <w:webHidden/>
              </w:rPr>
              <w:t>3</w:t>
            </w:r>
            <w:r w:rsidR="00733AAC">
              <w:rPr>
                <w:noProof/>
                <w:webHidden/>
              </w:rPr>
              <w:fldChar w:fldCharType="end"/>
            </w:r>
          </w:hyperlink>
        </w:p>
        <w:p w14:paraId="084655D3" w14:textId="701FFC05" w:rsidR="00733AAC" w:rsidRDefault="00915255" w:rsidP="00733AAC">
          <w:pPr>
            <w:pStyle w:val="Sumrio1"/>
            <w:tabs>
              <w:tab w:val="right" w:leader="dot" w:pos="8494"/>
            </w:tabs>
            <w:jc w:val="both"/>
            <w:rPr>
              <w:rFonts w:eastAsiaTheme="minorEastAsia" w:cstheme="minorBidi"/>
              <w:b w:val="0"/>
              <w:bCs w:val="0"/>
              <w:caps w:val="0"/>
              <w:noProof/>
              <w:kern w:val="2"/>
              <w:sz w:val="24"/>
              <w:szCs w:val="24"/>
              <w14:ligatures w14:val="standardContextual"/>
            </w:rPr>
          </w:pPr>
          <w:hyperlink w:anchor="_Toc166753163" w:history="1">
            <w:r w:rsidR="00733AAC" w:rsidRPr="00FE54AB">
              <w:rPr>
                <w:rStyle w:val="Hyperlink"/>
                <w:noProof/>
              </w:rPr>
              <w:t>3. REPRESENTAÇÃO EM FACE DO EDITAL DA CONCORRÊNCIA PÚBLICA Nº 007/2023, PROMOVIDA PELA PREFEITURA MUNICIPAL DE SÃO ROQUE, DESTINADO À CONTRATAÇÃO DE EMPRESA ESPECIALIZADA PARA A EXECUÇÃO DE SERVIÇOS DE COLETA DE RESÍDUOS SÓLIDOS URBANOS DOMICILIARES, DE LIMPEZA PÚBLICA NO MUNICÍPIO DE SÃO ROQUE E DESTINAÇÃO FINAL DOS RESÍDUOS SÓLIDOS URBANOS DE LIMPEZA PÚBLICA EM ATERRO SANITÁRIO LICENCIADO; E COLETA, TRANSPORTE, TRATAMENTO E DESTINAÇÃO FINAL DOS RESÍDUOS PROVENIENTES DE RESÍDUOS DE SERVIÇOS DE SAÚDE.</w:t>
            </w:r>
            <w:r w:rsidR="00733AAC">
              <w:rPr>
                <w:noProof/>
                <w:webHidden/>
              </w:rPr>
              <w:tab/>
            </w:r>
            <w:r w:rsidR="00733AAC">
              <w:rPr>
                <w:noProof/>
                <w:webHidden/>
              </w:rPr>
              <w:fldChar w:fldCharType="begin"/>
            </w:r>
            <w:r w:rsidR="00733AAC">
              <w:rPr>
                <w:noProof/>
                <w:webHidden/>
              </w:rPr>
              <w:instrText xml:space="preserve"> PAGEREF _Toc166753163 \h </w:instrText>
            </w:r>
            <w:r w:rsidR="00733AAC">
              <w:rPr>
                <w:noProof/>
                <w:webHidden/>
              </w:rPr>
            </w:r>
            <w:r w:rsidR="00733AAC">
              <w:rPr>
                <w:noProof/>
                <w:webHidden/>
              </w:rPr>
              <w:fldChar w:fldCharType="separate"/>
            </w:r>
            <w:r w:rsidR="009E6D0F">
              <w:rPr>
                <w:noProof/>
                <w:webHidden/>
              </w:rPr>
              <w:t>4</w:t>
            </w:r>
            <w:r w:rsidR="00733AAC">
              <w:rPr>
                <w:noProof/>
                <w:webHidden/>
              </w:rPr>
              <w:fldChar w:fldCharType="end"/>
            </w:r>
          </w:hyperlink>
        </w:p>
        <w:p w14:paraId="676232DD" w14:textId="239E2E9A" w:rsidR="00733AAC" w:rsidRDefault="00915255" w:rsidP="00733AAC">
          <w:pPr>
            <w:pStyle w:val="Sumrio1"/>
            <w:tabs>
              <w:tab w:val="right" w:leader="dot" w:pos="8494"/>
            </w:tabs>
            <w:jc w:val="both"/>
            <w:rPr>
              <w:rFonts w:eastAsiaTheme="minorEastAsia" w:cstheme="minorBidi"/>
              <w:b w:val="0"/>
              <w:bCs w:val="0"/>
              <w:caps w:val="0"/>
              <w:noProof/>
              <w:kern w:val="2"/>
              <w:sz w:val="24"/>
              <w:szCs w:val="24"/>
              <w14:ligatures w14:val="standardContextual"/>
            </w:rPr>
          </w:pPr>
          <w:hyperlink w:anchor="_Toc166753165" w:history="1">
            <w:r w:rsidR="00733AAC" w:rsidRPr="00FE54AB">
              <w:rPr>
                <w:rStyle w:val="Hyperlink"/>
                <w:noProof/>
              </w:rPr>
              <w:t>4. MEDIDA CAUTELAR EM AÇÃO DIRETA DE INCONSTITUCIONALIDADE. CONVERSÃO EM JULGAMENTO DE MÉRITO. ITEM E9.1 DO ANEXO II DO DECRETO N. 14.024/2012 DA BAHIA E ITEM E9.1 DO ANEXO ÚNICO DA RESOLUÇÃO N. 4.327/2013 DO CONSELHO ESTADUAL DO MEIO AMBIENTE – CEPRAM. INSTALAÇÃO DE ESTAÇÕES RÁDIO-BASE DE TELEFONIA CELULAR. EXIGÊNCIA DE LICENÇA AMBIENTAL. AFRONTA À COMPETÊNCIA PRIVATIVA DA UNIÃO PARA LEGISLAR SOBRE TELECOMUNICAÇÕES. PRECEDENTES DO SUPREMO TRIBUNAL FEDERAL. AÇÃO DIRETA JULGADA PROCEDENTE.</w:t>
            </w:r>
            <w:r w:rsidR="00733AAC">
              <w:rPr>
                <w:noProof/>
                <w:webHidden/>
              </w:rPr>
              <w:tab/>
            </w:r>
            <w:r w:rsidR="00733AAC">
              <w:rPr>
                <w:noProof/>
                <w:webHidden/>
              </w:rPr>
              <w:fldChar w:fldCharType="begin"/>
            </w:r>
            <w:r w:rsidR="00733AAC">
              <w:rPr>
                <w:noProof/>
                <w:webHidden/>
              </w:rPr>
              <w:instrText xml:space="preserve"> PAGEREF _Toc166753165 \h </w:instrText>
            </w:r>
            <w:r w:rsidR="00733AAC">
              <w:rPr>
                <w:noProof/>
                <w:webHidden/>
              </w:rPr>
            </w:r>
            <w:r w:rsidR="00733AAC">
              <w:rPr>
                <w:noProof/>
                <w:webHidden/>
              </w:rPr>
              <w:fldChar w:fldCharType="separate"/>
            </w:r>
            <w:r w:rsidR="009E6D0F">
              <w:rPr>
                <w:noProof/>
                <w:webHidden/>
              </w:rPr>
              <w:t>4</w:t>
            </w:r>
            <w:r w:rsidR="00733AAC">
              <w:rPr>
                <w:noProof/>
                <w:webHidden/>
              </w:rPr>
              <w:fldChar w:fldCharType="end"/>
            </w:r>
          </w:hyperlink>
        </w:p>
        <w:p w14:paraId="48F988E7" w14:textId="57F987F7" w:rsidR="004B01E8" w:rsidRPr="002A20EF" w:rsidRDefault="00915255" w:rsidP="00733AAC">
          <w:pPr>
            <w:pStyle w:val="Sumrio1"/>
            <w:tabs>
              <w:tab w:val="right" w:leader="dot" w:pos="8494"/>
            </w:tabs>
            <w:spacing w:after="240"/>
            <w:jc w:val="both"/>
            <w:rPr>
              <w:rFonts w:eastAsiaTheme="minorEastAsia" w:cstheme="minorBidi"/>
              <w:b w:val="0"/>
              <w:bCs w:val="0"/>
              <w:caps w:val="0"/>
              <w:noProof/>
              <w:kern w:val="2"/>
              <w:sz w:val="24"/>
              <w:szCs w:val="24"/>
              <w14:ligatures w14:val="standardContextual"/>
            </w:rPr>
          </w:pPr>
          <w:hyperlink w:anchor="_Toc166753166" w:history="1">
            <w:r w:rsidR="00733AAC" w:rsidRPr="00FE54AB">
              <w:rPr>
                <w:rStyle w:val="Hyperlink"/>
                <w:noProof/>
              </w:rPr>
              <w:t>5. ADMINISTRATIVO. AÇÃO CIVIL PÚBLICA AJUIZADA PELA UNIÃO CONTRA EMPRESA PARTICULAR. DIREITO AMBIENTAL. EXTRAÇÃO IRREGULAR DE BASALTO. INDENIZAÇÃO POR DANOS MATERIAIS. NEGATIVA DE PRESTAÇÃO JURISDICIONAL NÃO CONFIGURADA. AUSÊNCIA DE INTERESSE PROCESSUAL AFASTADA. LICENÇA DE LAVRA. PORTARIA DNPM N. 217/2014. EFEITOS A PARTIR DE SUA PUBLICAÇÃO. FUNDAMENTO DO ACÓRDÃO RECORRIDO NÃO IMPUGNADO. SÚMULA 283/STF. VIOLAÇÃO REFLEXA OU INDIRETA A TEXTO DE LEI FEDERAL. DEVER DO PARTICULAR DE INDENIZAR. REPARAÇÃO INTEGRAL. PRECEDENTES DO STJ. INVIABILIDADE DE ANÁLISE DO DISSENSO PRETORIANO.</w:t>
            </w:r>
            <w:r w:rsidR="00733AAC">
              <w:rPr>
                <w:noProof/>
                <w:webHidden/>
              </w:rPr>
              <w:tab/>
            </w:r>
            <w:r w:rsidR="00733AAC">
              <w:rPr>
                <w:noProof/>
                <w:webHidden/>
              </w:rPr>
              <w:fldChar w:fldCharType="begin"/>
            </w:r>
            <w:r w:rsidR="00733AAC">
              <w:rPr>
                <w:noProof/>
                <w:webHidden/>
              </w:rPr>
              <w:instrText xml:space="preserve"> PAGEREF _Toc166753166 \h </w:instrText>
            </w:r>
            <w:r w:rsidR="00733AAC">
              <w:rPr>
                <w:noProof/>
                <w:webHidden/>
              </w:rPr>
            </w:r>
            <w:r w:rsidR="00733AAC">
              <w:rPr>
                <w:noProof/>
                <w:webHidden/>
              </w:rPr>
              <w:fldChar w:fldCharType="separate"/>
            </w:r>
            <w:r w:rsidR="009E6D0F">
              <w:rPr>
                <w:noProof/>
                <w:webHidden/>
              </w:rPr>
              <w:t>5</w:t>
            </w:r>
            <w:r w:rsidR="00733AAC">
              <w:rPr>
                <w:noProof/>
                <w:webHidden/>
              </w:rPr>
              <w:fldChar w:fldCharType="end"/>
            </w:r>
          </w:hyperlink>
          <w:r w:rsidR="004B01E8">
            <w:fldChar w:fldCharType="end"/>
          </w:r>
        </w:p>
      </w:sdtContent>
    </w:sdt>
    <w:p w14:paraId="354E80AD" w14:textId="77777777" w:rsidR="00674104" w:rsidRDefault="004215CB" w:rsidP="004330D2">
      <w:pPr>
        <w:shd w:val="clear" w:color="EEECE1" w:themeColor="background2" w:fill="EEECE1" w:themeFill="background2"/>
        <w:jc w:val="center"/>
        <w:rPr>
          <w:rFonts w:ascii="Arial" w:eastAsia="Arial" w:hAnsi="Arial" w:cs="Arial"/>
          <w:b/>
          <w:sz w:val="20"/>
          <w:szCs w:val="20"/>
        </w:rPr>
      </w:pPr>
      <w:r>
        <w:rPr>
          <w:rFonts w:ascii="Arial" w:eastAsia="Arial" w:hAnsi="Arial" w:cs="Arial"/>
          <w:b/>
          <w:sz w:val="20"/>
          <w:szCs w:val="20"/>
        </w:rPr>
        <w:t xml:space="preserve">TRIBUNAL DE CONTAS </w:t>
      </w:r>
      <w:r w:rsidR="009204AA">
        <w:rPr>
          <w:rFonts w:ascii="Arial" w:eastAsia="Arial" w:hAnsi="Arial" w:cs="Arial"/>
          <w:b/>
          <w:sz w:val="20"/>
          <w:szCs w:val="20"/>
        </w:rPr>
        <w:t>DA UNIÃO</w:t>
      </w:r>
      <w:r>
        <w:rPr>
          <w:rFonts w:ascii="Arial" w:eastAsia="Arial" w:hAnsi="Arial" w:cs="Arial"/>
          <w:b/>
          <w:sz w:val="20"/>
          <w:szCs w:val="20"/>
        </w:rPr>
        <w:t xml:space="preserve"> </w:t>
      </w:r>
    </w:p>
    <w:p w14:paraId="16A41803" w14:textId="0442F999" w:rsidR="00B146F5" w:rsidRPr="00255FC7" w:rsidRDefault="003F38C2" w:rsidP="00255FC7">
      <w:pPr>
        <w:pStyle w:val="Ttulo1"/>
        <w:spacing w:before="120" w:after="120"/>
        <w:ind w:right="-1"/>
      </w:pPr>
      <w:bookmarkStart w:id="0" w:name="_Toc166753153"/>
      <w:r w:rsidRPr="004B01E8">
        <w:rPr>
          <w:lang w:val="pt-BR"/>
        </w:rPr>
        <w:t xml:space="preserve">1. </w:t>
      </w:r>
      <w:r w:rsidR="002037CC" w:rsidRPr="002037CC">
        <w:rPr>
          <w:lang w:val="pt-BR"/>
        </w:rPr>
        <w:t>RELATÓRIO DE ACOMPANHAMENTO. AÇÕES PARA VIABILIZAR A RETOMADA DA USINA TERMONUCLEAR ANGRA 3. DETERMINAÇÃO AO CPNE PARA QUE JUSTIFIQUE A DECISÃO SOBRE A OUTORGA DE ANGRA 3 A PARTIR DE ESTUDOS TARIFÁRIOS, AVALIANDO A HIPÓTESE DE EVENTUAL ABANDONO DO EMPREENDIMENTO. RECOMENDAÇÃO AO CNPE. CIÊNCIA AO CNPE, À ELETRONULEAR E AO BNDES. COMUNICAÇÃO AO CONGRESSO NACIONAL E A OUTROS ENTES PÚBLICOS, A RESPEITO DAS FRAGILIDADES IDENTIFICADAS. DETERMINAÇÃO PARA MONITORAMENTO. ARQUIVAMENTO.</w:t>
      </w:r>
      <w:bookmarkEnd w:id="0"/>
      <w:r w:rsidR="00255FC7" w:rsidRPr="00255FC7">
        <w:t xml:space="preserve"> </w:t>
      </w:r>
    </w:p>
    <w:p w14:paraId="05954D13" w14:textId="77777777" w:rsidR="00EA4601" w:rsidRDefault="00EA4601" w:rsidP="00FE5049">
      <w:pPr>
        <w:numPr>
          <w:ilvl w:val="1"/>
          <w:numId w:val="2"/>
        </w:numPr>
        <w:tabs>
          <w:tab w:val="left" w:pos="1134"/>
        </w:tabs>
        <w:autoSpaceDE w:val="0"/>
        <w:autoSpaceDN w:val="0"/>
        <w:adjustRightInd w:val="0"/>
        <w:spacing w:after="120"/>
        <w:jc w:val="both"/>
        <w:rPr>
          <w:rFonts w:ascii="Arial" w:eastAsiaTheme="minorHAnsi" w:hAnsi="Arial" w:cs="Arial"/>
          <w:sz w:val="20"/>
          <w:szCs w:val="20"/>
          <w:lang w:eastAsia="en-US"/>
        </w:rPr>
      </w:pPr>
      <w:r w:rsidRPr="00EA4601">
        <w:rPr>
          <w:rFonts w:ascii="Arial" w:eastAsiaTheme="minorHAnsi" w:hAnsi="Arial" w:cs="Arial"/>
          <w:sz w:val="20"/>
          <w:szCs w:val="20"/>
          <w:lang w:eastAsia="en-US"/>
        </w:rPr>
        <w:t>(...)</w:t>
      </w:r>
    </w:p>
    <w:p w14:paraId="2938A211" w14:textId="77777777" w:rsidR="002037CC" w:rsidRPr="002037CC" w:rsidRDefault="002037CC" w:rsidP="00FE5049">
      <w:pPr>
        <w:pStyle w:val="Default"/>
        <w:numPr>
          <w:ilvl w:val="1"/>
          <w:numId w:val="1"/>
        </w:numPr>
        <w:jc w:val="both"/>
        <w:rPr>
          <w:sz w:val="20"/>
          <w:szCs w:val="20"/>
        </w:rPr>
      </w:pPr>
      <w:r w:rsidRPr="002037CC">
        <w:rPr>
          <w:sz w:val="20"/>
          <w:szCs w:val="20"/>
        </w:rPr>
        <w:t>69.</w:t>
      </w:r>
      <w:r w:rsidRPr="002037CC">
        <w:rPr>
          <w:sz w:val="20"/>
          <w:szCs w:val="20"/>
        </w:rPr>
        <w:tab/>
        <w:t>Este Acompanhamento buscou avaliar as ações adotadas por órgãos e entidades públicos do setor elétrico para viabilizar a retomada da construção da Usina Termonuclear Angra 3.</w:t>
      </w:r>
    </w:p>
    <w:p w14:paraId="7CAE29AF" w14:textId="77777777" w:rsidR="002037CC" w:rsidRPr="002037CC" w:rsidRDefault="002037CC" w:rsidP="00FE5049">
      <w:pPr>
        <w:pStyle w:val="Default"/>
        <w:numPr>
          <w:ilvl w:val="1"/>
          <w:numId w:val="1"/>
        </w:numPr>
        <w:jc w:val="both"/>
        <w:rPr>
          <w:sz w:val="20"/>
          <w:szCs w:val="20"/>
        </w:rPr>
      </w:pPr>
      <w:r w:rsidRPr="002037CC">
        <w:rPr>
          <w:sz w:val="20"/>
          <w:szCs w:val="20"/>
        </w:rPr>
        <w:t>170.</w:t>
      </w:r>
      <w:r w:rsidRPr="002037CC">
        <w:rPr>
          <w:sz w:val="20"/>
          <w:szCs w:val="20"/>
        </w:rPr>
        <w:tab/>
      </w:r>
      <w:r w:rsidRPr="002037CC">
        <w:rPr>
          <w:b/>
          <w:bCs/>
          <w:sz w:val="20"/>
          <w:szCs w:val="20"/>
        </w:rPr>
        <w:t>Na primeira fase</w:t>
      </w:r>
      <w:r w:rsidRPr="002037CC">
        <w:rPr>
          <w:sz w:val="20"/>
          <w:szCs w:val="20"/>
        </w:rPr>
        <w:t xml:space="preserve">, foram analisadas as </w:t>
      </w:r>
      <w:r w:rsidRPr="002037CC">
        <w:rPr>
          <w:sz w:val="20"/>
          <w:szCs w:val="20"/>
          <w:u w:val="single"/>
        </w:rPr>
        <w:t>estimativas de investimento de capital para conclusão do empreendimento e das despesas com operação e manutenção</w:t>
      </w:r>
      <w:r w:rsidRPr="002037CC">
        <w:rPr>
          <w:sz w:val="20"/>
          <w:szCs w:val="20"/>
        </w:rPr>
        <w:t xml:space="preserve">. Identificou-se que as estimativas ainda não possuem grau de precisão suficiente, visto que muitos valores foram adotados sem base em evidências e sem justificativa detalhada, fonte de referência ou indicação da origem, contrariando critérios definidos na Lei das Estatais, nas recomendações técnicas de entidades do setor nuclear, no Regulamento de Licitações e Contratos da própria Eletronuclear, assim como na jurisprudência desta Corte. Em resumo, </w:t>
      </w:r>
      <w:r w:rsidRPr="002037CC">
        <w:rPr>
          <w:sz w:val="20"/>
          <w:szCs w:val="20"/>
          <w:u w:val="single"/>
        </w:rPr>
        <w:t>as inconsistências identificadas no orçamento são tão graves que se mostrou inviável a emissão de opinião do TCU quanto ao mérito dos valores envolvidos</w:t>
      </w:r>
      <w:r w:rsidRPr="002037CC">
        <w:rPr>
          <w:sz w:val="20"/>
          <w:szCs w:val="20"/>
        </w:rPr>
        <w:t xml:space="preserve">. </w:t>
      </w:r>
    </w:p>
    <w:p w14:paraId="408211AA" w14:textId="77777777" w:rsidR="002037CC" w:rsidRPr="002037CC" w:rsidRDefault="002037CC" w:rsidP="00FE5049">
      <w:pPr>
        <w:pStyle w:val="Default"/>
        <w:numPr>
          <w:ilvl w:val="1"/>
          <w:numId w:val="1"/>
        </w:numPr>
        <w:jc w:val="both"/>
        <w:rPr>
          <w:sz w:val="20"/>
          <w:szCs w:val="20"/>
        </w:rPr>
      </w:pPr>
      <w:r w:rsidRPr="002037CC">
        <w:rPr>
          <w:sz w:val="20"/>
          <w:szCs w:val="20"/>
        </w:rPr>
        <w:t>171.</w:t>
      </w:r>
      <w:r w:rsidRPr="002037CC">
        <w:rPr>
          <w:sz w:val="20"/>
          <w:szCs w:val="20"/>
        </w:rPr>
        <w:tab/>
      </w:r>
      <w:r w:rsidRPr="002037CC">
        <w:rPr>
          <w:b/>
          <w:bCs/>
          <w:sz w:val="20"/>
          <w:szCs w:val="20"/>
        </w:rPr>
        <w:t>A segunda fase</w:t>
      </w:r>
      <w:r w:rsidRPr="002037CC">
        <w:rPr>
          <w:sz w:val="20"/>
          <w:szCs w:val="20"/>
        </w:rPr>
        <w:t xml:space="preserve"> do trabalho examinou a modelagem econômico-financeira do empreendimento, especificamente quanto à </w:t>
      </w:r>
      <w:r w:rsidRPr="002037CC">
        <w:rPr>
          <w:sz w:val="20"/>
          <w:szCs w:val="20"/>
          <w:u w:val="single"/>
        </w:rPr>
        <w:t>restruturação da dívida</w:t>
      </w:r>
      <w:r w:rsidRPr="002037CC">
        <w:rPr>
          <w:sz w:val="20"/>
          <w:szCs w:val="20"/>
        </w:rPr>
        <w:t xml:space="preserve"> e à </w:t>
      </w:r>
      <w:r w:rsidRPr="002037CC">
        <w:rPr>
          <w:sz w:val="20"/>
          <w:szCs w:val="20"/>
          <w:u w:val="single"/>
        </w:rPr>
        <w:t>captação de novas fontes de financiamento</w:t>
      </w:r>
      <w:r w:rsidRPr="002037CC">
        <w:rPr>
          <w:sz w:val="20"/>
          <w:szCs w:val="20"/>
        </w:rPr>
        <w:t xml:space="preserve">, bem como a </w:t>
      </w:r>
      <w:r w:rsidRPr="002037CC">
        <w:rPr>
          <w:sz w:val="20"/>
          <w:szCs w:val="20"/>
          <w:u w:val="single"/>
        </w:rPr>
        <w:t>modelagem jurídica para seleção e contratação do construtor</w:t>
      </w:r>
      <w:r w:rsidRPr="002037CC">
        <w:rPr>
          <w:sz w:val="20"/>
          <w:szCs w:val="20"/>
        </w:rPr>
        <w:t xml:space="preserve"> para execução das obras remanescentes de construção civil e montagem eletromecânica. As principais conclusões guardam relação com a intenção de não realizar licitação (também contrariando os termos da Lei das Estatais), a tentativa de flexibilizar exigências contratuais da mesma lei e a adoção de uma Matriz de Riscos incapaz de servir de referencial para prevenção e tratamento de riscos, em especial aqueles inerentes a um empreendimento nuclear.</w:t>
      </w:r>
    </w:p>
    <w:p w14:paraId="58EC8098" w14:textId="77777777" w:rsidR="002037CC" w:rsidRPr="002037CC" w:rsidRDefault="002037CC" w:rsidP="00FE5049">
      <w:pPr>
        <w:pStyle w:val="Default"/>
        <w:numPr>
          <w:ilvl w:val="1"/>
          <w:numId w:val="1"/>
        </w:numPr>
        <w:jc w:val="both"/>
        <w:rPr>
          <w:sz w:val="20"/>
          <w:szCs w:val="20"/>
        </w:rPr>
      </w:pPr>
      <w:r w:rsidRPr="002037CC">
        <w:rPr>
          <w:sz w:val="20"/>
          <w:szCs w:val="20"/>
        </w:rPr>
        <w:t>172.</w:t>
      </w:r>
      <w:r w:rsidRPr="002037CC">
        <w:rPr>
          <w:sz w:val="20"/>
          <w:szCs w:val="20"/>
        </w:rPr>
        <w:tab/>
        <w:t xml:space="preserve">Finalmente, na </w:t>
      </w:r>
      <w:r w:rsidRPr="002037CC">
        <w:rPr>
          <w:b/>
          <w:bCs/>
          <w:sz w:val="20"/>
          <w:szCs w:val="20"/>
        </w:rPr>
        <w:t>fase 3</w:t>
      </w:r>
      <w:r w:rsidRPr="002037CC">
        <w:rPr>
          <w:sz w:val="20"/>
          <w:szCs w:val="20"/>
        </w:rPr>
        <w:t xml:space="preserve">, este Acompanhamento apresentou </w:t>
      </w:r>
      <w:r w:rsidRPr="002037CC">
        <w:rPr>
          <w:sz w:val="20"/>
          <w:szCs w:val="20"/>
          <w:u w:val="single"/>
        </w:rPr>
        <w:t>a análise do cálculo tarifário</w:t>
      </w:r>
      <w:r w:rsidRPr="002037CC">
        <w:rPr>
          <w:sz w:val="20"/>
          <w:szCs w:val="20"/>
        </w:rPr>
        <w:t xml:space="preserve"> de Angra 3. Foram identificados </w:t>
      </w:r>
      <w:r w:rsidRPr="002037CC">
        <w:rPr>
          <w:b/>
          <w:bCs/>
          <w:sz w:val="20"/>
          <w:szCs w:val="20"/>
          <w:u w:val="single"/>
        </w:rPr>
        <w:t>relevantes indícios de que a conclusão de Angra 3 não observará o princípio da modicidade tarifária, ao se comparar o custo da energia que venha a ser gerada por essa usina com o de qualquer outra alternativa de geração elétrica</w:t>
      </w:r>
      <w:r w:rsidRPr="002037CC">
        <w:rPr>
          <w:sz w:val="20"/>
          <w:szCs w:val="20"/>
        </w:rPr>
        <w:t xml:space="preserve">. </w:t>
      </w:r>
      <w:r w:rsidRPr="002037CC">
        <w:rPr>
          <w:sz w:val="20"/>
          <w:szCs w:val="20"/>
          <w:u w:val="single"/>
        </w:rPr>
        <w:t>Tais simulações apontaram que Angra 3, caso senda concluída e entre em operação, representará um custo superior a outras opções de geração de energia, em média, da ordem de R$ 43 bilhões, em valor presente líquido</w:t>
      </w:r>
      <w:r w:rsidRPr="002037CC">
        <w:rPr>
          <w:sz w:val="20"/>
          <w:szCs w:val="20"/>
        </w:rPr>
        <w:t>, descontado a uma taxa de 8% ao ano.</w:t>
      </w:r>
    </w:p>
    <w:p w14:paraId="040E3F42" w14:textId="77777777" w:rsidR="002037CC" w:rsidRPr="002037CC" w:rsidRDefault="002037CC" w:rsidP="00FE5049">
      <w:pPr>
        <w:pStyle w:val="Default"/>
        <w:numPr>
          <w:ilvl w:val="1"/>
          <w:numId w:val="1"/>
        </w:numPr>
        <w:jc w:val="both"/>
        <w:rPr>
          <w:sz w:val="20"/>
          <w:szCs w:val="20"/>
        </w:rPr>
      </w:pPr>
      <w:r w:rsidRPr="002037CC">
        <w:rPr>
          <w:sz w:val="20"/>
          <w:szCs w:val="20"/>
        </w:rPr>
        <w:t>173.</w:t>
      </w:r>
      <w:r w:rsidRPr="002037CC">
        <w:rPr>
          <w:sz w:val="20"/>
          <w:szCs w:val="20"/>
        </w:rPr>
        <w:tab/>
        <w:t>Essas constatações levaram à proposta de expedição de determinações, recomendações, ciências e comunicações, detalhadamente tratadas ao longo deste Voto, entre as quais destaco:</w:t>
      </w:r>
    </w:p>
    <w:p w14:paraId="319D7A01" w14:textId="77777777" w:rsidR="002037CC" w:rsidRPr="002037CC" w:rsidRDefault="002037CC" w:rsidP="00FE5049">
      <w:pPr>
        <w:pStyle w:val="Default"/>
        <w:numPr>
          <w:ilvl w:val="1"/>
          <w:numId w:val="1"/>
        </w:numPr>
        <w:jc w:val="both"/>
        <w:rPr>
          <w:sz w:val="20"/>
          <w:szCs w:val="20"/>
        </w:rPr>
      </w:pPr>
      <w:r w:rsidRPr="002037CC">
        <w:rPr>
          <w:sz w:val="20"/>
          <w:szCs w:val="20"/>
        </w:rPr>
        <w:lastRenderedPageBreak/>
        <w:t>173.1.</w:t>
      </w:r>
      <w:r w:rsidRPr="002037CC">
        <w:rPr>
          <w:sz w:val="20"/>
          <w:szCs w:val="20"/>
        </w:rPr>
        <w:tab/>
      </w:r>
      <w:r w:rsidRPr="002037CC">
        <w:rPr>
          <w:b/>
          <w:bCs/>
          <w:sz w:val="20"/>
          <w:szCs w:val="20"/>
        </w:rPr>
        <w:t>determinação ao Conselho Nacional de Política Energética (CNPE)</w:t>
      </w:r>
      <w:r w:rsidRPr="002037CC">
        <w:rPr>
          <w:sz w:val="20"/>
          <w:szCs w:val="20"/>
        </w:rPr>
        <w:t xml:space="preserve"> para que, quando da </w:t>
      </w:r>
      <w:r w:rsidRPr="002037CC">
        <w:rPr>
          <w:b/>
          <w:bCs/>
          <w:sz w:val="20"/>
          <w:szCs w:val="20"/>
          <w:u w:val="single"/>
        </w:rPr>
        <w:t>decisão por autorizar, ou não, a outorga de Angra 3</w:t>
      </w:r>
      <w:r w:rsidRPr="002037CC">
        <w:rPr>
          <w:sz w:val="20"/>
          <w:szCs w:val="20"/>
        </w:rPr>
        <w:t xml:space="preserve">, justifique a deliberação levando em conta os estudos da EPE em relação à </w:t>
      </w:r>
      <w:r w:rsidRPr="002037CC">
        <w:rPr>
          <w:b/>
          <w:bCs/>
          <w:sz w:val="20"/>
          <w:szCs w:val="20"/>
        </w:rPr>
        <w:t>modicidade tarifária e ao impacto ao consumidor</w:t>
      </w:r>
      <w:r w:rsidRPr="002037CC">
        <w:rPr>
          <w:sz w:val="20"/>
          <w:szCs w:val="20"/>
        </w:rPr>
        <w:t xml:space="preserve">, </w:t>
      </w:r>
      <w:r w:rsidRPr="002037CC">
        <w:rPr>
          <w:b/>
          <w:bCs/>
          <w:sz w:val="20"/>
          <w:szCs w:val="20"/>
          <w:u w:val="single"/>
        </w:rPr>
        <w:t>comparando com os custos de eventual abandono da obra</w:t>
      </w:r>
      <w:r w:rsidRPr="002037CC">
        <w:rPr>
          <w:sz w:val="20"/>
          <w:szCs w:val="20"/>
        </w:rPr>
        <w:t>;</w:t>
      </w:r>
    </w:p>
    <w:p w14:paraId="015E4698" w14:textId="77777777" w:rsidR="002037CC" w:rsidRPr="002037CC" w:rsidRDefault="002037CC" w:rsidP="00FE5049">
      <w:pPr>
        <w:pStyle w:val="Default"/>
        <w:numPr>
          <w:ilvl w:val="1"/>
          <w:numId w:val="1"/>
        </w:numPr>
        <w:jc w:val="both"/>
        <w:rPr>
          <w:sz w:val="20"/>
          <w:szCs w:val="20"/>
        </w:rPr>
      </w:pPr>
      <w:r w:rsidRPr="002037CC">
        <w:rPr>
          <w:sz w:val="20"/>
          <w:szCs w:val="20"/>
        </w:rPr>
        <w:t>173.2.</w:t>
      </w:r>
      <w:r w:rsidRPr="002037CC">
        <w:rPr>
          <w:sz w:val="20"/>
          <w:szCs w:val="20"/>
        </w:rPr>
        <w:tab/>
      </w:r>
      <w:r w:rsidRPr="002037CC">
        <w:rPr>
          <w:b/>
          <w:bCs/>
          <w:sz w:val="20"/>
          <w:szCs w:val="20"/>
        </w:rPr>
        <w:t>comunicação ao Congresso Nacional, à Casa Civil da Presidência da República, ao CNPE e à Enbpar</w:t>
      </w:r>
      <w:r w:rsidRPr="002037CC">
        <w:rPr>
          <w:sz w:val="20"/>
          <w:szCs w:val="20"/>
        </w:rPr>
        <w:t xml:space="preserve"> de que a viabilização econômica de Angra 3 exclusivamente por meio de tarifa a ser repassada aos consumidores implicará em um </w:t>
      </w:r>
      <w:r w:rsidRPr="002037CC">
        <w:rPr>
          <w:b/>
          <w:bCs/>
          <w:sz w:val="20"/>
          <w:szCs w:val="20"/>
          <w:u w:val="single"/>
        </w:rPr>
        <w:t>custo médio excedente da ordem de R$ 43 bilhões, quando confrontada a outras alternativas de geração, o que representa um encargo adicional líquido para os consumidores de cerca de 2,9% nas tarifas</w:t>
      </w:r>
      <w:r w:rsidRPr="002037CC">
        <w:rPr>
          <w:sz w:val="20"/>
          <w:szCs w:val="20"/>
        </w:rPr>
        <w:t xml:space="preserve"> das distribuidoras.</w:t>
      </w:r>
    </w:p>
    <w:p w14:paraId="18C6DA9C" w14:textId="77777777" w:rsidR="002037CC" w:rsidRPr="002037CC" w:rsidRDefault="002037CC" w:rsidP="00FE5049">
      <w:pPr>
        <w:pStyle w:val="Default"/>
        <w:numPr>
          <w:ilvl w:val="1"/>
          <w:numId w:val="1"/>
        </w:numPr>
        <w:jc w:val="both"/>
        <w:rPr>
          <w:sz w:val="20"/>
          <w:szCs w:val="20"/>
        </w:rPr>
      </w:pPr>
      <w:r w:rsidRPr="002037CC">
        <w:rPr>
          <w:sz w:val="20"/>
          <w:szCs w:val="20"/>
        </w:rPr>
        <w:t>174.</w:t>
      </w:r>
      <w:r w:rsidRPr="002037CC">
        <w:rPr>
          <w:sz w:val="20"/>
          <w:szCs w:val="20"/>
        </w:rPr>
        <w:tab/>
        <w:t>Além dos encaminhamentos já fundamentados nas seções anteriores, considero de todo oportuno que a deliberação que vier a ser proferida também seja remetida, para conhecimento, aos Presidentes da Comissão de Minas e Energia da Câmara dos Deputados e da Comissão de Serviços de Infraestrutura do Senado Federal, bem como à Agência Nacional de Energia Elétrica.</w:t>
      </w:r>
    </w:p>
    <w:p w14:paraId="1FBD5EA7" w14:textId="77777777" w:rsidR="002037CC" w:rsidRPr="002037CC" w:rsidRDefault="002037CC" w:rsidP="00FE5049">
      <w:pPr>
        <w:pStyle w:val="Default"/>
        <w:numPr>
          <w:ilvl w:val="1"/>
          <w:numId w:val="1"/>
        </w:numPr>
        <w:jc w:val="both"/>
        <w:rPr>
          <w:sz w:val="20"/>
          <w:szCs w:val="20"/>
        </w:rPr>
      </w:pPr>
      <w:r w:rsidRPr="002037CC">
        <w:rPr>
          <w:sz w:val="20"/>
          <w:szCs w:val="20"/>
        </w:rPr>
        <w:t>175.</w:t>
      </w:r>
      <w:r w:rsidRPr="002037CC">
        <w:rPr>
          <w:sz w:val="20"/>
          <w:szCs w:val="20"/>
        </w:rPr>
        <w:tab/>
        <w:t>Não posso concluir as presentes manifestações sem registrar meus sinceros elogios à qualidade e à profundidade com que temas tão complexos envolvidos neste trabalho foram tratados pela AudElétrica. Em nome do competente Diretor André Delgado de Souza e da Auditora-Chefe Arlene Costa Nascimento, cumprimento e louvo toda a equipe da unidade especializada que se dedicou a esse trabalho relevantíssimo para o País.</w:t>
      </w:r>
    </w:p>
    <w:p w14:paraId="12F9ACC7" w14:textId="77777777" w:rsidR="002037CC" w:rsidRDefault="002037CC" w:rsidP="002037CC">
      <w:pPr>
        <w:pStyle w:val="Default"/>
        <w:spacing w:after="120"/>
        <w:jc w:val="both"/>
        <w:rPr>
          <w:color w:val="auto"/>
          <w:sz w:val="20"/>
          <w:szCs w:val="20"/>
        </w:rPr>
      </w:pPr>
      <w:r w:rsidRPr="002037CC">
        <w:rPr>
          <w:color w:val="auto"/>
          <w:sz w:val="20"/>
          <w:szCs w:val="20"/>
        </w:rPr>
        <w:t>176.</w:t>
      </w:r>
      <w:r w:rsidRPr="002037CC">
        <w:rPr>
          <w:color w:val="auto"/>
          <w:sz w:val="20"/>
          <w:szCs w:val="20"/>
        </w:rPr>
        <w:tab/>
        <w:t>Mais uma vez, o Tribunal de Contas da União, a partir do esforço sério, técnico e imparcial de seus quadros, reconhecido nacional e internacionalmente pela singular competência, apresenta à sociedade brasileira um trabalho expressivo, fundamentado em dados consistentes, que, esperamos, se mostrará útil para qualificar o inadiável debate a respeito da continuidade, ou não, do empreendimento Angra 3.</w:t>
      </w:r>
    </w:p>
    <w:p w14:paraId="6ECF6E93" w14:textId="38DD7B2C" w:rsidR="007A5AED" w:rsidRPr="00B146F5" w:rsidRDefault="0048296C" w:rsidP="002037CC">
      <w:pPr>
        <w:pStyle w:val="Default"/>
        <w:spacing w:after="240"/>
        <w:jc w:val="both"/>
        <w:rPr>
          <w:rFonts w:eastAsia="Arial"/>
          <w:sz w:val="20"/>
          <w:szCs w:val="20"/>
        </w:rPr>
      </w:pPr>
      <w:r w:rsidRPr="00B146F5">
        <w:rPr>
          <w:rFonts w:eastAsia="Arial"/>
          <w:sz w:val="20"/>
          <w:szCs w:val="20"/>
        </w:rPr>
        <w:t xml:space="preserve">(TCU, </w:t>
      </w:r>
      <w:r w:rsidR="00255FC7">
        <w:rPr>
          <w:rFonts w:eastAsia="Arial"/>
          <w:sz w:val="20"/>
          <w:szCs w:val="20"/>
        </w:rPr>
        <w:t>0</w:t>
      </w:r>
      <w:r w:rsidR="002037CC">
        <w:rPr>
          <w:rFonts w:eastAsia="Arial"/>
          <w:sz w:val="20"/>
          <w:szCs w:val="20"/>
        </w:rPr>
        <w:t>47</w:t>
      </w:r>
      <w:r w:rsidR="00255FC7">
        <w:rPr>
          <w:rFonts w:eastAsia="Arial"/>
          <w:sz w:val="20"/>
          <w:szCs w:val="20"/>
        </w:rPr>
        <w:t>.4</w:t>
      </w:r>
      <w:r w:rsidR="002037CC">
        <w:rPr>
          <w:rFonts w:eastAsia="Arial"/>
          <w:sz w:val="20"/>
          <w:szCs w:val="20"/>
        </w:rPr>
        <w:t>00</w:t>
      </w:r>
      <w:r w:rsidR="00255FC7">
        <w:rPr>
          <w:rFonts w:eastAsia="Arial"/>
          <w:sz w:val="20"/>
          <w:szCs w:val="20"/>
        </w:rPr>
        <w:t>/202</w:t>
      </w:r>
      <w:r w:rsidR="002037CC">
        <w:rPr>
          <w:rFonts w:eastAsia="Arial"/>
          <w:sz w:val="20"/>
          <w:szCs w:val="20"/>
        </w:rPr>
        <w:t>0</w:t>
      </w:r>
      <w:r w:rsidR="00255FC7">
        <w:rPr>
          <w:rFonts w:eastAsia="Arial"/>
          <w:sz w:val="20"/>
          <w:szCs w:val="20"/>
        </w:rPr>
        <w:t>-</w:t>
      </w:r>
      <w:r w:rsidR="002037CC">
        <w:rPr>
          <w:rFonts w:eastAsia="Arial"/>
          <w:sz w:val="20"/>
          <w:szCs w:val="20"/>
        </w:rPr>
        <w:t>0</w:t>
      </w:r>
      <w:r w:rsidRPr="00B146F5">
        <w:rPr>
          <w:rFonts w:eastAsia="Arial"/>
          <w:sz w:val="20"/>
          <w:szCs w:val="20"/>
        </w:rPr>
        <w:t xml:space="preserve">, </w:t>
      </w:r>
      <w:hyperlink r:id="rId12" w:history="1">
        <w:r w:rsidR="002037CC">
          <w:rPr>
            <w:rStyle w:val="Hyperlink"/>
            <w:rFonts w:eastAsia="Arial"/>
            <w:sz w:val="20"/>
            <w:szCs w:val="20"/>
          </w:rPr>
          <w:t>Acórdão n.º 666</w:t>
        </w:r>
        <w:r w:rsidR="002037CC">
          <w:rPr>
            <w:rStyle w:val="Hyperlink"/>
            <w:rFonts w:eastAsia="Arial"/>
            <w:sz w:val="20"/>
            <w:szCs w:val="20"/>
          </w:rPr>
          <w:t>/</w:t>
        </w:r>
        <w:r w:rsidR="002037CC">
          <w:rPr>
            <w:rStyle w:val="Hyperlink"/>
            <w:rFonts w:eastAsia="Arial"/>
            <w:sz w:val="20"/>
            <w:szCs w:val="20"/>
          </w:rPr>
          <w:t>2024</w:t>
        </w:r>
      </w:hyperlink>
      <w:r w:rsidRPr="00B146F5">
        <w:rPr>
          <w:rFonts w:eastAsia="Arial"/>
          <w:sz w:val="20"/>
          <w:szCs w:val="20"/>
        </w:rPr>
        <w:t>,</w:t>
      </w:r>
      <w:r w:rsidR="00B726C4" w:rsidRPr="00B146F5">
        <w:rPr>
          <w:rFonts w:eastAsia="Arial"/>
          <w:sz w:val="20"/>
          <w:szCs w:val="20"/>
        </w:rPr>
        <w:t xml:space="preserve"> </w:t>
      </w:r>
      <w:r w:rsidR="00F97FA1" w:rsidRPr="00B146F5">
        <w:rPr>
          <w:rFonts w:eastAsia="Arial"/>
          <w:sz w:val="20"/>
          <w:szCs w:val="20"/>
        </w:rPr>
        <w:t>Plenário</w:t>
      </w:r>
      <w:r w:rsidR="00B726C4" w:rsidRPr="00B146F5">
        <w:rPr>
          <w:rFonts w:eastAsia="Arial"/>
          <w:sz w:val="20"/>
          <w:szCs w:val="20"/>
        </w:rPr>
        <w:t>,</w:t>
      </w:r>
      <w:r w:rsidRPr="00B146F5">
        <w:rPr>
          <w:rFonts w:eastAsia="Arial"/>
          <w:sz w:val="20"/>
          <w:szCs w:val="20"/>
        </w:rPr>
        <w:t xml:space="preserve"> Rel. </w:t>
      </w:r>
      <w:r w:rsidR="005D25A0">
        <w:rPr>
          <w:rFonts w:eastAsia="Arial"/>
          <w:sz w:val="20"/>
          <w:szCs w:val="20"/>
        </w:rPr>
        <w:t>Jorge Oliveira</w:t>
      </w:r>
      <w:r w:rsidRPr="00B146F5">
        <w:rPr>
          <w:rFonts w:eastAsia="Arial"/>
          <w:sz w:val="20"/>
          <w:szCs w:val="20"/>
        </w:rPr>
        <w:t xml:space="preserve">, </w:t>
      </w:r>
      <w:r w:rsidR="00AE2832" w:rsidRPr="00B146F5">
        <w:rPr>
          <w:rFonts w:eastAsia="Arial"/>
          <w:sz w:val="20"/>
          <w:szCs w:val="20"/>
        </w:rPr>
        <w:t>Plenário</w:t>
      </w:r>
      <w:r w:rsidRPr="00B146F5">
        <w:rPr>
          <w:rFonts w:eastAsia="Arial"/>
          <w:sz w:val="20"/>
          <w:szCs w:val="20"/>
        </w:rPr>
        <w:t xml:space="preserve">, julgado em </w:t>
      </w:r>
      <w:r w:rsidR="00AE2832" w:rsidRPr="00B146F5">
        <w:rPr>
          <w:rFonts w:eastAsia="Arial"/>
          <w:sz w:val="20"/>
          <w:szCs w:val="20"/>
        </w:rPr>
        <w:t>1</w:t>
      </w:r>
      <w:r w:rsidR="002037CC">
        <w:rPr>
          <w:rFonts w:eastAsia="Arial"/>
          <w:sz w:val="20"/>
          <w:szCs w:val="20"/>
        </w:rPr>
        <w:t>0</w:t>
      </w:r>
      <w:r w:rsidR="00AE2832" w:rsidRPr="00B146F5">
        <w:rPr>
          <w:rFonts w:eastAsia="Arial"/>
          <w:sz w:val="20"/>
          <w:szCs w:val="20"/>
        </w:rPr>
        <w:t>/</w:t>
      </w:r>
      <w:r w:rsidR="002037CC">
        <w:rPr>
          <w:rFonts w:eastAsia="Arial"/>
          <w:sz w:val="20"/>
          <w:szCs w:val="20"/>
        </w:rPr>
        <w:t>4</w:t>
      </w:r>
      <w:r w:rsidR="003F38C2" w:rsidRPr="00B146F5">
        <w:rPr>
          <w:rFonts w:eastAsia="Arial"/>
          <w:sz w:val="20"/>
          <w:szCs w:val="20"/>
        </w:rPr>
        <w:t>/</w:t>
      </w:r>
      <w:r w:rsidR="00D36E9D" w:rsidRPr="00B146F5">
        <w:rPr>
          <w:rFonts w:eastAsia="Arial"/>
          <w:sz w:val="20"/>
          <w:szCs w:val="20"/>
        </w:rPr>
        <w:t>202</w:t>
      </w:r>
      <w:r w:rsidR="002037CC">
        <w:rPr>
          <w:rFonts w:eastAsia="Arial"/>
          <w:sz w:val="20"/>
          <w:szCs w:val="20"/>
        </w:rPr>
        <w:t>4</w:t>
      </w:r>
      <w:r w:rsidRPr="00B146F5">
        <w:rPr>
          <w:rFonts w:eastAsia="Arial"/>
          <w:sz w:val="20"/>
          <w:szCs w:val="20"/>
        </w:rPr>
        <w:t>)</w:t>
      </w:r>
    </w:p>
    <w:p w14:paraId="26D1FD4F" w14:textId="77777777" w:rsidR="007A5AED" w:rsidRDefault="007A5AED" w:rsidP="007A5AED">
      <w:pPr>
        <w:shd w:val="clear" w:color="EEECE1" w:themeColor="background2" w:fill="EEECE1" w:themeFill="background2"/>
        <w:spacing w:line="276" w:lineRule="auto"/>
        <w:jc w:val="center"/>
        <w:rPr>
          <w:rFonts w:ascii="Arial" w:eastAsia="Arial" w:hAnsi="Arial" w:cs="Arial"/>
          <w:b/>
          <w:sz w:val="20"/>
          <w:szCs w:val="20"/>
        </w:rPr>
      </w:pPr>
      <w:r>
        <w:rPr>
          <w:rFonts w:ascii="Arial" w:eastAsia="Arial" w:hAnsi="Arial" w:cs="Arial"/>
          <w:b/>
          <w:sz w:val="20"/>
          <w:szCs w:val="20"/>
        </w:rPr>
        <w:t xml:space="preserve">TRIBUNAL DE CONTAS DO ESTADO DO PARANÁ </w:t>
      </w:r>
    </w:p>
    <w:p w14:paraId="55635485" w14:textId="6FD89210" w:rsidR="0032515A" w:rsidRDefault="004330D2" w:rsidP="007F6796">
      <w:pPr>
        <w:pStyle w:val="Ttulo1"/>
        <w:spacing w:before="120" w:after="120"/>
        <w:ind w:right="-1"/>
        <w:rPr>
          <w:lang w:val="pt-BR"/>
        </w:rPr>
      </w:pPr>
      <w:bookmarkStart w:id="1" w:name="_Toc166753154"/>
      <w:r w:rsidRPr="00A93B0F">
        <w:rPr>
          <w:lang w:val="pt-BR"/>
        </w:rPr>
        <w:t xml:space="preserve">2. </w:t>
      </w:r>
      <w:bookmarkStart w:id="2" w:name="_Toc156301771"/>
      <w:r w:rsidR="007F6796" w:rsidRPr="007F6796">
        <w:rPr>
          <w:lang w:val="pt-BR"/>
        </w:rPr>
        <w:t>CONSULTA. MUNICÍPIO DE CAPITÃO LEÔNIDAS MARQUES. DÚVIDA A RESPEITO DA APLICAÇÃO DA PARCELA EXTRA DOS RECURSOS RECEBIDOS NA FORMA DE ASSISTÊNCIA FINANCEIRA COMPLEMENTAR PAGA PELA UNIÃO AOS ENTES DA FEDERAÇÃO PARA A FINALIDADE DE ASSEGURAR O PAGAMENTO DO PISO SALARIAL AOS AGENTES COMUNITÁRIOS DE SAÚDE E AGENTES DE COMBATE ÀS ENDEMIAS. POSSIBILIDADE DE UTILIZAÇÃO DOS RECURSOS DA ASSISTÊNCIA FINANCEIRA PARA O APRIMORAMENTO DAS CONDIÇÕES DE TRABALHO DOS AGENTES. POSSIBILIDADE DE ESTABELECIMENTO DE PADRÃO REMUNERATÓRIO AOS AGENTES INDEPENDENTEMENTE DA EXISTÊNCIA DE SOBRAS REFERENTES AOS REPASSES FINANCEIROS PELA UNIÃO A TÍTULO DE ASSISTÊNCIA FINANCEIRA.</w:t>
      </w:r>
      <w:bookmarkEnd w:id="1"/>
      <w:r w:rsidR="007F6796" w:rsidRPr="007F6796">
        <w:rPr>
          <w:lang w:val="pt-BR"/>
        </w:rPr>
        <w:t xml:space="preserve"> </w:t>
      </w:r>
    </w:p>
    <w:p w14:paraId="09AB8777" w14:textId="58CD1EB1" w:rsidR="00EA4601" w:rsidRDefault="00EA4601" w:rsidP="00125D69">
      <w:pPr>
        <w:pStyle w:val="Ttulo1"/>
        <w:spacing w:before="120" w:after="120"/>
        <w:ind w:right="-1"/>
        <w:rPr>
          <w:b w:val="0"/>
          <w:bCs w:val="0"/>
          <w:lang w:val="pt-BR"/>
        </w:rPr>
      </w:pPr>
      <w:bookmarkStart w:id="3" w:name="_Toc160617706"/>
      <w:bookmarkStart w:id="4" w:name="_Toc160618863"/>
      <w:bookmarkStart w:id="5" w:name="_Toc166752928"/>
      <w:bookmarkStart w:id="6" w:name="_Toc166753155"/>
      <w:bookmarkStart w:id="7" w:name="_Toc156301773"/>
      <w:bookmarkEnd w:id="2"/>
      <w:r>
        <w:rPr>
          <w:b w:val="0"/>
          <w:bCs w:val="0"/>
          <w:lang w:val="pt-BR"/>
        </w:rPr>
        <w:t>(...)</w:t>
      </w:r>
      <w:bookmarkEnd w:id="3"/>
      <w:bookmarkEnd w:id="4"/>
      <w:bookmarkEnd w:id="5"/>
      <w:bookmarkEnd w:id="6"/>
    </w:p>
    <w:p w14:paraId="4AE9D066" w14:textId="4BD49BAB" w:rsidR="007F6796" w:rsidRPr="007F6796" w:rsidRDefault="007F6796" w:rsidP="007F6796">
      <w:pPr>
        <w:pStyle w:val="Ttulo1"/>
        <w:spacing w:before="120" w:after="120"/>
        <w:ind w:right="-1"/>
        <w:rPr>
          <w:b w:val="0"/>
          <w:bCs w:val="0"/>
          <w:lang w:val="pt-BR"/>
        </w:rPr>
      </w:pPr>
      <w:bookmarkStart w:id="8" w:name="_Toc166752929"/>
      <w:bookmarkStart w:id="9" w:name="_Toc166753156"/>
      <w:bookmarkStart w:id="10" w:name="_Toc160617708"/>
      <w:bookmarkStart w:id="11" w:name="_Toc160618865"/>
      <w:bookmarkStart w:id="12" w:name="_Toc156301775"/>
      <w:bookmarkStart w:id="13" w:name="OLE_LINK1"/>
      <w:bookmarkEnd w:id="7"/>
      <w:r w:rsidRPr="007F6796">
        <w:rPr>
          <w:b w:val="0"/>
          <w:bCs w:val="0"/>
          <w:lang w:val="pt-BR"/>
        </w:rPr>
        <w:t>1. A parcela extra de incentivo financeiro repassada pelo Governo Federal pode ser utilizada pelo Município para auxiliar no pagamento de salários, férias, 13</w:t>
      </w:r>
      <w:r w:rsidR="00665502">
        <w:rPr>
          <w:b w:val="0"/>
          <w:bCs w:val="0"/>
          <w:lang w:val="pt-BR"/>
        </w:rPr>
        <w:t>º</w:t>
      </w:r>
      <w:r w:rsidRPr="007F6796">
        <w:rPr>
          <w:b w:val="0"/>
          <w:bCs w:val="0"/>
          <w:lang w:val="pt-BR"/>
        </w:rPr>
        <w:t xml:space="preserve"> salário e demais encargos trabalhistas dos profissionais de Agentes Comunitários de Saúde (ACS)e Agente de Combate a Endemias (ACE)?</w:t>
      </w:r>
      <w:bookmarkEnd w:id="8"/>
      <w:bookmarkEnd w:id="9"/>
      <w:r w:rsidRPr="007F6796">
        <w:rPr>
          <w:b w:val="0"/>
          <w:bCs w:val="0"/>
          <w:lang w:val="pt-BR"/>
        </w:rPr>
        <w:t xml:space="preserve"> </w:t>
      </w:r>
    </w:p>
    <w:p w14:paraId="4346F977" w14:textId="4BDB0C25" w:rsidR="007F6796" w:rsidRPr="007F6796" w:rsidRDefault="007F6796" w:rsidP="007F6796">
      <w:pPr>
        <w:pStyle w:val="Ttulo1"/>
        <w:spacing w:before="120" w:after="120"/>
        <w:ind w:right="-1"/>
        <w:rPr>
          <w:b w:val="0"/>
          <w:bCs w:val="0"/>
          <w:lang w:val="pt-BR"/>
        </w:rPr>
      </w:pPr>
      <w:bookmarkStart w:id="14" w:name="_Toc166752930"/>
      <w:bookmarkStart w:id="15" w:name="_Toc166753157"/>
      <w:r w:rsidRPr="007F6796">
        <w:rPr>
          <w:b w:val="0"/>
          <w:bCs w:val="0"/>
          <w:lang w:val="pt-BR"/>
        </w:rPr>
        <w:t>Resposta: Sim, a parcela extra referente aos incentivos financeiros para o fortalecimento de políticas afetas à atuação de ACS e ACE pode ser utilizada em prol do aprimoramento das condições de trabalho dos agentes, podendo também ser utilizada para pagamento de salários e demais encargos trabalhistas, bem como para as finalidades de promoção das atividades dos agentes.</w:t>
      </w:r>
      <w:bookmarkEnd w:id="14"/>
      <w:bookmarkEnd w:id="15"/>
      <w:r w:rsidRPr="007F6796">
        <w:rPr>
          <w:b w:val="0"/>
          <w:bCs w:val="0"/>
          <w:lang w:val="pt-BR"/>
        </w:rPr>
        <w:t xml:space="preserve"> </w:t>
      </w:r>
    </w:p>
    <w:p w14:paraId="14B14FF5" w14:textId="47DB871C" w:rsidR="007F6796" w:rsidRPr="007F6796" w:rsidRDefault="007F6796" w:rsidP="007F6796">
      <w:pPr>
        <w:pStyle w:val="Ttulo1"/>
        <w:spacing w:before="120" w:after="120"/>
        <w:ind w:right="-1"/>
        <w:rPr>
          <w:b w:val="0"/>
          <w:bCs w:val="0"/>
          <w:lang w:val="pt-BR"/>
        </w:rPr>
      </w:pPr>
      <w:bookmarkStart w:id="16" w:name="_Toc166752931"/>
      <w:bookmarkStart w:id="17" w:name="_Toc166753158"/>
      <w:r>
        <w:rPr>
          <w:b w:val="0"/>
          <w:bCs w:val="0"/>
          <w:lang w:val="pt-BR"/>
        </w:rPr>
        <w:lastRenderedPageBreak/>
        <w:t>(...)</w:t>
      </w:r>
      <w:bookmarkEnd w:id="16"/>
      <w:bookmarkEnd w:id="17"/>
    </w:p>
    <w:p w14:paraId="7155208D" w14:textId="38AE9942" w:rsidR="007F6796" w:rsidRDefault="007F6796" w:rsidP="007F6796">
      <w:pPr>
        <w:pStyle w:val="Ttulo1"/>
        <w:spacing w:before="120" w:after="120"/>
        <w:ind w:right="-1"/>
        <w:rPr>
          <w:b w:val="0"/>
          <w:bCs w:val="0"/>
          <w:lang w:val="pt-BR"/>
        </w:rPr>
      </w:pPr>
      <w:bookmarkStart w:id="18" w:name="_Toc166752932"/>
      <w:bookmarkStart w:id="19" w:name="_Toc166753159"/>
      <w:r w:rsidRPr="007F6796">
        <w:rPr>
          <w:b w:val="0"/>
          <w:bCs w:val="0"/>
          <w:lang w:val="pt-BR"/>
        </w:rPr>
        <w:t>4. Inexistindo sobras referentes aos repasses financeiros pela União, envolvendo a assistência financeira complementar em 12 (doze) parcelas consecutivas e a parcela adicional no último trimestre, mesmo assim poderá ser criada gratificação e/ou 14</w:t>
      </w:r>
      <w:r>
        <w:rPr>
          <w:b w:val="0"/>
          <w:bCs w:val="0"/>
          <w:lang w:val="pt-BR"/>
        </w:rPr>
        <w:t>º</w:t>
      </w:r>
      <w:r w:rsidRPr="007F6796">
        <w:rPr>
          <w:b w:val="0"/>
          <w:bCs w:val="0"/>
          <w:lang w:val="pt-BR"/>
        </w:rPr>
        <w:t xml:space="preserve"> salário, mediante lei própria?</w:t>
      </w:r>
      <w:bookmarkEnd w:id="18"/>
      <w:bookmarkEnd w:id="19"/>
    </w:p>
    <w:p w14:paraId="61349159" w14:textId="43389CC8" w:rsidR="007F6796" w:rsidRPr="007F6796" w:rsidRDefault="00665502" w:rsidP="007F6796">
      <w:pPr>
        <w:pStyle w:val="Ttulo1"/>
        <w:spacing w:before="120" w:after="120"/>
        <w:ind w:right="-1"/>
        <w:rPr>
          <w:b w:val="0"/>
          <w:bCs w:val="0"/>
          <w:lang w:val="pt-BR"/>
        </w:rPr>
      </w:pPr>
      <w:bookmarkStart w:id="20" w:name="_Toc166752933"/>
      <w:bookmarkStart w:id="21" w:name="_Toc166753160"/>
      <w:r w:rsidRPr="00665502">
        <w:rPr>
          <w:b w:val="0"/>
          <w:bCs w:val="0"/>
          <w:lang w:val="pt-BR"/>
        </w:rPr>
        <w:t>Resposta: Sim, o ente da federação pode estabelecer “vantagens, incentivos, auxílios, gratificações e indenizações, a fim de valorizar o trabalho” dos ACS e ACE, conforme art. 198, §7º, da Constituição Federal, independentemente da existência de sobras referentes aos repasses da União.</w:t>
      </w:r>
      <w:bookmarkEnd w:id="20"/>
      <w:bookmarkEnd w:id="21"/>
    </w:p>
    <w:p w14:paraId="5019CF33" w14:textId="1A0B8FF9" w:rsidR="00EA4601" w:rsidRDefault="00EA4601" w:rsidP="00982AB9">
      <w:pPr>
        <w:pStyle w:val="Ttulo1"/>
        <w:spacing w:before="120" w:after="120"/>
        <w:ind w:right="0"/>
        <w:rPr>
          <w:rFonts w:eastAsia="Arial" w:cs="Arial"/>
          <w:b w:val="0"/>
          <w:bCs w:val="0"/>
          <w:szCs w:val="20"/>
          <w:lang w:val="pt-BR"/>
        </w:rPr>
      </w:pPr>
      <w:bookmarkStart w:id="22" w:name="_Toc166752934"/>
      <w:bookmarkStart w:id="23" w:name="_Toc166753161"/>
      <w:r>
        <w:rPr>
          <w:rFonts w:eastAsia="Arial" w:cs="Arial"/>
          <w:b w:val="0"/>
          <w:bCs w:val="0"/>
          <w:szCs w:val="20"/>
          <w:lang w:val="pt-BR"/>
        </w:rPr>
        <w:t>(...)</w:t>
      </w:r>
      <w:bookmarkEnd w:id="10"/>
      <w:bookmarkEnd w:id="11"/>
      <w:bookmarkEnd w:id="22"/>
      <w:bookmarkEnd w:id="23"/>
    </w:p>
    <w:p w14:paraId="0494D8DE" w14:textId="19911391" w:rsidR="00674104" w:rsidRPr="00125D69" w:rsidRDefault="0015344D" w:rsidP="00125D69">
      <w:pPr>
        <w:pStyle w:val="Ttulo1"/>
        <w:spacing w:before="120" w:after="240"/>
        <w:ind w:right="0"/>
        <w:rPr>
          <w:rFonts w:eastAsia="Arial" w:cs="Arial"/>
          <w:b w:val="0"/>
          <w:bCs w:val="0"/>
          <w:lang w:val="pt-BR"/>
        </w:rPr>
      </w:pPr>
      <w:bookmarkStart w:id="24" w:name="_Toc160617709"/>
      <w:bookmarkStart w:id="25" w:name="_Toc160618866"/>
      <w:bookmarkStart w:id="26" w:name="_Toc166752935"/>
      <w:bookmarkStart w:id="27" w:name="_Toc166753162"/>
      <w:r w:rsidRPr="00125D69">
        <w:rPr>
          <w:rFonts w:eastAsia="Arial" w:cs="Arial"/>
          <w:b w:val="0"/>
          <w:bCs w:val="0"/>
          <w:szCs w:val="20"/>
          <w:lang w:val="pt-BR"/>
        </w:rPr>
        <w:t>(TCE</w:t>
      </w:r>
      <w:r w:rsidR="0032515A">
        <w:rPr>
          <w:rFonts w:eastAsia="Arial" w:cs="Arial"/>
          <w:b w:val="0"/>
          <w:bCs w:val="0"/>
          <w:szCs w:val="20"/>
          <w:lang w:val="pt-BR"/>
        </w:rPr>
        <w:t>-</w:t>
      </w:r>
      <w:r w:rsidRPr="00125D69">
        <w:rPr>
          <w:rFonts w:eastAsia="Arial" w:cs="Arial"/>
          <w:b w:val="0"/>
          <w:bCs w:val="0"/>
          <w:szCs w:val="20"/>
          <w:lang w:val="pt-BR"/>
        </w:rPr>
        <w:t xml:space="preserve">PR, Processo n.º </w:t>
      </w:r>
      <w:r w:rsidR="00665502">
        <w:rPr>
          <w:rFonts w:eastAsia="Arial" w:cs="Arial"/>
          <w:b w:val="0"/>
          <w:bCs w:val="0"/>
          <w:lang w:val="pt-BR"/>
        </w:rPr>
        <w:t>4443</w:t>
      </w:r>
      <w:r w:rsidR="0032515A">
        <w:rPr>
          <w:rFonts w:eastAsia="Arial" w:cs="Arial"/>
          <w:b w:val="0"/>
          <w:bCs w:val="0"/>
          <w:lang w:val="pt-BR"/>
        </w:rPr>
        <w:t>/2</w:t>
      </w:r>
      <w:r w:rsidR="00665502">
        <w:rPr>
          <w:rFonts w:eastAsia="Arial" w:cs="Arial"/>
          <w:b w:val="0"/>
          <w:bCs w:val="0"/>
          <w:lang w:val="pt-BR"/>
        </w:rPr>
        <w:t>3</w:t>
      </w:r>
      <w:r w:rsidRPr="00125D69">
        <w:rPr>
          <w:rFonts w:eastAsia="Arial" w:cs="Arial"/>
          <w:b w:val="0"/>
          <w:bCs w:val="0"/>
          <w:lang w:val="pt-BR"/>
        </w:rPr>
        <w:t xml:space="preserve">. </w:t>
      </w:r>
      <w:hyperlink r:id="rId13" w:history="1">
        <w:r w:rsidR="00665502">
          <w:rPr>
            <w:rStyle w:val="Hyperlink"/>
            <w:rFonts w:eastAsia="Arial" w:cs="Arial"/>
            <w:b w:val="0"/>
            <w:bCs w:val="0"/>
            <w:lang w:val="pt-BR"/>
          </w:rPr>
          <w:t>Acórdão n.º 501/24</w:t>
        </w:r>
      </w:hyperlink>
      <w:r w:rsidR="00B726C4" w:rsidRPr="00125D69">
        <w:rPr>
          <w:rFonts w:eastAsia="Arial" w:cs="Arial"/>
          <w:b w:val="0"/>
          <w:bCs w:val="0"/>
          <w:szCs w:val="20"/>
          <w:lang w:val="pt-BR"/>
        </w:rPr>
        <w:t>, Tribunal Pleno,</w:t>
      </w:r>
      <w:r w:rsidRPr="00125D69">
        <w:rPr>
          <w:rFonts w:eastAsia="Arial" w:cs="Arial"/>
          <w:b w:val="0"/>
          <w:bCs w:val="0"/>
          <w:szCs w:val="20"/>
          <w:lang w:val="pt-BR"/>
        </w:rPr>
        <w:t xml:space="preserve"> Rel. </w:t>
      </w:r>
      <w:r w:rsidR="00665502">
        <w:rPr>
          <w:rFonts w:cs="Arial"/>
          <w:b w:val="0"/>
          <w:bCs w:val="0"/>
          <w:szCs w:val="20"/>
          <w:lang w:val="pt-BR"/>
        </w:rPr>
        <w:t>Maurício Requião de Mello e Silva</w:t>
      </w:r>
      <w:r w:rsidR="003D1479" w:rsidRPr="00125D69">
        <w:rPr>
          <w:rFonts w:cs="Arial"/>
          <w:b w:val="0"/>
          <w:bCs w:val="0"/>
          <w:szCs w:val="20"/>
          <w:lang w:val="pt-BR"/>
        </w:rPr>
        <w:t xml:space="preserve">, julgado em </w:t>
      </w:r>
      <w:r w:rsidR="00125D69">
        <w:rPr>
          <w:rFonts w:cs="Arial"/>
          <w:b w:val="0"/>
          <w:bCs w:val="0"/>
          <w:szCs w:val="20"/>
          <w:lang w:val="pt-BR"/>
        </w:rPr>
        <w:t>2</w:t>
      </w:r>
      <w:r w:rsidR="00665502">
        <w:rPr>
          <w:rFonts w:cs="Arial"/>
          <w:b w:val="0"/>
          <w:bCs w:val="0"/>
          <w:szCs w:val="20"/>
          <w:lang w:val="pt-BR"/>
        </w:rPr>
        <w:t>6</w:t>
      </w:r>
      <w:r w:rsidR="004B4A4A" w:rsidRPr="00125D69">
        <w:rPr>
          <w:rFonts w:cs="Arial"/>
          <w:b w:val="0"/>
          <w:bCs w:val="0"/>
          <w:szCs w:val="20"/>
          <w:lang w:val="pt-BR"/>
        </w:rPr>
        <w:t>/</w:t>
      </w:r>
      <w:r w:rsidR="00B35D89">
        <w:rPr>
          <w:rFonts w:cs="Arial"/>
          <w:b w:val="0"/>
          <w:bCs w:val="0"/>
          <w:szCs w:val="20"/>
          <w:lang w:val="pt-BR"/>
        </w:rPr>
        <w:t>2</w:t>
      </w:r>
      <w:r w:rsidR="003D1479" w:rsidRPr="00125D69">
        <w:rPr>
          <w:rFonts w:cs="Arial"/>
          <w:b w:val="0"/>
          <w:bCs w:val="0"/>
          <w:szCs w:val="20"/>
          <w:lang w:val="pt-BR"/>
        </w:rPr>
        <w:t>/202</w:t>
      </w:r>
      <w:r w:rsidR="00B35D89">
        <w:rPr>
          <w:rFonts w:cs="Arial"/>
          <w:b w:val="0"/>
          <w:bCs w:val="0"/>
          <w:szCs w:val="20"/>
          <w:lang w:val="pt-BR"/>
        </w:rPr>
        <w:t>4</w:t>
      </w:r>
      <w:r w:rsidR="003D1479" w:rsidRPr="00125D69">
        <w:rPr>
          <w:rFonts w:cs="Arial"/>
          <w:b w:val="0"/>
          <w:bCs w:val="0"/>
          <w:szCs w:val="20"/>
          <w:lang w:val="pt-BR"/>
        </w:rPr>
        <w:t xml:space="preserve"> e veiculado em </w:t>
      </w:r>
      <w:r w:rsidR="00665502">
        <w:rPr>
          <w:rFonts w:cs="Arial"/>
          <w:b w:val="0"/>
          <w:bCs w:val="0"/>
          <w:szCs w:val="20"/>
          <w:lang w:val="pt-BR"/>
        </w:rPr>
        <w:t>12</w:t>
      </w:r>
      <w:r w:rsidR="003D1479" w:rsidRPr="00125D69">
        <w:rPr>
          <w:rFonts w:cs="Arial"/>
          <w:b w:val="0"/>
          <w:bCs w:val="0"/>
          <w:szCs w:val="20"/>
          <w:lang w:val="pt-BR"/>
        </w:rPr>
        <w:t>/</w:t>
      </w:r>
      <w:r w:rsidR="00665502">
        <w:rPr>
          <w:rFonts w:cs="Arial"/>
          <w:b w:val="0"/>
          <w:bCs w:val="0"/>
          <w:szCs w:val="20"/>
          <w:lang w:val="pt-BR"/>
        </w:rPr>
        <w:t>3</w:t>
      </w:r>
      <w:r w:rsidR="003D1479" w:rsidRPr="00125D69">
        <w:rPr>
          <w:rFonts w:cs="Arial"/>
          <w:b w:val="0"/>
          <w:bCs w:val="0"/>
          <w:szCs w:val="20"/>
          <w:lang w:val="pt-BR"/>
        </w:rPr>
        <w:t>/202</w:t>
      </w:r>
      <w:r w:rsidR="00B35D89">
        <w:rPr>
          <w:rFonts w:cs="Arial"/>
          <w:b w:val="0"/>
          <w:bCs w:val="0"/>
          <w:szCs w:val="20"/>
          <w:lang w:val="pt-BR"/>
        </w:rPr>
        <w:t>4</w:t>
      </w:r>
      <w:r w:rsidRPr="00125D69">
        <w:rPr>
          <w:rFonts w:eastAsia="Arial" w:cs="Arial"/>
          <w:b w:val="0"/>
          <w:bCs w:val="0"/>
          <w:lang w:val="pt-BR"/>
        </w:rPr>
        <w:t>)</w:t>
      </w:r>
      <w:bookmarkEnd w:id="12"/>
      <w:bookmarkEnd w:id="24"/>
      <w:bookmarkEnd w:id="25"/>
      <w:bookmarkEnd w:id="26"/>
      <w:bookmarkEnd w:id="27"/>
    </w:p>
    <w:bookmarkEnd w:id="13"/>
    <w:p w14:paraId="6F71E9BF" w14:textId="35667360" w:rsidR="00F332E4" w:rsidRPr="0047425F" w:rsidRDefault="004215CB" w:rsidP="0047425F">
      <w:pPr>
        <w:shd w:val="clear" w:color="EEECE1" w:themeColor="background2" w:fill="EEECE1" w:themeFill="background2"/>
        <w:spacing w:line="276" w:lineRule="auto"/>
        <w:jc w:val="center"/>
        <w:rPr>
          <w:rFonts w:ascii="Arial" w:eastAsia="Arial" w:hAnsi="Arial" w:cs="Arial"/>
          <w:b/>
          <w:sz w:val="20"/>
          <w:szCs w:val="20"/>
        </w:rPr>
      </w:pPr>
      <w:r>
        <w:rPr>
          <w:rFonts w:ascii="Arial" w:eastAsia="Arial" w:hAnsi="Arial" w:cs="Arial"/>
          <w:b/>
          <w:sz w:val="20"/>
          <w:szCs w:val="20"/>
        </w:rPr>
        <w:t xml:space="preserve">TRIBUNAL DE CONTAS DO ESTADO </w:t>
      </w:r>
      <w:r w:rsidR="00AA1554">
        <w:rPr>
          <w:rFonts w:ascii="Arial" w:eastAsia="Arial" w:hAnsi="Arial" w:cs="Arial"/>
          <w:b/>
          <w:sz w:val="20"/>
          <w:szCs w:val="20"/>
        </w:rPr>
        <w:t>D</w:t>
      </w:r>
      <w:r w:rsidR="00915255">
        <w:rPr>
          <w:rFonts w:ascii="Arial" w:eastAsia="Arial" w:hAnsi="Arial" w:cs="Arial"/>
          <w:b/>
          <w:sz w:val="20"/>
          <w:szCs w:val="20"/>
        </w:rPr>
        <w:t>E SÃO PAULO</w:t>
      </w:r>
    </w:p>
    <w:p w14:paraId="2957A4D4" w14:textId="77777777" w:rsidR="00EC1747" w:rsidRPr="00EC1747" w:rsidRDefault="00982AB9" w:rsidP="00EC1747">
      <w:pPr>
        <w:pStyle w:val="Ttulo1"/>
        <w:spacing w:before="120"/>
        <w:ind w:right="-1"/>
        <w:rPr>
          <w:lang w:val="pt-BR"/>
        </w:rPr>
      </w:pPr>
      <w:bookmarkStart w:id="28" w:name="_Toc166753163"/>
      <w:r w:rsidRPr="00A93B0F">
        <w:rPr>
          <w:lang w:val="pt-BR"/>
        </w:rPr>
        <w:t>3.</w:t>
      </w:r>
      <w:r>
        <w:rPr>
          <w:lang w:val="pt-BR"/>
        </w:rPr>
        <w:t xml:space="preserve"> </w:t>
      </w:r>
      <w:r w:rsidR="00EC1747" w:rsidRPr="00EC1747">
        <w:rPr>
          <w:lang w:val="pt-BR"/>
        </w:rPr>
        <w:t>REPRESENTAÇÃO EM FACE DO EDITAL DA CONCORRÊNCIA PÚBLICA Nº 007/2023, PROMOVIDA PELA PREFEITURA MUNICIPAL DE SÃO ROQUE, DESTINADO À CONTRATAÇÃO DE EMPRESA ESPECIALIZADA PARA A EXECUÇÃO DE SERVIÇOS DE COLETA DE RESÍDUOS SÓLIDOS URBANOS DOMICILIARES, DE LIMPEZA PÚBLICA NO MUNICÍPIO DE SÃO ROQUE E DESTINAÇÃO FINAL DOS RESÍDUOS SÓLIDOS URBANOS DE LIMPEZA PÚBLICA EM ATERRO SANITÁRIO LICENCIADO; E COLETA, TRANSPORTE, TRATAMENTO E DESTINAÇÃO FINAL DOS RESÍDUOS PROVENIENTES DE RESÍDUOS DE SERVIÇOS DE SAÚDE.</w:t>
      </w:r>
      <w:bookmarkEnd w:id="28"/>
    </w:p>
    <w:p w14:paraId="612BAD95" w14:textId="65DAA069" w:rsidR="007F13A7" w:rsidRPr="00EC1747" w:rsidRDefault="00EC1747" w:rsidP="000C54AC">
      <w:pPr>
        <w:pStyle w:val="Ttulo1"/>
        <w:spacing w:before="120"/>
        <w:ind w:right="-1"/>
        <w:rPr>
          <w:b w:val="0"/>
          <w:bCs w:val="0"/>
          <w:lang w:val="pt-BR"/>
        </w:rPr>
      </w:pPr>
      <w:bookmarkStart w:id="29" w:name="_Toc166752937"/>
      <w:bookmarkStart w:id="30" w:name="_Toc166753164"/>
      <w:r w:rsidRPr="00EC1747">
        <w:rPr>
          <w:b w:val="0"/>
          <w:bCs w:val="0"/>
          <w:lang w:val="pt-BR"/>
        </w:rPr>
        <w:t>(...)</w:t>
      </w:r>
      <w:bookmarkEnd w:id="29"/>
      <w:bookmarkEnd w:id="30"/>
    </w:p>
    <w:p w14:paraId="3B788388" w14:textId="0E40F29E" w:rsidR="00982AB9" w:rsidRDefault="00EC1747" w:rsidP="00EC1747">
      <w:pPr>
        <w:jc w:val="both"/>
        <w:rPr>
          <w:rFonts w:ascii="Arial" w:eastAsia="Arial" w:hAnsi="Arial" w:cs="Arial"/>
          <w:bCs/>
          <w:sz w:val="20"/>
        </w:rPr>
      </w:pPr>
      <w:r w:rsidRPr="00EC1747">
        <w:rPr>
          <w:rFonts w:ascii="Arial" w:eastAsia="Arial" w:hAnsi="Arial" w:cs="Arial"/>
          <w:bCs/>
          <w:sz w:val="20"/>
        </w:rPr>
        <w:t>2.11. Além disso, restou insubsistente a exigência de prova de</w:t>
      </w:r>
      <w:r>
        <w:rPr>
          <w:rFonts w:ascii="Arial" w:eastAsia="Arial" w:hAnsi="Arial" w:cs="Arial"/>
          <w:bCs/>
          <w:sz w:val="20"/>
        </w:rPr>
        <w:t xml:space="preserve"> </w:t>
      </w:r>
      <w:r w:rsidRPr="00EC1747">
        <w:rPr>
          <w:rFonts w:ascii="Arial" w:eastAsia="Arial" w:hAnsi="Arial" w:cs="Arial"/>
          <w:bCs/>
          <w:sz w:val="20"/>
        </w:rPr>
        <w:t>capacidade técnica relativa ao serviço de limpeza e remoção de resíduos em</w:t>
      </w:r>
      <w:r>
        <w:rPr>
          <w:rFonts w:ascii="Arial" w:eastAsia="Arial" w:hAnsi="Arial" w:cs="Arial"/>
          <w:bCs/>
          <w:sz w:val="20"/>
        </w:rPr>
        <w:t xml:space="preserve"> </w:t>
      </w:r>
      <w:r w:rsidRPr="00EC1747">
        <w:rPr>
          <w:rFonts w:ascii="Arial" w:eastAsia="Arial" w:hAnsi="Arial" w:cs="Arial"/>
          <w:bCs/>
          <w:sz w:val="20"/>
        </w:rPr>
        <w:t>áreas públicas, diante da apurada análise da Assessoria Técnica, expondo a</w:t>
      </w:r>
      <w:r>
        <w:rPr>
          <w:rFonts w:ascii="Arial" w:eastAsia="Arial" w:hAnsi="Arial" w:cs="Arial"/>
          <w:bCs/>
          <w:sz w:val="20"/>
        </w:rPr>
        <w:t xml:space="preserve"> </w:t>
      </w:r>
      <w:r w:rsidRPr="00EC1747">
        <w:rPr>
          <w:rFonts w:ascii="Arial" w:eastAsia="Arial" w:hAnsi="Arial" w:cs="Arial"/>
          <w:bCs/>
          <w:sz w:val="20"/>
        </w:rPr>
        <w:t>insuficiência de elementos no edital caracterizando tais serviços no edital.</w:t>
      </w:r>
      <w:r>
        <w:rPr>
          <w:rFonts w:ascii="Arial" w:eastAsia="Arial" w:hAnsi="Arial" w:cs="Arial"/>
          <w:bCs/>
          <w:sz w:val="20"/>
        </w:rPr>
        <w:t xml:space="preserve"> </w:t>
      </w:r>
      <w:r w:rsidRPr="00EC1747">
        <w:rPr>
          <w:rFonts w:ascii="Arial" w:eastAsia="Arial" w:hAnsi="Arial" w:cs="Arial"/>
          <w:bCs/>
          <w:sz w:val="20"/>
        </w:rPr>
        <w:t>Nesse aspecto, inclusive, incorporo recomendação do órgão técnico para que</w:t>
      </w:r>
      <w:r>
        <w:rPr>
          <w:rFonts w:ascii="Arial" w:eastAsia="Arial" w:hAnsi="Arial" w:cs="Arial"/>
          <w:bCs/>
          <w:sz w:val="20"/>
        </w:rPr>
        <w:t xml:space="preserve"> </w:t>
      </w:r>
      <w:r w:rsidRPr="00EC1747">
        <w:rPr>
          <w:rFonts w:ascii="Arial" w:eastAsia="Arial" w:hAnsi="Arial" w:cs="Arial"/>
          <w:bCs/>
          <w:sz w:val="20"/>
        </w:rPr>
        <w:t>sejam disponibilizadas todas as informações suficientes e necessárias para</w:t>
      </w:r>
      <w:r>
        <w:rPr>
          <w:rFonts w:ascii="Arial" w:eastAsia="Arial" w:hAnsi="Arial" w:cs="Arial"/>
          <w:bCs/>
          <w:sz w:val="20"/>
        </w:rPr>
        <w:t xml:space="preserve"> </w:t>
      </w:r>
      <w:r w:rsidRPr="00EC1747">
        <w:rPr>
          <w:rFonts w:ascii="Arial" w:eastAsia="Arial" w:hAnsi="Arial" w:cs="Arial"/>
          <w:bCs/>
          <w:sz w:val="20"/>
        </w:rPr>
        <w:t>adequada concepção da proposta e precificação dos referidos serviços, em</w:t>
      </w:r>
      <w:r>
        <w:rPr>
          <w:rFonts w:ascii="Arial" w:eastAsia="Arial" w:hAnsi="Arial" w:cs="Arial"/>
          <w:bCs/>
          <w:sz w:val="20"/>
        </w:rPr>
        <w:t xml:space="preserve"> </w:t>
      </w:r>
      <w:r w:rsidRPr="00EC1747">
        <w:rPr>
          <w:rFonts w:ascii="Arial" w:eastAsia="Arial" w:hAnsi="Arial" w:cs="Arial"/>
          <w:bCs/>
          <w:sz w:val="20"/>
        </w:rPr>
        <w:t>nível compatível com o projeto básico, nos termos do art. 6º, inc. IX, da Lei</w:t>
      </w:r>
      <w:r>
        <w:rPr>
          <w:rFonts w:ascii="Arial" w:eastAsia="Arial" w:hAnsi="Arial" w:cs="Arial"/>
          <w:bCs/>
          <w:sz w:val="20"/>
        </w:rPr>
        <w:t xml:space="preserve"> </w:t>
      </w:r>
      <w:r w:rsidRPr="00EC1747">
        <w:rPr>
          <w:rFonts w:ascii="Arial" w:eastAsia="Arial" w:hAnsi="Arial" w:cs="Arial"/>
          <w:bCs/>
          <w:sz w:val="20"/>
        </w:rPr>
        <w:t>Federal n. 8.666/93.</w:t>
      </w:r>
    </w:p>
    <w:p w14:paraId="0F1C6740" w14:textId="13EA64E5" w:rsidR="00EC1747" w:rsidRPr="00982AB9" w:rsidRDefault="00EC1747" w:rsidP="00EC1747">
      <w:pPr>
        <w:spacing w:after="120"/>
        <w:jc w:val="both"/>
        <w:rPr>
          <w:rFonts w:ascii="Arial" w:eastAsia="Arial" w:hAnsi="Arial" w:cs="Arial"/>
          <w:bCs/>
          <w:sz w:val="20"/>
        </w:rPr>
      </w:pPr>
      <w:r w:rsidRPr="00EC1747">
        <w:rPr>
          <w:rFonts w:ascii="Arial" w:eastAsia="Arial" w:hAnsi="Arial" w:cs="Arial"/>
          <w:bCs/>
          <w:sz w:val="20"/>
        </w:rPr>
        <w:t>2.12. Indevida, também, consoante jurisprudência deste E. Tribunal, a</w:t>
      </w:r>
      <w:r>
        <w:rPr>
          <w:rFonts w:ascii="Arial" w:eastAsia="Arial" w:hAnsi="Arial" w:cs="Arial"/>
          <w:bCs/>
          <w:sz w:val="20"/>
        </w:rPr>
        <w:t xml:space="preserve"> </w:t>
      </w:r>
      <w:r w:rsidRPr="00EC1747">
        <w:rPr>
          <w:rFonts w:ascii="Arial" w:eastAsia="Arial" w:hAnsi="Arial" w:cs="Arial"/>
          <w:bCs/>
          <w:sz w:val="20"/>
        </w:rPr>
        <w:t>requisição de prova de capacidade técnica referente aos serviços de</w:t>
      </w:r>
      <w:r>
        <w:rPr>
          <w:rFonts w:ascii="Arial" w:eastAsia="Arial" w:hAnsi="Arial" w:cs="Arial"/>
          <w:bCs/>
          <w:sz w:val="20"/>
        </w:rPr>
        <w:t xml:space="preserve"> </w:t>
      </w:r>
      <w:r w:rsidRPr="00EC1747">
        <w:rPr>
          <w:rFonts w:ascii="Arial" w:eastAsia="Arial" w:hAnsi="Arial" w:cs="Arial"/>
          <w:bCs/>
          <w:sz w:val="20"/>
        </w:rPr>
        <w:t>destinação final dos resíduos, diante da possiblidade de sua subcontratação.</w:t>
      </w:r>
    </w:p>
    <w:p w14:paraId="5F503B78" w14:textId="40CBB7F3" w:rsidR="00674104" w:rsidRPr="0047425F" w:rsidRDefault="001D4B88" w:rsidP="0047425F">
      <w:pPr>
        <w:spacing w:before="120" w:after="240"/>
        <w:jc w:val="both"/>
        <w:rPr>
          <w:rFonts w:ascii="Arial" w:eastAsia="Arial" w:hAnsi="Arial" w:cs="Arial"/>
          <w:sz w:val="20"/>
        </w:rPr>
      </w:pPr>
      <w:r>
        <w:rPr>
          <w:rFonts w:ascii="Arial" w:eastAsia="Arial" w:hAnsi="Arial" w:cs="Arial"/>
          <w:sz w:val="20"/>
          <w:szCs w:val="20"/>
        </w:rPr>
        <w:t>(TCE-</w:t>
      </w:r>
      <w:r w:rsidR="00EC1747">
        <w:rPr>
          <w:rFonts w:ascii="Arial" w:eastAsia="Arial" w:hAnsi="Arial" w:cs="Arial"/>
          <w:sz w:val="20"/>
          <w:szCs w:val="20"/>
        </w:rPr>
        <w:t>SP</w:t>
      </w:r>
      <w:r>
        <w:rPr>
          <w:rFonts w:ascii="Arial" w:eastAsia="Arial" w:hAnsi="Arial" w:cs="Arial"/>
          <w:sz w:val="20"/>
          <w:szCs w:val="20"/>
        </w:rPr>
        <w:t xml:space="preserve">, </w:t>
      </w:r>
      <w:hyperlink r:id="rId14" w:history="1">
        <w:r w:rsidR="00EC1747">
          <w:rPr>
            <w:rStyle w:val="Hyperlink"/>
            <w:rFonts w:ascii="Arial" w:eastAsia="Arial" w:hAnsi="Arial" w:cs="Arial"/>
            <w:sz w:val="20"/>
          </w:rPr>
          <w:t>Processo n.º TC-000673.989.24-0</w:t>
        </w:r>
      </w:hyperlink>
      <w:r w:rsidR="0047425F">
        <w:rPr>
          <w:rFonts w:ascii="Arial" w:eastAsia="Arial" w:hAnsi="Arial" w:cs="Arial"/>
          <w:sz w:val="20"/>
        </w:rPr>
        <w:t>,</w:t>
      </w:r>
      <w:r>
        <w:rPr>
          <w:rFonts w:ascii="Arial" w:eastAsia="Arial" w:hAnsi="Arial" w:cs="Arial"/>
          <w:sz w:val="20"/>
        </w:rPr>
        <w:t xml:space="preserve"> </w:t>
      </w:r>
      <w:r>
        <w:rPr>
          <w:rFonts w:ascii="Arial" w:eastAsia="Arial" w:hAnsi="Arial" w:cs="Arial"/>
          <w:sz w:val="20"/>
          <w:szCs w:val="20"/>
        </w:rPr>
        <w:t xml:space="preserve">Rel. </w:t>
      </w:r>
      <w:r w:rsidR="00EC1747">
        <w:rPr>
          <w:rFonts w:ascii="Arial" w:eastAsia="Arial" w:hAnsi="Arial" w:cs="Arial"/>
          <w:sz w:val="20"/>
          <w:szCs w:val="20"/>
        </w:rPr>
        <w:t>Dimas Ramalho</w:t>
      </w:r>
      <w:r>
        <w:rPr>
          <w:rFonts w:ascii="Arial" w:eastAsia="Arial" w:hAnsi="Arial" w:cs="Arial"/>
          <w:sz w:val="20"/>
        </w:rPr>
        <w:t xml:space="preserve">, julgado em </w:t>
      </w:r>
      <w:r w:rsidR="000C54AC">
        <w:rPr>
          <w:rFonts w:ascii="Arial" w:eastAsia="Arial" w:hAnsi="Arial" w:cs="Arial"/>
          <w:sz w:val="20"/>
        </w:rPr>
        <w:t>2</w:t>
      </w:r>
      <w:r w:rsidR="00EC1747">
        <w:rPr>
          <w:rFonts w:ascii="Arial" w:eastAsia="Arial" w:hAnsi="Arial" w:cs="Arial"/>
          <w:sz w:val="20"/>
        </w:rPr>
        <w:t>7</w:t>
      </w:r>
      <w:r w:rsidR="000C54AC">
        <w:rPr>
          <w:rFonts w:ascii="Arial" w:eastAsia="Arial" w:hAnsi="Arial" w:cs="Arial"/>
          <w:sz w:val="20"/>
        </w:rPr>
        <w:t>/</w:t>
      </w:r>
      <w:r w:rsidR="00EC1747">
        <w:rPr>
          <w:rFonts w:ascii="Arial" w:eastAsia="Arial" w:hAnsi="Arial" w:cs="Arial"/>
          <w:sz w:val="20"/>
        </w:rPr>
        <w:t>3</w:t>
      </w:r>
      <w:r w:rsidR="00AA1554">
        <w:rPr>
          <w:rFonts w:ascii="Arial" w:eastAsia="Arial" w:hAnsi="Arial" w:cs="Arial"/>
          <w:sz w:val="20"/>
        </w:rPr>
        <w:t>/202</w:t>
      </w:r>
      <w:r w:rsidR="00EC1747">
        <w:rPr>
          <w:rFonts w:ascii="Arial" w:eastAsia="Arial" w:hAnsi="Arial" w:cs="Arial"/>
          <w:sz w:val="20"/>
        </w:rPr>
        <w:t>4</w:t>
      </w:r>
      <w:r>
        <w:rPr>
          <w:rFonts w:ascii="Arial" w:eastAsia="Arial" w:hAnsi="Arial" w:cs="Arial"/>
          <w:sz w:val="20"/>
        </w:rPr>
        <w:t>)</w:t>
      </w:r>
    </w:p>
    <w:p w14:paraId="240658CC" w14:textId="77777777" w:rsidR="00265060" w:rsidRDefault="00265060" w:rsidP="00265060">
      <w:pPr>
        <w:shd w:val="clear" w:color="EEECE1" w:themeColor="background2" w:fill="EEECE1" w:themeFill="background2"/>
        <w:spacing w:line="276" w:lineRule="auto"/>
        <w:jc w:val="center"/>
        <w:rPr>
          <w:rFonts w:ascii="Arial" w:eastAsia="Arial" w:hAnsi="Arial" w:cs="Arial"/>
          <w:b/>
          <w:sz w:val="20"/>
          <w:szCs w:val="20"/>
        </w:rPr>
      </w:pPr>
      <w:r>
        <w:rPr>
          <w:rFonts w:ascii="Arial" w:eastAsia="Arial" w:hAnsi="Arial" w:cs="Arial"/>
          <w:b/>
          <w:sz w:val="20"/>
          <w:szCs w:val="20"/>
        </w:rPr>
        <w:t>SUPREMO TRIBUNAL FEDERAL</w:t>
      </w:r>
    </w:p>
    <w:p w14:paraId="333F3757" w14:textId="1E6F6060" w:rsidR="00EA4601" w:rsidRPr="00D04667" w:rsidRDefault="00755B00" w:rsidP="00D04667">
      <w:pPr>
        <w:pStyle w:val="Ttulo1"/>
        <w:spacing w:before="120" w:after="120"/>
        <w:ind w:right="-1"/>
        <w:rPr>
          <w:rStyle w:val="Ttulo1Char"/>
          <w:b/>
          <w:bCs/>
          <w:lang w:val="pt-BR"/>
        </w:rPr>
      </w:pPr>
      <w:bookmarkStart w:id="31" w:name="_Toc166753165"/>
      <w:r w:rsidRPr="00003BD8">
        <w:rPr>
          <w:rStyle w:val="Ttulo1Char"/>
          <w:b/>
          <w:bCs/>
          <w:lang w:val="pt-BR"/>
        </w:rPr>
        <w:t>4.</w:t>
      </w:r>
      <w:r w:rsidR="00D04667">
        <w:rPr>
          <w:rStyle w:val="Ttulo1Char"/>
          <w:lang w:val="pt-BR"/>
        </w:rPr>
        <w:t xml:space="preserve"> </w:t>
      </w:r>
      <w:r w:rsidR="002A20EF" w:rsidRPr="00D04667">
        <w:rPr>
          <w:lang w:val="pt-BR"/>
        </w:rPr>
        <w:t xml:space="preserve">MEDIDA CAUTELAR EM AÇÃO DIRETA DE INCONSTITUCIONALIDADE. </w:t>
      </w:r>
      <w:r w:rsidR="002A20EF" w:rsidRPr="002A20EF">
        <w:t>CONVERSÃO EM JULGAMENTO DE MÉRITO. ITEM E9.1 DO ANEXO II DO DECRETO N. 14.024/2012 DA BAHIA E ITEM E9.1 DO ANEXO ÚNICO DA RESOLUÇÃO N. 4.327/2013 DO CONSELHO ESTADUAL DO MEIO AMBIENTE – CEPRAM. INSTALAÇÃO DE ESTAÇÕES RÁDIO-BASE DE TELEFONIA CELULAR. EXIGÊNCIA DE LICENÇA AMBIENTAL. AFRONTA À COMPETÊNCIA PRIVATIVA DA UNIÃO PARA LEGISLAR SOBRE TELECOMUNICAÇÕES. PRECEDENTES DO SUPREMO TRIBUNAL FEDERAL. AÇÃO DIRETA JULGADA PROCEDENTE.</w:t>
      </w:r>
      <w:bookmarkEnd w:id="31"/>
      <w:r w:rsidR="00D2185E">
        <w:rPr>
          <w:rStyle w:val="Ttulo1Char"/>
          <w:lang w:val="pt-BR"/>
        </w:rPr>
        <w:t xml:space="preserve"> </w:t>
      </w:r>
      <w:bookmarkStart w:id="32" w:name="_Toc156301778"/>
    </w:p>
    <w:bookmarkEnd w:id="32"/>
    <w:p w14:paraId="60128F6F" w14:textId="03748918" w:rsidR="00674104" w:rsidRDefault="00C668B4" w:rsidP="00D178C5">
      <w:pPr>
        <w:spacing w:after="240"/>
        <w:jc w:val="both"/>
        <w:rPr>
          <w:rFonts w:ascii="Arial" w:eastAsia="Arial" w:hAnsi="Arial" w:cs="Arial"/>
          <w:color w:val="000000"/>
          <w:sz w:val="20"/>
          <w:szCs w:val="20"/>
        </w:rPr>
      </w:pPr>
      <w:r w:rsidRPr="00C668B4">
        <w:rPr>
          <w:rFonts w:ascii="Arial" w:eastAsia="Arial" w:hAnsi="Arial" w:cs="Arial"/>
          <w:color w:val="000000"/>
          <w:sz w:val="20"/>
          <w:szCs w:val="20"/>
        </w:rPr>
        <w:t>(STF,</w:t>
      </w:r>
      <w:r w:rsidR="00937D53">
        <w:rPr>
          <w:rFonts w:ascii="Arial" w:eastAsia="Arial" w:hAnsi="Arial" w:cs="Arial"/>
          <w:color w:val="000000"/>
          <w:sz w:val="20"/>
          <w:szCs w:val="20"/>
        </w:rPr>
        <w:t xml:space="preserve"> </w:t>
      </w:r>
      <w:hyperlink r:id="rId15" w:history="1">
        <w:r w:rsidR="00937D53" w:rsidRPr="00937D53">
          <w:rPr>
            <w:rStyle w:val="Hyperlink"/>
            <w:rFonts w:ascii="Arial" w:eastAsia="Arial" w:hAnsi="Arial" w:cs="Arial"/>
            <w:sz w:val="20"/>
            <w:szCs w:val="20"/>
          </w:rPr>
          <w:t>ADI 7509</w:t>
        </w:r>
      </w:hyperlink>
      <w:r w:rsidR="0001566B">
        <w:rPr>
          <w:rFonts w:ascii="Arial" w:eastAsia="Arial" w:hAnsi="Arial" w:cs="Arial"/>
          <w:color w:val="000000"/>
          <w:sz w:val="20"/>
          <w:szCs w:val="20"/>
        </w:rPr>
        <w:t>,</w:t>
      </w:r>
      <w:r w:rsidRPr="00C668B4">
        <w:rPr>
          <w:rFonts w:ascii="Arial" w:eastAsia="Arial" w:hAnsi="Arial" w:cs="Arial"/>
          <w:color w:val="000000"/>
          <w:sz w:val="20"/>
          <w:szCs w:val="20"/>
        </w:rPr>
        <w:t xml:space="preserve"> </w:t>
      </w:r>
      <w:r w:rsidR="00617F68">
        <w:rPr>
          <w:rFonts w:ascii="Arial" w:eastAsia="Arial" w:hAnsi="Arial" w:cs="Arial"/>
          <w:color w:val="000000"/>
          <w:sz w:val="20"/>
          <w:szCs w:val="20"/>
        </w:rPr>
        <w:t>r</w:t>
      </w:r>
      <w:r w:rsidRPr="00C668B4">
        <w:rPr>
          <w:rFonts w:ascii="Arial" w:eastAsia="Arial" w:hAnsi="Arial" w:cs="Arial"/>
          <w:color w:val="000000"/>
          <w:sz w:val="20"/>
          <w:szCs w:val="20"/>
        </w:rPr>
        <w:t xml:space="preserve">elator Min. </w:t>
      </w:r>
      <w:r w:rsidR="00937D53">
        <w:rPr>
          <w:rFonts w:ascii="Arial" w:eastAsia="Arial" w:hAnsi="Arial" w:cs="Arial"/>
          <w:color w:val="000000"/>
          <w:sz w:val="20"/>
          <w:szCs w:val="20"/>
        </w:rPr>
        <w:t>Carmen Lúcia</w:t>
      </w:r>
      <w:r w:rsidRPr="00C668B4">
        <w:rPr>
          <w:rFonts w:ascii="Arial" w:eastAsia="Arial" w:hAnsi="Arial" w:cs="Arial"/>
          <w:color w:val="000000"/>
          <w:sz w:val="20"/>
          <w:szCs w:val="20"/>
        </w:rPr>
        <w:t xml:space="preserve">, </w:t>
      </w:r>
      <w:r w:rsidR="00937D53">
        <w:rPr>
          <w:rFonts w:ascii="Arial" w:eastAsia="Arial" w:hAnsi="Arial" w:cs="Arial"/>
          <w:color w:val="000000"/>
          <w:sz w:val="20"/>
          <w:szCs w:val="20"/>
        </w:rPr>
        <w:t>Tribunal Pleno</w:t>
      </w:r>
      <w:r w:rsidRPr="00C668B4">
        <w:rPr>
          <w:rFonts w:ascii="Arial" w:eastAsia="Arial" w:hAnsi="Arial" w:cs="Arial"/>
          <w:color w:val="000000"/>
          <w:sz w:val="20"/>
          <w:szCs w:val="20"/>
        </w:rPr>
        <w:t xml:space="preserve">, julgado em </w:t>
      </w:r>
      <w:r w:rsidR="00937D53">
        <w:rPr>
          <w:rFonts w:ascii="Arial" w:eastAsia="Arial" w:hAnsi="Arial" w:cs="Arial"/>
          <w:color w:val="000000"/>
          <w:sz w:val="20"/>
          <w:szCs w:val="20"/>
        </w:rPr>
        <w:t>4</w:t>
      </w:r>
      <w:r w:rsidR="005D485C">
        <w:rPr>
          <w:rFonts w:ascii="Arial" w:eastAsia="Arial" w:hAnsi="Arial" w:cs="Arial"/>
          <w:color w:val="000000"/>
          <w:sz w:val="20"/>
          <w:szCs w:val="20"/>
        </w:rPr>
        <w:t>/</w:t>
      </w:r>
      <w:r w:rsidR="00937D53">
        <w:rPr>
          <w:rFonts w:ascii="Arial" w:eastAsia="Arial" w:hAnsi="Arial" w:cs="Arial"/>
          <w:color w:val="000000"/>
          <w:sz w:val="20"/>
          <w:szCs w:val="20"/>
        </w:rPr>
        <w:t>4</w:t>
      </w:r>
      <w:r w:rsidR="00A24390">
        <w:rPr>
          <w:rFonts w:ascii="Arial" w:eastAsia="Arial" w:hAnsi="Arial" w:cs="Arial"/>
          <w:color w:val="000000"/>
          <w:sz w:val="20"/>
          <w:szCs w:val="20"/>
        </w:rPr>
        <w:t>/202</w:t>
      </w:r>
      <w:r w:rsidR="00937D53">
        <w:rPr>
          <w:rFonts w:ascii="Arial" w:eastAsia="Arial" w:hAnsi="Arial" w:cs="Arial"/>
          <w:color w:val="000000"/>
          <w:sz w:val="20"/>
          <w:szCs w:val="20"/>
        </w:rPr>
        <w:t>4</w:t>
      </w:r>
      <w:r w:rsidRPr="00C668B4">
        <w:rPr>
          <w:rFonts w:ascii="Arial" w:eastAsia="Arial" w:hAnsi="Arial" w:cs="Arial"/>
          <w:color w:val="000000"/>
          <w:sz w:val="20"/>
          <w:szCs w:val="20"/>
        </w:rPr>
        <w:t xml:space="preserve">, veiculado em </w:t>
      </w:r>
      <w:r w:rsidR="00937D53">
        <w:rPr>
          <w:rFonts w:ascii="Arial" w:eastAsia="Arial" w:hAnsi="Arial" w:cs="Arial"/>
          <w:color w:val="000000"/>
          <w:sz w:val="20"/>
          <w:szCs w:val="20"/>
        </w:rPr>
        <w:t>9</w:t>
      </w:r>
      <w:r w:rsidR="00A24390">
        <w:rPr>
          <w:rFonts w:ascii="Arial" w:eastAsia="Arial" w:hAnsi="Arial" w:cs="Arial"/>
          <w:color w:val="000000"/>
          <w:sz w:val="20"/>
          <w:szCs w:val="20"/>
        </w:rPr>
        <w:t>/</w:t>
      </w:r>
      <w:r w:rsidR="00937D53">
        <w:rPr>
          <w:rFonts w:ascii="Arial" w:eastAsia="Arial" w:hAnsi="Arial" w:cs="Arial"/>
          <w:color w:val="000000"/>
          <w:sz w:val="20"/>
          <w:szCs w:val="20"/>
        </w:rPr>
        <w:t>4</w:t>
      </w:r>
      <w:r w:rsidR="00A24390">
        <w:rPr>
          <w:rFonts w:ascii="Arial" w:eastAsia="Arial" w:hAnsi="Arial" w:cs="Arial"/>
          <w:color w:val="000000"/>
          <w:sz w:val="20"/>
          <w:szCs w:val="20"/>
        </w:rPr>
        <w:t>/202</w:t>
      </w:r>
      <w:r w:rsidR="00937D53">
        <w:rPr>
          <w:rFonts w:ascii="Arial" w:eastAsia="Arial" w:hAnsi="Arial" w:cs="Arial"/>
          <w:color w:val="000000"/>
          <w:sz w:val="20"/>
          <w:szCs w:val="20"/>
        </w:rPr>
        <w:t>4</w:t>
      </w:r>
      <w:r w:rsidRPr="00C668B4">
        <w:rPr>
          <w:rFonts w:ascii="Arial" w:eastAsia="Arial" w:hAnsi="Arial" w:cs="Arial"/>
          <w:color w:val="000000"/>
          <w:sz w:val="20"/>
          <w:szCs w:val="20"/>
        </w:rPr>
        <w:t xml:space="preserve"> e publicado em </w:t>
      </w:r>
      <w:r w:rsidR="00937D53">
        <w:rPr>
          <w:rFonts w:ascii="Arial" w:eastAsia="Arial" w:hAnsi="Arial" w:cs="Arial"/>
          <w:color w:val="000000"/>
          <w:sz w:val="20"/>
          <w:szCs w:val="20"/>
        </w:rPr>
        <w:t>10</w:t>
      </w:r>
      <w:r w:rsidR="00A24390">
        <w:rPr>
          <w:rFonts w:ascii="Arial" w:eastAsia="Arial" w:hAnsi="Arial" w:cs="Arial"/>
          <w:color w:val="000000"/>
          <w:sz w:val="20"/>
          <w:szCs w:val="20"/>
        </w:rPr>
        <w:t>/</w:t>
      </w:r>
      <w:r w:rsidR="00937D53">
        <w:rPr>
          <w:rFonts w:ascii="Arial" w:eastAsia="Arial" w:hAnsi="Arial" w:cs="Arial"/>
          <w:color w:val="000000"/>
          <w:sz w:val="20"/>
          <w:szCs w:val="20"/>
        </w:rPr>
        <w:t>4</w:t>
      </w:r>
      <w:r w:rsidR="00A24390">
        <w:rPr>
          <w:rFonts w:ascii="Arial" w:eastAsia="Arial" w:hAnsi="Arial" w:cs="Arial"/>
          <w:color w:val="000000"/>
          <w:sz w:val="20"/>
          <w:szCs w:val="20"/>
        </w:rPr>
        <w:t>/202</w:t>
      </w:r>
      <w:r w:rsidR="00937D53">
        <w:rPr>
          <w:rFonts w:ascii="Arial" w:eastAsia="Arial" w:hAnsi="Arial" w:cs="Arial"/>
          <w:color w:val="000000"/>
          <w:sz w:val="20"/>
          <w:szCs w:val="20"/>
        </w:rPr>
        <w:t>4</w:t>
      </w:r>
      <w:r w:rsidRPr="00C668B4">
        <w:rPr>
          <w:rFonts w:ascii="Arial" w:eastAsia="Arial" w:hAnsi="Arial" w:cs="Arial"/>
          <w:color w:val="000000"/>
          <w:sz w:val="20"/>
          <w:szCs w:val="20"/>
        </w:rPr>
        <w:t>)</w:t>
      </w:r>
    </w:p>
    <w:p w14:paraId="431571C9" w14:textId="77777777" w:rsidR="00674104" w:rsidRDefault="004215CB">
      <w:pPr>
        <w:shd w:val="clear" w:color="EEECE1" w:themeColor="background2" w:fill="EEECE1" w:themeFill="background2"/>
        <w:spacing w:line="276" w:lineRule="auto"/>
        <w:jc w:val="center"/>
        <w:rPr>
          <w:rFonts w:ascii="Arial" w:eastAsia="Arial" w:hAnsi="Arial" w:cs="Arial"/>
          <w:b/>
          <w:sz w:val="20"/>
        </w:rPr>
      </w:pPr>
      <w:r>
        <w:rPr>
          <w:rFonts w:ascii="Arial" w:eastAsia="Arial" w:hAnsi="Arial" w:cs="Arial"/>
          <w:b/>
          <w:sz w:val="20"/>
          <w:szCs w:val="20"/>
        </w:rPr>
        <w:lastRenderedPageBreak/>
        <w:t>SUPERIOR TRIBUNAL DE JUSTIÇA</w:t>
      </w:r>
    </w:p>
    <w:p w14:paraId="7D277895" w14:textId="1A64AF43" w:rsidR="00EA4601" w:rsidRDefault="009763CE" w:rsidP="00EA4601">
      <w:pPr>
        <w:pStyle w:val="Ttulo1"/>
        <w:spacing w:before="120" w:after="120"/>
        <w:ind w:right="-1"/>
        <w:rPr>
          <w:lang w:val="pt-BR"/>
        </w:rPr>
      </w:pPr>
      <w:bookmarkStart w:id="33" w:name="_Toc156301779"/>
      <w:bookmarkStart w:id="34" w:name="_Toc166753166"/>
      <w:r w:rsidRPr="00A93B0F">
        <w:rPr>
          <w:lang w:val="pt-BR"/>
        </w:rPr>
        <w:t xml:space="preserve">5. </w:t>
      </w:r>
      <w:bookmarkStart w:id="35" w:name="_Toc156301780"/>
      <w:bookmarkEnd w:id="33"/>
      <w:r w:rsidR="00937D53" w:rsidRPr="00937D53">
        <w:rPr>
          <w:lang w:val="pt-BR"/>
        </w:rPr>
        <w:t>ADMINISTRATIVO. AÇÃO CIVIL PÚBLICA AJUIZADA PELA UNIÃO CONTRA EMPRESA PARTICULAR. DIREITO AMBIENTAL. EXTRAÇÃO IRREGULAR DE BASALTO. INDENIZAÇÃO POR DANOS MATERIAIS. NEGATIVA DE PRESTAÇÃO JURISDICIONAL NÃO CONFIGURADA. AUSÊNCIA DE INTERESSE PROCESSUAL AFASTADA. LICENÇA DE LAVRA. PORTARIA DNPM N. 217/2014. EFEITOS A PARTIR DE SUA PUBLICAÇÃO. FUNDAMENTO DO ACÓRDÃO RECORRIDO NÃO IMPUGNADO. SÚMULA 283/STF. VIOLAÇÃO REFLEXA OU INDIRETA A TEXTO DE LEI FEDERAL. DEVER DO PARTICULAR DE INDENIZAR. REPARAÇÃO INTEGRAL. PRECEDENTES DO STJ. INVIABILIDADE DE ANÁLISE DO DISSENSO PRETORIANO.</w:t>
      </w:r>
      <w:bookmarkEnd w:id="34"/>
    </w:p>
    <w:p w14:paraId="6C99EF41" w14:textId="77777777" w:rsidR="00937D53" w:rsidRPr="00937D53" w:rsidRDefault="00937D53" w:rsidP="00937D53">
      <w:pPr>
        <w:pStyle w:val="Ttulo1"/>
        <w:ind w:right="-1"/>
        <w:rPr>
          <w:b w:val="0"/>
          <w:bCs w:val="0"/>
          <w:lang w:val="pt-BR"/>
        </w:rPr>
      </w:pPr>
      <w:bookmarkStart w:id="36" w:name="_Toc166752940"/>
      <w:bookmarkStart w:id="37" w:name="_Toc166753167"/>
      <w:r w:rsidRPr="00937D53">
        <w:rPr>
          <w:b w:val="0"/>
          <w:bCs w:val="0"/>
          <w:lang w:val="pt-BR"/>
        </w:rPr>
        <w:t>1. Afasta-se a alegada ofensa aos arts. 489, § 1º, IV e 1.022 do CPC, na medida em que o Tribunal de origem dirimiu, fundamentadamente, as questões que lhe foram submetidas, apreciando integralmente a controvérsia posta nos autos, não se podendo, ademais, confundir julgamento desfavorável ao interesse da parte com negativa ou ausência de prestação jurisdicional.</w:t>
      </w:r>
      <w:bookmarkEnd w:id="36"/>
      <w:bookmarkEnd w:id="37"/>
    </w:p>
    <w:p w14:paraId="687C8367" w14:textId="77777777" w:rsidR="00937D53" w:rsidRPr="00937D53" w:rsidRDefault="00937D53" w:rsidP="00937D53">
      <w:pPr>
        <w:pStyle w:val="Ttulo1"/>
        <w:ind w:right="-1"/>
        <w:rPr>
          <w:b w:val="0"/>
          <w:bCs w:val="0"/>
          <w:lang w:val="pt-BR"/>
        </w:rPr>
      </w:pPr>
      <w:bookmarkStart w:id="38" w:name="_Toc166752941"/>
      <w:bookmarkStart w:id="39" w:name="_Toc166753168"/>
      <w:r w:rsidRPr="00937D53">
        <w:rPr>
          <w:b w:val="0"/>
          <w:bCs w:val="0"/>
          <w:lang w:val="pt-BR"/>
        </w:rPr>
        <w:t>2. A ausência de impugnação específica a fundamento utilizado no aresto regional inviabiliza o conhecimento do apelo nobre, atraindo a incidência da Súmula n. 283/STF.</w:t>
      </w:r>
      <w:bookmarkEnd w:id="38"/>
      <w:bookmarkEnd w:id="39"/>
    </w:p>
    <w:p w14:paraId="0BC9EAC0" w14:textId="77777777" w:rsidR="00937D53" w:rsidRPr="00937D53" w:rsidRDefault="00937D53" w:rsidP="00937D53">
      <w:pPr>
        <w:pStyle w:val="Ttulo1"/>
        <w:ind w:right="-1"/>
        <w:rPr>
          <w:b w:val="0"/>
          <w:bCs w:val="0"/>
          <w:lang w:val="pt-BR"/>
        </w:rPr>
      </w:pPr>
      <w:bookmarkStart w:id="40" w:name="_Toc166752942"/>
      <w:bookmarkStart w:id="41" w:name="_Toc166753169"/>
      <w:r w:rsidRPr="00937D53">
        <w:rPr>
          <w:b w:val="0"/>
          <w:bCs w:val="0"/>
          <w:lang w:val="pt-BR"/>
        </w:rPr>
        <w:t>3. O tema concernente ao alcance dos efeitos da concessão de lavra, no caso concreto, extrapola a estreita via do recurso especial, porquanto reclama o prévio exame do conteúdo da Portaria DNPM n. 217/2014, cujo ato normativo não se enquadra no conceito de tratado ou lei federal, de que cuida o art. 105, III, a, da CF.</w:t>
      </w:r>
      <w:bookmarkEnd w:id="40"/>
      <w:bookmarkEnd w:id="41"/>
    </w:p>
    <w:p w14:paraId="5C3F838B" w14:textId="77777777" w:rsidR="00937D53" w:rsidRPr="00937D53" w:rsidRDefault="00937D53" w:rsidP="00937D53">
      <w:pPr>
        <w:pStyle w:val="Ttulo1"/>
        <w:ind w:right="-1"/>
        <w:rPr>
          <w:b w:val="0"/>
          <w:bCs w:val="0"/>
          <w:lang w:val="pt-BR"/>
        </w:rPr>
      </w:pPr>
      <w:bookmarkStart w:id="42" w:name="_Toc166752943"/>
      <w:bookmarkStart w:id="43" w:name="_Toc166753170"/>
      <w:r w:rsidRPr="00937D53">
        <w:rPr>
          <w:b w:val="0"/>
          <w:bCs w:val="0"/>
          <w:lang w:val="pt-BR"/>
        </w:rPr>
        <w:t>4. O acórdão recorrido está em sintonia com a orientação jurisprudencial deste Superior Tribunal, firmada no sentido de que "a indenização deve abranger a totalidade dos danos causados ao ente federal, sob pena de frustrar o caráter pedagógico-punitivo da sanção e incentivar a impunidade de empresa infratora, que praticou conduta grave com a extração mineral irregular, fato incontroverso nos autos". (REsp 1.923.855/SC, Relator Ministro FRANCISCO FALCÃO, SEGUNDA TURMA, julgado em 26/4/2022, DJe de 28/4/2022).</w:t>
      </w:r>
      <w:bookmarkEnd w:id="42"/>
      <w:bookmarkEnd w:id="43"/>
    </w:p>
    <w:p w14:paraId="0BA64364" w14:textId="77777777" w:rsidR="00937D53" w:rsidRPr="00937D53" w:rsidRDefault="00937D53" w:rsidP="00937D53">
      <w:pPr>
        <w:pStyle w:val="Ttulo1"/>
        <w:ind w:right="-1"/>
        <w:rPr>
          <w:b w:val="0"/>
          <w:bCs w:val="0"/>
          <w:lang w:val="pt-BR"/>
        </w:rPr>
      </w:pPr>
      <w:bookmarkStart w:id="44" w:name="_Toc166752944"/>
      <w:bookmarkStart w:id="45" w:name="_Toc166753171"/>
      <w:r w:rsidRPr="00937D53">
        <w:rPr>
          <w:b w:val="0"/>
          <w:bCs w:val="0"/>
          <w:lang w:val="pt-BR"/>
        </w:rPr>
        <w:t>5. Desponta inviável a análise do aventado dissenso pretoriano quando a tese nele sustentada já tenha sido rejeitada no âmbito da alínea "a" do permissivo constitucional.</w:t>
      </w:r>
      <w:bookmarkEnd w:id="44"/>
      <w:bookmarkEnd w:id="45"/>
    </w:p>
    <w:p w14:paraId="6A4002C9" w14:textId="04740948" w:rsidR="00EA4601" w:rsidRPr="00EA4601" w:rsidRDefault="00937D53" w:rsidP="00937D53">
      <w:pPr>
        <w:pStyle w:val="Ttulo1"/>
        <w:ind w:right="-1"/>
        <w:rPr>
          <w:b w:val="0"/>
          <w:bCs w:val="0"/>
          <w:lang w:val="pt-BR"/>
        </w:rPr>
      </w:pPr>
      <w:bookmarkStart w:id="46" w:name="_Toc166752945"/>
      <w:bookmarkStart w:id="47" w:name="_Toc166753172"/>
      <w:r w:rsidRPr="00937D53">
        <w:rPr>
          <w:b w:val="0"/>
          <w:bCs w:val="0"/>
          <w:lang w:val="pt-BR"/>
        </w:rPr>
        <w:t>6. Agravo interno não provido.</w:t>
      </w:r>
      <w:bookmarkEnd w:id="46"/>
      <w:bookmarkEnd w:id="47"/>
    </w:p>
    <w:bookmarkEnd w:id="35"/>
    <w:p w14:paraId="766CB8D6" w14:textId="1BFAE673" w:rsidR="006875A4" w:rsidRDefault="007D3AEB" w:rsidP="00620DCD">
      <w:pPr>
        <w:pStyle w:val="Default"/>
        <w:spacing w:before="120" w:after="240"/>
        <w:jc w:val="both"/>
        <w:rPr>
          <w:rFonts w:eastAsia="Arial"/>
          <w:sz w:val="20"/>
          <w:szCs w:val="20"/>
        </w:rPr>
      </w:pPr>
      <w:r w:rsidRPr="00617F68">
        <w:rPr>
          <w:rFonts w:eastAsia="Arial"/>
          <w:sz w:val="20"/>
          <w:szCs w:val="20"/>
        </w:rPr>
        <w:t>(</w:t>
      </w:r>
      <w:r w:rsidR="00617F68">
        <w:rPr>
          <w:rFonts w:eastAsia="Arial"/>
          <w:sz w:val="20"/>
          <w:szCs w:val="20"/>
        </w:rPr>
        <w:t>STJ,</w:t>
      </w:r>
      <w:r w:rsidR="006875A4">
        <w:rPr>
          <w:rFonts w:eastAsia="Arial"/>
          <w:sz w:val="20"/>
          <w:szCs w:val="20"/>
        </w:rPr>
        <w:t xml:space="preserve"> </w:t>
      </w:r>
      <w:hyperlink r:id="rId16" w:history="1">
        <w:r w:rsidR="002A20EF">
          <w:rPr>
            <w:rStyle w:val="Hyperlink"/>
            <w:rFonts w:eastAsia="Arial"/>
            <w:sz w:val="20"/>
            <w:szCs w:val="20"/>
          </w:rPr>
          <w:t>AgInt no REsp n. 1.980.178/RS</w:t>
        </w:r>
      </w:hyperlink>
      <w:r w:rsidR="006875A4">
        <w:rPr>
          <w:rFonts w:eastAsia="Arial"/>
          <w:sz w:val="20"/>
          <w:szCs w:val="20"/>
        </w:rPr>
        <w:t xml:space="preserve">, relator </w:t>
      </w:r>
      <w:r w:rsidR="002A20EF">
        <w:rPr>
          <w:rFonts w:eastAsia="Arial"/>
          <w:sz w:val="20"/>
          <w:szCs w:val="20"/>
        </w:rPr>
        <w:t>Sérgio Kukina</w:t>
      </w:r>
      <w:r w:rsidR="006875A4">
        <w:rPr>
          <w:rFonts w:eastAsia="Arial"/>
          <w:sz w:val="20"/>
          <w:szCs w:val="20"/>
        </w:rPr>
        <w:t xml:space="preserve">, </w:t>
      </w:r>
      <w:r w:rsidR="005D485C">
        <w:rPr>
          <w:rFonts w:eastAsia="Arial"/>
          <w:sz w:val="20"/>
          <w:szCs w:val="20"/>
        </w:rPr>
        <w:t xml:space="preserve">Primeira </w:t>
      </w:r>
      <w:r w:rsidR="002A20EF">
        <w:rPr>
          <w:rFonts w:eastAsia="Arial"/>
          <w:sz w:val="20"/>
          <w:szCs w:val="20"/>
        </w:rPr>
        <w:t>Turma</w:t>
      </w:r>
      <w:r w:rsidR="006875A4">
        <w:rPr>
          <w:rFonts w:eastAsia="Arial"/>
          <w:sz w:val="20"/>
          <w:szCs w:val="20"/>
        </w:rPr>
        <w:t xml:space="preserve">, julgado em </w:t>
      </w:r>
      <w:r w:rsidR="00EA4601">
        <w:rPr>
          <w:rFonts w:eastAsia="Arial"/>
          <w:sz w:val="20"/>
          <w:szCs w:val="20"/>
        </w:rPr>
        <w:t>2/</w:t>
      </w:r>
      <w:r w:rsidR="002A20EF">
        <w:rPr>
          <w:rFonts w:eastAsia="Arial"/>
          <w:sz w:val="20"/>
          <w:szCs w:val="20"/>
        </w:rPr>
        <w:t>4</w:t>
      </w:r>
      <w:r w:rsidR="006875A4">
        <w:rPr>
          <w:rFonts w:eastAsia="Arial"/>
          <w:sz w:val="20"/>
          <w:szCs w:val="20"/>
        </w:rPr>
        <w:t>/202</w:t>
      </w:r>
      <w:r w:rsidR="00EA4601">
        <w:rPr>
          <w:rFonts w:eastAsia="Arial"/>
          <w:sz w:val="20"/>
          <w:szCs w:val="20"/>
        </w:rPr>
        <w:t>4</w:t>
      </w:r>
      <w:r w:rsidR="006875A4">
        <w:rPr>
          <w:rFonts w:eastAsia="Arial"/>
          <w:sz w:val="20"/>
          <w:szCs w:val="20"/>
        </w:rPr>
        <w:t>, Dje</w:t>
      </w:r>
      <w:r w:rsidR="00D2185E">
        <w:rPr>
          <w:rFonts w:eastAsia="Arial"/>
          <w:sz w:val="20"/>
          <w:szCs w:val="20"/>
        </w:rPr>
        <w:t xml:space="preserve"> </w:t>
      </w:r>
      <w:r w:rsidR="00EA4601">
        <w:rPr>
          <w:rFonts w:eastAsia="Arial"/>
          <w:sz w:val="20"/>
          <w:szCs w:val="20"/>
        </w:rPr>
        <w:t>1</w:t>
      </w:r>
      <w:r w:rsidR="002A20EF">
        <w:rPr>
          <w:rFonts w:eastAsia="Arial"/>
          <w:sz w:val="20"/>
          <w:szCs w:val="20"/>
        </w:rPr>
        <w:t>1</w:t>
      </w:r>
      <w:r w:rsidR="00440398">
        <w:rPr>
          <w:rFonts w:eastAsia="Arial"/>
          <w:sz w:val="20"/>
          <w:szCs w:val="20"/>
        </w:rPr>
        <w:t>/</w:t>
      </w:r>
      <w:r w:rsidR="002A20EF">
        <w:rPr>
          <w:rFonts w:eastAsia="Arial"/>
          <w:sz w:val="20"/>
          <w:szCs w:val="20"/>
        </w:rPr>
        <w:t>4</w:t>
      </w:r>
      <w:r w:rsidR="006875A4">
        <w:rPr>
          <w:rFonts w:eastAsia="Arial"/>
          <w:sz w:val="20"/>
          <w:szCs w:val="20"/>
        </w:rPr>
        <w:t>/202</w:t>
      </w:r>
      <w:r w:rsidR="00EA4601">
        <w:rPr>
          <w:rFonts w:eastAsia="Arial"/>
          <w:sz w:val="20"/>
          <w:szCs w:val="20"/>
        </w:rPr>
        <w:t>4</w:t>
      </w:r>
      <w:r w:rsidR="006875A4">
        <w:rPr>
          <w:rFonts w:eastAsia="Arial"/>
          <w:sz w:val="20"/>
          <w:szCs w:val="20"/>
        </w:rPr>
        <w:t>)</w:t>
      </w:r>
    </w:p>
    <w:p w14:paraId="66B1B9F0" w14:textId="77777777" w:rsidR="00674104" w:rsidRDefault="00915255">
      <w:pPr>
        <w:pStyle w:val="Default"/>
        <w:spacing w:line="276" w:lineRule="auto"/>
        <w:jc w:val="center"/>
        <w:rPr>
          <w:rStyle w:val="Hyperlink"/>
          <w:sz w:val="20"/>
          <w:szCs w:val="20"/>
        </w:rPr>
      </w:pPr>
      <w:hyperlink r:id="rId17" w:tooltip="http://www1.tce.pr.gov.br/conteudo/pesquisas-prontas/308475/area/249" w:history="1">
        <w:r w:rsidR="004215CB">
          <w:rPr>
            <w:rStyle w:val="Hyperlink"/>
            <w:b/>
            <w:sz w:val="20"/>
            <w:szCs w:val="20"/>
          </w:rPr>
          <w:t>Pesquisas Prontas</w:t>
        </w:r>
      </w:hyperlink>
    </w:p>
    <w:p w14:paraId="4B37292B" w14:textId="77777777" w:rsidR="00674104" w:rsidRDefault="00674104">
      <w:pPr>
        <w:pStyle w:val="Default"/>
        <w:spacing w:line="276" w:lineRule="auto"/>
        <w:jc w:val="center"/>
        <w:rPr>
          <w:rStyle w:val="Hyperlink"/>
          <w:b/>
          <w:sz w:val="20"/>
          <w:szCs w:val="20"/>
        </w:rPr>
      </w:pPr>
    </w:p>
    <w:p w14:paraId="1E332F90" w14:textId="77777777" w:rsidR="00674104" w:rsidRDefault="00915255">
      <w:pPr>
        <w:pStyle w:val="Default"/>
        <w:spacing w:line="276" w:lineRule="auto"/>
        <w:jc w:val="center"/>
        <w:rPr>
          <w:rStyle w:val="Hyperlink"/>
          <w:b/>
          <w:sz w:val="20"/>
          <w:szCs w:val="20"/>
        </w:rPr>
      </w:pPr>
      <w:hyperlink r:id="rId18" w:tooltip="http://www1.tce.pr.gov.br/conteudo/boletim-informativo-de-jurisprudencia/280400/area/249" w:history="1">
        <w:r w:rsidR="004215CB">
          <w:rPr>
            <w:rStyle w:val="Hyperlink"/>
            <w:b/>
            <w:sz w:val="20"/>
            <w:szCs w:val="20"/>
          </w:rPr>
          <w:t>Boletim Informativo de Jurisprudência</w:t>
        </w:r>
      </w:hyperlink>
    </w:p>
    <w:p w14:paraId="2CB47218" w14:textId="77777777" w:rsidR="00674104" w:rsidRDefault="00674104">
      <w:pPr>
        <w:pStyle w:val="Default"/>
        <w:spacing w:line="276" w:lineRule="auto"/>
        <w:jc w:val="center"/>
        <w:rPr>
          <w:rStyle w:val="Hyperlink"/>
          <w:b/>
          <w:sz w:val="20"/>
          <w:szCs w:val="20"/>
        </w:rPr>
      </w:pPr>
    </w:p>
    <w:p w14:paraId="2189C0D6" w14:textId="77777777" w:rsidR="00674104" w:rsidRDefault="00915255">
      <w:pPr>
        <w:pStyle w:val="Default"/>
        <w:spacing w:line="276" w:lineRule="auto"/>
        <w:jc w:val="center"/>
        <w:rPr>
          <w:sz w:val="20"/>
          <w:szCs w:val="20"/>
        </w:rPr>
      </w:pPr>
      <w:hyperlink r:id="rId19" w:tooltip="http://www1.tce.pr.gov.br/conteudo/boletim-de-jurisprudencia-internacional/316601/area/249" w:history="1">
        <w:r w:rsidR="004215CB">
          <w:rPr>
            <w:rStyle w:val="Hyperlink"/>
            <w:b/>
            <w:sz w:val="20"/>
            <w:szCs w:val="20"/>
          </w:rPr>
          <w:t>Interjuris</w:t>
        </w:r>
      </w:hyperlink>
    </w:p>
    <w:p w14:paraId="3CB79B79" w14:textId="77777777" w:rsidR="00674104" w:rsidRDefault="00674104">
      <w:pPr>
        <w:pStyle w:val="Default"/>
        <w:spacing w:line="276" w:lineRule="auto"/>
        <w:jc w:val="center"/>
        <w:rPr>
          <w:sz w:val="20"/>
          <w:szCs w:val="20"/>
        </w:rPr>
      </w:pPr>
    </w:p>
    <w:p w14:paraId="6AD4409B" w14:textId="77777777" w:rsidR="00674104" w:rsidRDefault="00915255">
      <w:pPr>
        <w:pStyle w:val="Default"/>
        <w:spacing w:line="276" w:lineRule="auto"/>
        <w:jc w:val="center"/>
        <w:rPr>
          <w:rStyle w:val="Hyperlink"/>
          <w:b/>
          <w:sz w:val="20"/>
          <w:szCs w:val="20"/>
        </w:rPr>
      </w:pPr>
      <w:hyperlink r:id="rId20" w:tooltip="http://www1.tce.pr.gov.br/conteudo/repercussao-geral-no-stf-e-os-tribunais-de-contas/307026/area/249" w:history="1">
        <w:r w:rsidR="004215CB">
          <w:rPr>
            <w:rStyle w:val="Hyperlink"/>
            <w:b/>
            <w:sz w:val="20"/>
            <w:szCs w:val="20"/>
          </w:rPr>
          <w:t>Repercussão Geral do Supremo Tribunal Federal - STF e os Tribunais de Contas</w:t>
        </w:r>
      </w:hyperlink>
    </w:p>
    <w:p w14:paraId="6BBF575E" w14:textId="77777777" w:rsidR="00674104" w:rsidRDefault="00674104">
      <w:pPr>
        <w:pStyle w:val="Default"/>
        <w:spacing w:line="276" w:lineRule="auto"/>
        <w:jc w:val="center"/>
        <w:rPr>
          <w:rStyle w:val="Hyperlink"/>
          <w:b/>
          <w:sz w:val="20"/>
          <w:szCs w:val="20"/>
        </w:rPr>
      </w:pPr>
    </w:p>
    <w:p w14:paraId="2687A211" w14:textId="77777777" w:rsidR="00674104" w:rsidRDefault="00915255">
      <w:pPr>
        <w:pStyle w:val="Default"/>
        <w:spacing w:line="276" w:lineRule="auto"/>
        <w:jc w:val="center"/>
        <w:rPr>
          <w:rStyle w:val="Hyperlink"/>
          <w:b/>
          <w:sz w:val="20"/>
          <w:szCs w:val="20"/>
        </w:rPr>
      </w:pPr>
      <w:hyperlink r:id="rId21" w:tooltip="http://www1.tce.pr.gov.br/conteudo/sumulas-selecionadas/316602/area/249" w:history="1">
        <w:r w:rsidR="004215CB">
          <w:rPr>
            <w:rStyle w:val="Hyperlink"/>
            <w:b/>
            <w:sz w:val="20"/>
            <w:szCs w:val="20"/>
          </w:rPr>
          <w:t>Súmulas Selecionadas</w:t>
        </w:r>
      </w:hyperlink>
    </w:p>
    <w:p w14:paraId="3C6135D3" w14:textId="77F11C5E" w:rsidR="00674104" w:rsidRDefault="00AD46A8">
      <w:pPr>
        <w:pStyle w:val="TCU-Epgrafe"/>
        <w:spacing w:line="276" w:lineRule="auto"/>
        <w:ind w:left="0"/>
        <w:rPr>
          <w:rFonts w:ascii="Arial" w:hAnsi="Arial" w:cs="Arial"/>
          <w:sz w:val="20"/>
        </w:rPr>
      </w:pPr>
      <w:r>
        <w:rPr>
          <w:noProof/>
        </w:rPr>
        <mc:AlternateContent>
          <mc:Choice Requires="wps">
            <w:drawing>
              <wp:anchor distT="4294967294" distB="4294967294" distL="114300" distR="114300" simplePos="0" relativeHeight="251664896" behindDoc="0" locked="0" layoutInCell="1" allowOverlap="1" wp14:anchorId="47CDA93D" wp14:editId="4652F796">
                <wp:simplePos x="0" y="0"/>
                <wp:positionH relativeFrom="margin">
                  <wp:posOffset>-18415</wp:posOffset>
                </wp:positionH>
                <wp:positionV relativeFrom="paragraph">
                  <wp:posOffset>117474</wp:posOffset>
                </wp:positionV>
                <wp:extent cx="5518150" cy="0"/>
                <wp:effectExtent l="0" t="0" r="6350" b="38100"/>
                <wp:wrapNone/>
                <wp:docPr id="23545603"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51815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7B4C002A" id="Conector reto 1" o:spid="_x0000_s1026" style="position:absolute;z-index:251664896;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margin;mso-height-relative:margin" from="-1.45pt,9.25pt" to="433.0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" strokecolor="black [3200]" strokeweight="2pt">
                <v:shadow on="t" color="black" opacity="24903f" origin=",.5" offset="0,.55556mm"/>
                <o:lock v:ext="edit" shapetype="f"/>
                <w10:wrap anchorx="margin"/>
              </v:line>
            </w:pict>
          </mc:Fallback>
        </mc:AlternateContent>
      </w:r>
    </w:p>
    <w:p w14:paraId="785ABCB6" w14:textId="77777777" w:rsidR="00674104" w:rsidRDefault="00674104">
      <w:pPr>
        <w:jc w:val="center"/>
        <w:rPr>
          <w:rStyle w:val="Hyperlink"/>
          <w:rFonts w:ascii="Arial" w:hAnsi="Arial" w:cs="Arial"/>
          <w:i/>
          <w:color w:val="000000"/>
          <w:sz w:val="20"/>
          <w:szCs w:val="20"/>
          <w:u w:val="none"/>
        </w:rPr>
      </w:pPr>
    </w:p>
    <w:p w14:paraId="4C0682E2" w14:textId="77777777" w:rsidR="00674104" w:rsidRDefault="004215CB">
      <w:pPr>
        <w:jc w:val="center"/>
        <w:rPr>
          <w:rFonts w:ascii="Arial" w:hAnsi="Arial" w:cs="Arial"/>
          <w:b/>
          <w:sz w:val="20"/>
          <w:szCs w:val="20"/>
        </w:rPr>
      </w:pPr>
      <w:r>
        <w:rPr>
          <w:rStyle w:val="Hyperlink"/>
          <w:rFonts w:ascii="Arial" w:hAnsi="Arial" w:cs="Arial"/>
          <w:i/>
          <w:color w:val="000000" w:themeColor="text1"/>
          <w:sz w:val="20"/>
          <w:szCs w:val="20"/>
          <w:u w:val="none"/>
        </w:rPr>
        <w:t>Elaboração: Escola de Gestão Pública - Jurisprudência</w:t>
      </w:r>
    </w:p>
    <w:sectPr w:rsidR="00674104">
      <w:headerReference w:type="default" r:id="rId22"/>
      <w:footerReference w:type="default" r:id="rId2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5DE602" w14:textId="77777777" w:rsidR="00EC3339" w:rsidRDefault="00EC3339">
      <w:r>
        <w:separator/>
      </w:r>
    </w:p>
  </w:endnote>
  <w:endnote w:type="continuationSeparator" w:id="0">
    <w:p w14:paraId="0D2EA3AD" w14:textId="77777777" w:rsidR="00EC3339" w:rsidRDefault="00EC3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F0A62" w14:textId="77777777" w:rsidR="00674104" w:rsidRDefault="004215CB">
    <w:pPr>
      <w:pStyle w:val="Rodap"/>
      <w:jc w:val="center"/>
      <w:rPr>
        <w:sz w:val="16"/>
        <w:szCs w:val="16"/>
      </w:rPr>
    </w:pPr>
    <w:r>
      <w:rPr>
        <w:noProof/>
        <w:lang w:eastAsia="pt-BR"/>
      </w:rPr>
      <w:drawing>
        <wp:inline distT="0" distB="0" distL="0" distR="0" wp14:anchorId="71DFA960" wp14:editId="2C71AA55">
          <wp:extent cx="463138" cy="231569"/>
          <wp:effectExtent l="0" t="0" r="0" b="0"/>
          <wp:docPr id="3" name="Imagem 54"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sultado de imagem para EGP TCE"/>
                  <pic:cNvPicPr>
                    <a:picLocks noChangeAspect="1"/>
                  </pic:cNvPicPr>
                </pic:nvPicPr>
                <pic:blipFill>
                  <a:blip r:embed="rId1"/>
                  <a:stretch/>
                </pic:blipFill>
                <pic:spPr bwMode="auto">
                  <a:xfrm>
                    <a:off x="0" y="0"/>
                    <a:ext cx="467873" cy="233936"/>
                  </a:xfrm>
                  <a:prstGeom prst="rect">
                    <a:avLst/>
                  </a:prstGeom>
                  <a:noFill/>
                  <a:ln>
                    <a:noFill/>
                  </a:ln>
                </pic:spPr>
              </pic:pic>
            </a:graphicData>
          </a:graphic>
        </wp:inline>
      </w:drawing>
    </w:r>
  </w:p>
  <w:p w14:paraId="60DE2CA3" w14:textId="77777777" w:rsidR="00674104" w:rsidRDefault="004215CB">
    <w:pPr>
      <w:pStyle w:val="Rodap"/>
      <w:jc w:val="center"/>
      <w:rPr>
        <w:sz w:val="16"/>
        <w:szCs w:val="16"/>
      </w:rPr>
    </w:pPr>
    <w:r>
      <w:rPr>
        <w:sz w:val="16"/>
        <w:szCs w:val="16"/>
      </w:rPr>
      <w:fldChar w:fldCharType="begin"/>
    </w:r>
    <w:r>
      <w:rPr>
        <w:sz w:val="16"/>
        <w:szCs w:val="16"/>
      </w:rPr>
      <w:instrText xml:space="preserve"> PAGE   \* MERGEFORMAT </w:instrText>
    </w:r>
    <w:r>
      <w:rPr>
        <w:sz w:val="16"/>
        <w:szCs w:val="16"/>
      </w:rPr>
      <w:fldChar w:fldCharType="separate"/>
    </w:r>
    <w:r>
      <w:rPr>
        <w:sz w:val="16"/>
        <w:szCs w:val="16"/>
      </w:rPr>
      <w:t>2</w:t>
    </w:r>
    <w:r>
      <w:rPr>
        <w:sz w:val="16"/>
        <w:szCs w:val="16"/>
      </w:rPr>
      <w:fldChar w:fldCharType="end"/>
    </w:r>
  </w:p>
  <w:p w14:paraId="46635DA7" w14:textId="77777777" w:rsidR="00674104" w:rsidRDefault="00674104"/>
  <w:p w14:paraId="6D0CB3D8" w14:textId="77777777" w:rsidR="00674104" w:rsidRDefault="00674104"/>
  <w:p w14:paraId="1B5C600E" w14:textId="77777777" w:rsidR="00674104" w:rsidRDefault="0067410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B24A7F" w14:textId="77777777" w:rsidR="00EC3339" w:rsidRDefault="00EC3339">
      <w:r>
        <w:separator/>
      </w:r>
    </w:p>
  </w:footnote>
  <w:footnote w:type="continuationSeparator" w:id="0">
    <w:p w14:paraId="51ED46EB" w14:textId="77777777" w:rsidR="00EC3339" w:rsidRDefault="00EC33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7DEA91" w14:textId="77777777" w:rsidR="00674104" w:rsidRDefault="00674104">
    <w:pPr>
      <w:pStyle w:val="Cabealho"/>
      <w:spacing w:after="100" w:afterAutospacing="1"/>
      <w:jc w:val="center"/>
      <w:rPr>
        <w:b/>
      </w:rPr>
    </w:pPr>
  </w:p>
  <w:p w14:paraId="139CA86D" w14:textId="77777777" w:rsidR="00674104" w:rsidRDefault="004215CB">
    <w:pPr>
      <w:pStyle w:val="Cabealho"/>
      <w:spacing w:after="100" w:afterAutospacing="1"/>
      <w:jc w:val="center"/>
      <w:rPr>
        <w:b/>
      </w:rPr>
    </w:pPr>
    <w:r>
      <w:rPr>
        <w:noProof/>
        <w:lang w:eastAsia="pt-BR"/>
      </w:rPr>
      <w:drawing>
        <wp:inline distT="0" distB="0" distL="0" distR="0" wp14:anchorId="73D218C0" wp14:editId="5E0C6B85">
          <wp:extent cx="4073236" cy="872837"/>
          <wp:effectExtent l="0" t="0" r="3810" b="3810"/>
          <wp:docPr id="1" name="Imagem 52"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ultado de imagem para EGP TCE"/>
                  <pic:cNvPicPr>
                    <a:picLocks noChangeAspect="1"/>
                  </pic:cNvPicPr>
                </pic:nvPicPr>
                <pic:blipFill>
                  <a:blip r:embed="rId1"/>
                  <a:stretch/>
                </pic:blipFill>
                <pic:spPr bwMode="auto">
                  <a:xfrm>
                    <a:off x="0" y="0"/>
                    <a:ext cx="4071668" cy="872501"/>
                  </a:xfrm>
                  <a:prstGeom prst="rect">
                    <a:avLst/>
                  </a:prstGeom>
                  <a:noFill/>
                  <a:ln>
                    <a:noFill/>
                  </a:ln>
                </pic:spPr>
              </pic:pic>
            </a:graphicData>
          </a:graphic>
        </wp:inline>
      </w:drawing>
    </w:r>
    <w:r>
      <w:rPr>
        <w:noProof/>
        <w:lang w:eastAsia="pt-BR"/>
      </w:rPr>
      <w:drawing>
        <wp:inline distT="0" distB="0" distL="0" distR="0" wp14:anchorId="1D85AB34" wp14:editId="2C05B439">
          <wp:extent cx="1245870" cy="779780"/>
          <wp:effectExtent l="0" t="0" r="0" b="1270"/>
          <wp:docPr id="2" name="Imagem 2" descr="C:\Users\tc518280\AppData\Local\Microsoft\Windows\INetCache\Content.Word\Logo-Teses-Ambientais_2.png"/>
          <wp:cNvGraphicFramePr/>
          <a:graphic xmlns:a="http://schemas.openxmlformats.org/drawingml/2006/main">
            <a:graphicData uri="http://schemas.openxmlformats.org/drawingml/2006/picture">
              <pic:pic xmlns:pic="http://schemas.openxmlformats.org/drawingml/2006/picture">
                <pic:nvPicPr>
                  <pic:cNvPr id="2" name="Imagem 2" descr="C:\Users\tc518280\AppData\Local\Microsoft\Windows\INetCache\Content.Word\Logo-Teses-Ambientais_2.png"/>
                  <pic:cNvPicPr/>
                </pic:nvPicPr>
                <pic:blipFill>
                  <a:blip r:embed="rId2"/>
                  <a:stretch/>
                </pic:blipFill>
                <pic:spPr bwMode="auto">
                  <a:xfrm>
                    <a:off x="0" y="0"/>
                    <a:ext cx="1245870" cy="7797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4"/>
    <w:multiLevelType w:val="hybridMultilevel"/>
    <w:tmpl w:val="FFFFFFFF"/>
    <w:lvl w:ilvl="0" w:tplc="0000012D">
      <w:start w:val="1"/>
      <w:numFmt w:val="low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166626897">
    <w:abstractNumId w:val="0"/>
  </w:num>
  <w:num w:numId="2" w16cid:durableId="1121461964">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104"/>
    <w:rsid w:val="00003BD8"/>
    <w:rsid w:val="0001566B"/>
    <w:rsid w:val="00040AC2"/>
    <w:rsid w:val="00077C0D"/>
    <w:rsid w:val="00092C9B"/>
    <w:rsid w:val="00096DEB"/>
    <w:rsid w:val="000A0C9E"/>
    <w:rsid w:val="000B5C32"/>
    <w:rsid w:val="000C54AC"/>
    <w:rsid w:val="000D5E35"/>
    <w:rsid w:val="000E5E23"/>
    <w:rsid w:val="00123291"/>
    <w:rsid w:val="00125D69"/>
    <w:rsid w:val="001331C5"/>
    <w:rsid w:val="0015344D"/>
    <w:rsid w:val="00183A15"/>
    <w:rsid w:val="001D4B88"/>
    <w:rsid w:val="001F0576"/>
    <w:rsid w:val="002037CC"/>
    <w:rsid w:val="00227797"/>
    <w:rsid w:val="00233F67"/>
    <w:rsid w:val="00235406"/>
    <w:rsid w:val="00255FC7"/>
    <w:rsid w:val="00265060"/>
    <w:rsid w:val="0027764F"/>
    <w:rsid w:val="002A20EF"/>
    <w:rsid w:val="00324281"/>
    <w:rsid w:val="0032515A"/>
    <w:rsid w:val="0032790A"/>
    <w:rsid w:val="0033733A"/>
    <w:rsid w:val="00345C46"/>
    <w:rsid w:val="00351F4B"/>
    <w:rsid w:val="003C2C91"/>
    <w:rsid w:val="003D1479"/>
    <w:rsid w:val="003F38C2"/>
    <w:rsid w:val="004215CB"/>
    <w:rsid w:val="004330D2"/>
    <w:rsid w:val="00433196"/>
    <w:rsid w:val="00440398"/>
    <w:rsid w:val="00442B1F"/>
    <w:rsid w:val="00446DB9"/>
    <w:rsid w:val="00460848"/>
    <w:rsid w:val="0047425F"/>
    <w:rsid w:val="0048296C"/>
    <w:rsid w:val="004B01E8"/>
    <w:rsid w:val="004B4A4A"/>
    <w:rsid w:val="004C588B"/>
    <w:rsid w:val="004E74A0"/>
    <w:rsid w:val="004F08EC"/>
    <w:rsid w:val="005201DA"/>
    <w:rsid w:val="00537FB2"/>
    <w:rsid w:val="005D1FEC"/>
    <w:rsid w:val="005D25A0"/>
    <w:rsid w:val="005D485C"/>
    <w:rsid w:val="005D558B"/>
    <w:rsid w:val="006019E7"/>
    <w:rsid w:val="00617F68"/>
    <w:rsid w:val="00620DCD"/>
    <w:rsid w:val="00623BF7"/>
    <w:rsid w:val="00665502"/>
    <w:rsid w:val="0067269E"/>
    <w:rsid w:val="00674104"/>
    <w:rsid w:val="006813C5"/>
    <w:rsid w:val="006875A4"/>
    <w:rsid w:val="00694B26"/>
    <w:rsid w:val="006A03EE"/>
    <w:rsid w:val="006D38C9"/>
    <w:rsid w:val="006F25DF"/>
    <w:rsid w:val="006F6B87"/>
    <w:rsid w:val="00732D1C"/>
    <w:rsid w:val="00733AAC"/>
    <w:rsid w:val="0073715D"/>
    <w:rsid w:val="00755B00"/>
    <w:rsid w:val="00796A06"/>
    <w:rsid w:val="007A5AED"/>
    <w:rsid w:val="007B66F3"/>
    <w:rsid w:val="007D3AEB"/>
    <w:rsid w:val="007F13A7"/>
    <w:rsid w:val="007F6796"/>
    <w:rsid w:val="008569F6"/>
    <w:rsid w:val="0087141F"/>
    <w:rsid w:val="008734D3"/>
    <w:rsid w:val="008963EF"/>
    <w:rsid w:val="00897D46"/>
    <w:rsid w:val="008A36CA"/>
    <w:rsid w:val="008C294D"/>
    <w:rsid w:val="008C59C1"/>
    <w:rsid w:val="009142DC"/>
    <w:rsid w:val="00915255"/>
    <w:rsid w:val="009204AA"/>
    <w:rsid w:val="00924155"/>
    <w:rsid w:val="00935C7B"/>
    <w:rsid w:val="00937D53"/>
    <w:rsid w:val="009763CE"/>
    <w:rsid w:val="00982AB9"/>
    <w:rsid w:val="00993DD5"/>
    <w:rsid w:val="009A2890"/>
    <w:rsid w:val="009E6D0F"/>
    <w:rsid w:val="009E786A"/>
    <w:rsid w:val="009F144D"/>
    <w:rsid w:val="00A24390"/>
    <w:rsid w:val="00A50ED8"/>
    <w:rsid w:val="00A93B0F"/>
    <w:rsid w:val="00AA1554"/>
    <w:rsid w:val="00AB565C"/>
    <w:rsid w:val="00AB7ACA"/>
    <w:rsid w:val="00AC054B"/>
    <w:rsid w:val="00AD46A8"/>
    <w:rsid w:val="00AE2832"/>
    <w:rsid w:val="00B041C0"/>
    <w:rsid w:val="00B146F5"/>
    <w:rsid w:val="00B35D89"/>
    <w:rsid w:val="00B43592"/>
    <w:rsid w:val="00B726C4"/>
    <w:rsid w:val="00B87D0C"/>
    <w:rsid w:val="00BA656E"/>
    <w:rsid w:val="00BC7A8E"/>
    <w:rsid w:val="00C1179E"/>
    <w:rsid w:val="00C53AA5"/>
    <w:rsid w:val="00C668B4"/>
    <w:rsid w:val="00C756A7"/>
    <w:rsid w:val="00C808FE"/>
    <w:rsid w:val="00C829CF"/>
    <w:rsid w:val="00CC1302"/>
    <w:rsid w:val="00D04667"/>
    <w:rsid w:val="00D07359"/>
    <w:rsid w:val="00D178C5"/>
    <w:rsid w:val="00D2185E"/>
    <w:rsid w:val="00D36E9D"/>
    <w:rsid w:val="00D601EE"/>
    <w:rsid w:val="00D607C2"/>
    <w:rsid w:val="00D62C31"/>
    <w:rsid w:val="00D96370"/>
    <w:rsid w:val="00DF45F5"/>
    <w:rsid w:val="00DF57CD"/>
    <w:rsid w:val="00DF69BF"/>
    <w:rsid w:val="00E26437"/>
    <w:rsid w:val="00E67994"/>
    <w:rsid w:val="00E87B46"/>
    <w:rsid w:val="00EA4601"/>
    <w:rsid w:val="00EB3D00"/>
    <w:rsid w:val="00EB7B78"/>
    <w:rsid w:val="00EC1747"/>
    <w:rsid w:val="00EC2C5C"/>
    <w:rsid w:val="00EC3339"/>
    <w:rsid w:val="00EE1B3B"/>
    <w:rsid w:val="00EF4E7E"/>
    <w:rsid w:val="00F00910"/>
    <w:rsid w:val="00F1578C"/>
    <w:rsid w:val="00F17473"/>
    <w:rsid w:val="00F26447"/>
    <w:rsid w:val="00F332E4"/>
    <w:rsid w:val="00F36F7E"/>
    <w:rsid w:val="00F97FA1"/>
    <w:rsid w:val="00FC2184"/>
    <w:rsid w:val="00FD4CDF"/>
    <w:rsid w:val="00FE50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0F1B9"/>
  <w15:docId w15:val="{00278EA9-17D5-4FA7-B9D3-65833687A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D69"/>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link w:val="Ttulo1Char"/>
    <w:uiPriority w:val="1"/>
    <w:qFormat/>
    <w:rsid w:val="004B01E8"/>
    <w:pPr>
      <w:widowControl w:val="0"/>
      <w:ind w:right="3120"/>
      <w:jc w:val="both"/>
      <w:outlineLvl w:val="0"/>
    </w:pPr>
    <w:rPr>
      <w:rFonts w:ascii="Arial" w:eastAsia="Calibri" w:hAnsi="Arial" w:cs="Calibri"/>
      <w:b/>
      <w:bCs/>
      <w:color w:val="000000" w:themeColor="text1"/>
      <w:sz w:val="20"/>
      <w:szCs w:val="40"/>
      <w:lang w:val="en-US" w:eastAsia="en-US"/>
    </w:rPr>
  </w:style>
  <w:style w:type="paragraph" w:styleId="Ttulo2">
    <w:name w:val="heading 2"/>
    <w:basedOn w:val="Normal"/>
    <w:link w:val="Ttulo2Char"/>
    <w:uiPriority w:val="1"/>
    <w:qFormat/>
    <w:pPr>
      <w:widowControl w:val="0"/>
      <w:spacing w:before="1"/>
      <w:ind w:left="1824" w:right="322"/>
      <w:outlineLvl w:val="1"/>
    </w:pPr>
    <w:rPr>
      <w:rFonts w:ascii="Calibri" w:eastAsia="Calibri" w:hAnsi="Calibri" w:cs="Calibri"/>
      <w:b/>
      <w:bCs/>
      <w:sz w:val="32"/>
      <w:szCs w:val="32"/>
      <w:lang w:val="en-US" w:eastAsia="en-US"/>
    </w:rPr>
  </w:style>
  <w:style w:type="paragraph" w:styleId="Ttulo3">
    <w:name w:val="heading 3"/>
    <w:basedOn w:val="Normal"/>
    <w:next w:val="Normal"/>
    <w:link w:val="Ttulo3Char"/>
    <w:uiPriority w:val="9"/>
    <w:semiHidden/>
    <w:unhideWhenUsed/>
    <w:qFormat/>
    <w:pPr>
      <w:keepNext/>
      <w:keepLines/>
      <w:spacing w:before="40" w:line="276"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uiPriority w:val="9"/>
    <w:semiHidden/>
    <w:unhideWhenUsed/>
    <w:qFormat/>
    <w:pPr>
      <w:keepNext/>
      <w:keepLines/>
      <w:spacing w:before="40" w:line="276" w:lineRule="auto"/>
      <w:outlineLvl w:val="3"/>
    </w:pPr>
    <w:rPr>
      <w:rFonts w:asciiTheme="majorHAnsi" w:eastAsiaTheme="majorEastAsia" w:hAnsiTheme="majorHAnsi" w:cstheme="majorBidi"/>
      <w:i/>
      <w:iCs/>
      <w:color w:val="365F91" w:themeColor="accent1" w:themeShade="BF"/>
      <w:sz w:val="22"/>
      <w:szCs w:val="22"/>
      <w:lang w:eastAsia="en-US"/>
    </w:rPr>
  </w:style>
  <w:style w:type="paragraph" w:styleId="Ttulo5">
    <w:name w:val="heading 5"/>
    <w:basedOn w:val="Normal"/>
    <w:next w:val="Normal"/>
    <w:link w:val="Ttulo5Char"/>
    <w:uiPriority w:val="9"/>
    <w:unhideWhenUsed/>
    <w:qFormat/>
    <w:pPr>
      <w:keepNext/>
      <w:keepLines/>
      <w:spacing w:before="320" w:after="200"/>
      <w:outlineLvl w:val="4"/>
    </w:pPr>
    <w:rPr>
      <w:rFonts w:ascii="Arial" w:eastAsia="Arial" w:hAnsi="Arial" w:cs="Arial"/>
      <w:b/>
      <w:bCs/>
    </w:rPr>
  </w:style>
  <w:style w:type="paragraph" w:styleId="Ttulo6">
    <w:name w:val="heading 6"/>
    <w:basedOn w:val="Normal"/>
    <w:next w:val="Normal"/>
    <w:link w:val="Ttulo6Char"/>
    <w:uiPriority w:val="9"/>
    <w:unhideWhenUsed/>
    <w:qFormat/>
    <w:pPr>
      <w:keepNext/>
      <w:keepLines/>
      <w:spacing w:before="320" w:after="200"/>
      <w:outlineLvl w:val="5"/>
    </w:pPr>
    <w:rPr>
      <w:rFonts w:ascii="Arial" w:eastAsia="Arial" w:hAnsi="Arial" w:cs="Arial"/>
      <w:b/>
      <w:bCs/>
      <w:sz w:val="22"/>
      <w:szCs w:val="22"/>
    </w:rPr>
  </w:style>
  <w:style w:type="paragraph" w:styleId="Ttulo7">
    <w:name w:val="heading 7"/>
    <w:basedOn w:val="Normal"/>
    <w:next w:val="Normal"/>
    <w:link w:val="Ttulo7Char"/>
    <w:uiPriority w:val="9"/>
    <w:unhideWhenUsed/>
    <w:qFormat/>
    <w:pPr>
      <w:keepNext/>
      <w:keepLines/>
      <w:spacing w:before="320" w:after="200"/>
      <w:outlineLvl w:val="6"/>
    </w:pPr>
    <w:rPr>
      <w:rFonts w:ascii="Arial" w:eastAsia="Arial" w:hAnsi="Arial" w:cs="Arial"/>
      <w:b/>
      <w:bCs/>
      <w:i/>
      <w:iCs/>
      <w:sz w:val="22"/>
      <w:szCs w:val="22"/>
    </w:rPr>
  </w:style>
  <w:style w:type="paragraph" w:styleId="Ttulo8">
    <w:name w:val="heading 8"/>
    <w:basedOn w:val="Normal"/>
    <w:next w:val="Normal"/>
    <w:link w:val="Ttulo8Char"/>
    <w:uiPriority w:val="9"/>
    <w:unhideWhenUsed/>
    <w:qFormat/>
    <w:pPr>
      <w:keepNext/>
      <w:keepLines/>
      <w:spacing w:before="320" w:after="200"/>
      <w:outlineLvl w:val="7"/>
    </w:pPr>
    <w:rPr>
      <w:rFonts w:ascii="Arial" w:eastAsia="Arial" w:hAnsi="Arial" w:cs="Arial"/>
      <w:i/>
      <w:iCs/>
      <w:sz w:val="22"/>
      <w:szCs w:val="22"/>
    </w:rPr>
  </w:style>
  <w:style w:type="paragraph" w:styleId="Ttulo9">
    <w:name w:val="heading 9"/>
    <w:basedOn w:val="Normal"/>
    <w:next w:val="Normal"/>
    <w:link w:val="Ttulo9Char"/>
    <w:uiPriority w:val="9"/>
    <w:unhideWhenUsed/>
    <w:qFormat/>
    <w:pPr>
      <w:keepNext/>
      <w:keepLines/>
      <w:spacing w:before="320" w:after="200"/>
      <w:outlineLvl w:val="8"/>
    </w:pPr>
    <w:rPr>
      <w:rFonts w:ascii="Arial" w:eastAsia="Arial" w:hAnsi="Arial" w:cs="Arial"/>
      <w:i/>
      <w:iCs/>
      <w:sz w:val="21"/>
      <w:szCs w:val="21"/>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Heading1Char">
    <w:name w:val="Heading 1 Char"/>
    <w:basedOn w:val="Fontepargpadro"/>
    <w:uiPriority w:val="9"/>
    <w:rPr>
      <w:rFonts w:ascii="Arial" w:eastAsia="Arial" w:hAnsi="Arial" w:cs="Arial"/>
      <w:sz w:val="40"/>
      <w:szCs w:val="40"/>
    </w:rPr>
  </w:style>
  <w:style w:type="character" w:customStyle="1" w:styleId="Heading2Char">
    <w:name w:val="Heading 2 Char"/>
    <w:basedOn w:val="Fontepargpadro"/>
    <w:uiPriority w:val="9"/>
    <w:rPr>
      <w:rFonts w:ascii="Arial" w:eastAsia="Arial" w:hAnsi="Arial" w:cs="Arial"/>
      <w:sz w:val="34"/>
    </w:rPr>
  </w:style>
  <w:style w:type="character" w:customStyle="1" w:styleId="Heading3Char">
    <w:name w:val="Heading 3 Char"/>
    <w:basedOn w:val="Fontepargpadro"/>
    <w:uiPriority w:val="9"/>
    <w:rPr>
      <w:rFonts w:ascii="Arial" w:eastAsia="Arial" w:hAnsi="Arial" w:cs="Arial"/>
      <w:sz w:val="30"/>
      <w:szCs w:val="30"/>
    </w:rPr>
  </w:style>
  <w:style w:type="character" w:customStyle="1" w:styleId="Heading4Char">
    <w:name w:val="Heading 4 Char"/>
    <w:basedOn w:val="Fontepargpadro"/>
    <w:uiPriority w:val="9"/>
    <w:rPr>
      <w:rFonts w:ascii="Arial" w:eastAsia="Arial" w:hAnsi="Arial" w:cs="Arial"/>
      <w:b/>
      <w:bCs/>
      <w:sz w:val="26"/>
      <w:szCs w:val="26"/>
    </w:rPr>
  </w:style>
  <w:style w:type="character" w:customStyle="1" w:styleId="Ttulo5Char">
    <w:name w:val="Título 5 Char"/>
    <w:basedOn w:val="Fontepargpadro"/>
    <w:link w:val="Ttulo5"/>
    <w:uiPriority w:val="9"/>
    <w:rPr>
      <w:rFonts w:ascii="Arial" w:eastAsia="Arial" w:hAnsi="Arial" w:cs="Arial"/>
      <w:b/>
      <w:bCs/>
      <w:sz w:val="24"/>
      <w:szCs w:val="24"/>
    </w:rPr>
  </w:style>
  <w:style w:type="character" w:customStyle="1" w:styleId="Ttulo6Char">
    <w:name w:val="Título 6 Char"/>
    <w:basedOn w:val="Fontepargpadro"/>
    <w:link w:val="Ttulo6"/>
    <w:uiPriority w:val="9"/>
    <w:rPr>
      <w:rFonts w:ascii="Arial" w:eastAsia="Arial" w:hAnsi="Arial" w:cs="Arial"/>
      <w:b/>
      <w:bCs/>
      <w:sz w:val="22"/>
      <w:szCs w:val="22"/>
    </w:rPr>
  </w:style>
  <w:style w:type="character" w:customStyle="1" w:styleId="Ttulo7Char">
    <w:name w:val="Título 7 Char"/>
    <w:basedOn w:val="Fontepargpadro"/>
    <w:link w:val="Ttulo7"/>
    <w:uiPriority w:val="9"/>
    <w:rPr>
      <w:rFonts w:ascii="Arial" w:eastAsia="Arial" w:hAnsi="Arial" w:cs="Arial"/>
      <w:b/>
      <w:bCs/>
      <w:i/>
      <w:iCs/>
      <w:sz w:val="22"/>
      <w:szCs w:val="22"/>
    </w:rPr>
  </w:style>
  <w:style w:type="character" w:customStyle="1" w:styleId="Ttulo8Char">
    <w:name w:val="Título 8 Char"/>
    <w:basedOn w:val="Fontepargpadro"/>
    <w:link w:val="Ttulo8"/>
    <w:uiPriority w:val="9"/>
    <w:rPr>
      <w:rFonts w:ascii="Arial" w:eastAsia="Arial" w:hAnsi="Arial" w:cs="Arial"/>
      <w:i/>
      <w:iCs/>
      <w:sz w:val="22"/>
      <w:szCs w:val="22"/>
    </w:rPr>
  </w:style>
  <w:style w:type="character" w:customStyle="1" w:styleId="Ttulo9Char">
    <w:name w:val="Título 9 Char"/>
    <w:basedOn w:val="Fontepargpadro"/>
    <w:link w:val="Ttulo9"/>
    <w:uiPriority w:val="9"/>
    <w:rPr>
      <w:rFonts w:ascii="Arial" w:eastAsia="Arial" w:hAnsi="Arial" w:cs="Arial"/>
      <w:i/>
      <w:iCs/>
      <w:sz w:val="21"/>
      <w:szCs w:val="21"/>
    </w:rPr>
  </w:style>
  <w:style w:type="paragraph" w:styleId="SemEspaamento">
    <w:name w:val="No Spacing"/>
    <w:uiPriority w:val="1"/>
    <w:qFormat/>
    <w:pPr>
      <w:spacing w:after="0" w:line="240" w:lineRule="auto"/>
    </w:pPr>
  </w:style>
  <w:style w:type="paragraph" w:styleId="Ttulo">
    <w:name w:val="Title"/>
    <w:basedOn w:val="Normal"/>
    <w:next w:val="Normal"/>
    <w:link w:val="TtuloChar"/>
    <w:uiPriority w:val="10"/>
    <w:qFormat/>
    <w:pPr>
      <w:spacing w:before="300" w:after="200"/>
      <w:contextualSpacing/>
    </w:pPr>
    <w:rPr>
      <w:sz w:val="48"/>
      <w:szCs w:val="48"/>
    </w:rPr>
  </w:style>
  <w:style w:type="character" w:customStyle="1" w:styleId="TtuloChar">
    <w:name w:val="Título Char"/>
    <w:basedOn w:val="Fontepargpadro"/>
    <w:link w:val="Ttulo"/>
    <w:uiPriority w:val="10"/>
    <w:rPr>
      <w:sz w:val="48"/>
      <w:szCs w:val="48"/>
    </w:rPr>
  </w:style>
  <w:style w:type="paragraph" w:styleId="Subttulo">
    <w:name w:val="Subtitle"/>
    <w:basedOn w:val="Normal"/>
    <w:next w:val="Normal"/>
    <w:link w:val="SubttuloChar"/>
    <w:uiPriority w:val="11"/>
    <w:qFormat/>
    <w:pPr>
      <w:spacing w:before="200" w:after="200"/>
    </w:pPr>
  </w:style>
  <w:style w:type="character" w:customStyle="1" w:styleId="SubttuloChar">
    <w:name w:val="Subtítulo Char"/>
    <w:basedOn w:val="Fontepargpadro"/>
    <w:link w:val="Subttulo"/>
    <w:uiPriority w:val="11"/>
    <w:rPr>
      <w:sz w:val="24"/>
      <w:szCs w:val="24"/>
    </w:rPr>
  </w:style>
  <w:style w:type="paragraph" w:styleId="Citao">
    <w:name w:val="Quote"/>
    <w:basedOn w:val="Normal"/>
    <w:next w:val="Normal"/>
    <w:link w:val="CitaoChar"/>
    <w:uiPriority w:val="29"/>
    <w:qFormat/>
    <w:pPr>
      <w:ind w:left="720" w:right="720"/>
    </w:pPr>
    <w:rPr>
      <w:i/>
    </w:rPr>
  </w:style>
  <w:style w:type="character" w:customStyle="1" w:styleId="CitaoChar">
    <w:name w:val="Citação Char"/>
    <w:link w:val="Citao"/>
    <w:uiPriority w:val="29"/>
    <w:rPr>
      <w:i/>
    </w:rPr>
  </w:style>
  <w:style w:type="paragraph" w:styleId="CitaoIntensa">
    <w:name w:val="Intense Quote"/>
    <w:basedOn w:val="Normal"/>
    <w:next w:val="Normal"/>
    <w:link w:val="CitaoIntensa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oIntensaChar">
    <w:name w:val="Citação Intensa Char"/>
    <w:link w:val="CitaoIntensa"/>
    <w:uiPriority w:val="30"/>
    <w:rPr>
      <w:i/>
    </w:rPr>
  </w:style>
  <w:style w:type="character" w:customStyle="1" w:styleId="HeaderChar">
    <w:name w:val="Header Char"/>
    <w:basedOn w:val="Fontepargpadro"/>
    <w:uiPriority w:val="99"/>
  </w:style>
  <w:style w:type="character" w:customStyle="1" w:styleId="FooterChar">
    <w:name w:val="Footer Char"/>
    <w:basedOn w:val="Fontepargpadro"/>
    <w:uiPriority w:val="99"/>
  </w:style>
  <w:style w:type="paragraph" w:styleId="Legenda">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Tabela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SimplesTabela1">
    <w:name w:val="Plain Table 1"/>
    <w:basedOn w:val="Tabela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SimplesTabela2">
    <w:name w:val="Plain Table 2"/>
    <w:basedOn w:val="Tabela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SimplesTabela3">
    <w:name w:val="Plain Table 3"/>
    <w:basedOn w:val="Tabela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Simples4">
    <w:name w:val="Plain Table 4"/>
    <w:basedOn w:val="Tabela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Simples5">
    <w:name w:val="Plain Table 5"/>
    <w:basedOn w:val="Tabela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deGrade1Clara">
    <w:name w:val="Grid Table 1 Light"/>
    <w:basedOn w:val="Tabela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a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ela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ela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ela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ela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ela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eladeGrade2">
    <w:name w:val="Grid Table 2"/>
    <w:basedOn w:val="Tabela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a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Tabela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Tabela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Tabela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Tabela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Tabela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adeGrade3">
    <w:name w:val="Grid Table 3"/>
    <w:basedOn w:val="Tabela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a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Tabela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Tabela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Tabela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Tabela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Tabela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adeGrade4">
    <w:name w:val="Grid Table 4"/>
    <w:basedOn w:val="Tabela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anormal"/>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Tabelanormal"/>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Tabelanormal"/>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Tabelanormal"/>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Tabelanormal"/>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Tabelanormal"/>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adeGrade5Escura">
    <w:name w:val="Grid Table 5 Dark"/>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TabeladeGrade6Colorida">
    <w:name w:val="Grid Table 6 Colorful"/>
    <w:basedOn w:val="Tabela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anormal"/>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ela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elanormal"/>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ela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elanormal"/>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elanormal"/>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TabeladeGrade7Colorida">
    <w:name w:val="Grid Table 7 Colorful"/>
    <w:basedOn w:val="Tabela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anormal"/>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elanormal"/>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elanormal"/>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elanormal"/>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elanormal"/>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elanormal"/>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TabeladeLista1Clara">
    <w:name w:val="List Table 1 Light"/>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eladeLista2">
    <w:name w:val="List Table 2"/>
    <w:basedOn w:val="Tabela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anormal"/>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Tabelanormal"/>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Tabelanormal"/>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Tabelanormal"/>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Tabelanormal"/>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Tabelanormal"/>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eladeLista3">
    <w:name w:val="List Table 3"/>
    <w:basedOn w:val="Tabela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anormal"/>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ela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elanormal"/>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ela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elanormal"/>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elanormal"/>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eladeLista4">
    <w:name w:val="List Table 4"/>
    <w:basedOn w:val="Tabela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anormal"/>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Tabelanormal"/>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Tabelanormal"/>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Tabelanormal"/>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Tabelanormal"/>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Tabelanormal"/>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eladeLista5Escura">
    <w:name w:val="List Table 5 Dark"/>
    <w:basedOn w:val="Tabela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anormal"/>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Tabelanormal"/>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Tabelanormal"/>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Tabelanormal"/>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Tabelanormal"/>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Tabelanormal"/>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TabeladeLista6Colorida">
    <w:name w:val="List Table 6 Colorful"/>
    <w:basedOn w:val="Tabela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anormal"/>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elanormal"/>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elanormal"/>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elanormal"/>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elanormal"/>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elanormal"/>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TabeladeLista7Colorida">
    <w:name w:val="List Table 7 Colorful"/>
    <w:basedOn w:val="Tabela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anormal"/>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elanormal"/>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elanormal"/>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elanormal"/>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elanormal"/>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elanormal"/>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elanormal"/>
    <w:uiPriority w:val="99"/>
    <w:pPr>
      <w:spacing w:after="0" w:line="240" w:lineRule="auto"/>
    </w:pPr>
    <w:rPr>
      <w:color w:val="404040"/>
      <w:sz w:val="20"/>
      <w:szCs w:val="20"/>
      <w:lang w:eastAsia="pt-BR"/>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anormal"/>
    <w:uiPriority w:val="99"/>
    <w:pPr>
      <w:spacing w:after="0" w:line="240" w:lineRule="auto"/>
    </w:pPr>
    <w:rPr>
      <w:color w:val="404040"/>
      <w:sz w:val="20"/>
      <w:szCs w:val="20"/>
      <w:lang w:eastAsia="pt-BR"/>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elanormal"/>
    <w:uiPriority w:val="99"/>
    <w:pPr>
      <w:spacing w:after="0" w:line="240" w:lineRule="auto"/>
    </w:pPr>
    <w:rPr>
      <w:color w:val="404040"/>
      <w:sz w:val="20"/>
      <w:szCs w:val="20"/>
      <w:lang w:eastAsia="pt-BR"/>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elanormal"/>
    <w:uiPriority w:val="99"/>
    <w:pPr>
      <w:spacing w:after="0" w:line="240" w:lineRule="auto"/>
    </w:pPr>
    <w:rPr>
      <w:color w:val="404040"/>
      <w:sz w:val="20"/>
      <w:szCs w:val="20"/>
      <w:lang w:eastAsia="pt-BR"/>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elanormal"/>
    <w:uiPriority w:val="99"/>
    <w:pPr>
      <w:spacing w:after="0" w:line="240" w:lineRule="auto"/>
    </w:pPr>
    <w:rPr>
      <w:color w:val="404040"/>
      <w:sz w:val="20"/>
      <w:szCs w:val="20"/>
      <w:lang w:eastAsia="pt-BR"/>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elanormal"/>
    <w:uiPriority w:val="99"/>
    <w:pPr>
      <w:spacing w:after="0" w:line="240" w:lineRule="auto"/>
    </w:pPr>
    <w:rPr>
      <w:color w:val="404040"/>
      <w:sz w:val="20"/>
      <w:szCs w:val="20"/>
      <w:lang w:eastAsia="pt-BR"/>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elanormal"/>
    <w:uiPriority w:val="99"/>
    <w:pPr>
      <w:spacing w:after="0" w:line="240" w:lineRule="auto"/>
    </w:pPr>
    <w:rPr>
      <w:color w:val="404040"/>
      <w:sz w:val="20"/>
      <w:szCs w:val="20"/>
      <w:lang w:eastAsia="pt-BR"/>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elanormal"/>
    <w:uiPriority w:val="99"/>
    <w:pPr>
      <w:spacing w:after="0" w:line="240" w:lineRule="auto"/>
    </w:pPr>
    <w:rPr>
      <w:color w:val="404040"/>
      <w:sz w:val="20"/>
      <w:szCs w:val="20"/>
      <w:lang w:eastAsia="pt-B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anormal"/>
    <w:uiPriority w:val="99"/>
    <w:pPr>
      <w:spacing w:after="0" w:line="240" w:lineRule="auto"/>
    </w:pPr>
    <w:rPr>
      <w:color w:val="404040"/>
      <w:sz w:val="20"/>
      <w:szCs w:val="20"/>
      <w:lang w:eastAsia="pt-BR"/>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elanormal"/>
    <w:uiPriority w:val="99"/>
    <w:pPr>
      <w:spacing w:after="0" w:line="240" w:lineRule="auto"/>
    </w:pPr>
    <w:rPr>
      <w:color w:val="404040"/>
      <w:sz w:val="20"/>
      <w:szCs w:val="20"/>
      <w:lang w:eastAsia="pt-BR"/>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elanormal"/>
    <w:uiPriority w:val="99"/>
    <w:pPr>
      <w:spacing w:after="0" w:line="240" w:lineRule="auto"/>
    </w:pPr>
    <w:rPr>
      <w:color w:val="404040"/>
      <w:sz w:val="20"/>
      <w:szCs w:val="20"/>
      <w:lang w:eastAsia="pt-BR"/>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elanormal"/>
    <w:uiPriority w:val="99"/>
    <w:pPr>
      <w:spacing w:after="0" w:line="240" w:lineRule="auto"/>
    </w:pPr>
    <w:rPr>
      <w:color w:val="404040"/>
      <w:sz w:val="20"/>
      <w:szCs w:val="20"/>
      <w:lang w:eastAsia="pt-BR"/>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elanormal"/>
    <w:uiPriority w:val="99"/>
    <w:pPr>
      <w:spacing w:after="0" w:line="240" w:lineRule="auto"/>
    </w:pPr>
    <w:rPr>
      <w:color w:val="404040"/>
      <w:sz w:val="20"/>
      <w:szCs w:val="20"/>
      <w:lang w:eastAsia="pt-BR"/>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elanormal"/>
    <w:uiPriority w:val="99"/>
    <w:pPr>
      <w:spacing w:after="0" w:line="240" w:lineRule="auto"/>
    </w:pPr>
    <w:rPr>
      <w:color w:val="404040"/>
      <w:sz w:val="20"/>
      <w:szCs w:val="20"/>
      <w:lang w:eastAsia="pt-BR"/>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ela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a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ela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ela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ela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ela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ela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Textodenotadefim">
    <w:name w:val="endnote text"/>
    <w:basedOn w:val="Normal"/>
    <w:link w:val="TextodenotadefimChar"/>
    <w:uiPriority w:val="99"/>
    <w:semiHidden/>
    <w:unhideWhenUsed/>
    <w:rPr>
      <w:sz w:val="20"/>
    </w:rPr>
  </w:style>
  <w:style w:type="character" w:customStyle="1" w:styleId="TextodenotadefimChar">
    <w:name w:val="Texto de nota de fim Char"/>
    <w:link w:val="Textodenotadefim"/>
    <w:uiPriority w:val="99"/>
    <w:rPr>
      <w:sz w:val="20"/>
    </w:rPr>
  </w:style>
  <w:style w:type="character" w:styleId="Refdenotadefim">
    <w:name w:val="endnote reference"/>
    <w:basedOn w:val="Fontepargpadro"/>
    <w:uiPriority w:val="99"/>
    <w:semiHidden/>
    <w:unhideWhenUsed/>
    <w:rPr>
      <w:vertAlign w:val="superscript"/>
    </w:rPr>
  </w:style>
  <w:style w:type="paragraph" w:styleId="Sumrio3">
    <w:name w:val="toc 3"/>
    <w:basedOn w:val="Normal"/>
    <w:next w:val="Normal"/>
    <w:uiPriority w:val="39"/>
    <w:unhideWhenUsed/>
    <w:pPr>
      <w:ind w:left="480"/>
    </w:pPr>
    <w:rPr>
      <w:rFonts w:asciiTheme="minorHAnsi" w:hAnsiTheme="minorHAnsi" w:cstheme="minorHAnsi"/>
      <w:i/>
      <w:iCs/>
      <w:sz w:val="20"/>
      <w:szCs w:val="20"/>
    </w:rPr>
  </w:style>
  <w:style w:type="paragraph" w:styleId="Sumrio4">
    <w:name w:val="toc 4"/>
    <w:basedOn w:val="Normal"/>
    <w:next w:val="Normal"/>
    <w:uiPriority w:val="39"/>
    <w:unhideWhenUsed/>
    <w:pPr>
      <w:ind w:left="720"/>
    </w:pPr>
    <w:rPr>
      <w:rFonts w:asciiTheme="minorHAnsi" w:hAnsiTheme="minorHAnsi" w:cstheme="minorHAnsi"/>
      <w:sz w:val="18"/>
      <w:szCs w:val="18"/>
    </w:rPr>
  </w:style>
  <w:style w:type="paragraph" w:styleId="Sumrio5">
    <w:name w:val="toc 5"/>
    <w:basedOn w:val="Normal"/>
    <w:next w:val="Normal"/>
    <w:uiPriority w:val="39"/>
    <w:unhideWhenUsed/>
    <w:pPr>
      <w:ind w:left="960"/>
    </w:pPr>
    <w:rPr>
      <w:rFonts w:asciiTheme="minorHAnsi" w:hAnsiTheme="minorHAnsi" w:cstheme="minorHAnsi"/>
      <w:sz w:val="18"/>
      <w:szCs w:val="18"/>
    </w:rPr>
  </w:style>
  <w:style w:type="paragraph" w:styleId="Sumrio6">
    <w:name w:val="toc 6"/>
    <w:basedOn w:val="Normal"/>
    <w:next w:val="Normal"/>
    <w:uiPriority w:val="39"/>
    <w:unhideWhenUsed/>
    <w:pPr>
      <w:ind w:left="1200"/>
    </w:pPr>
    <w:rPr>
      <w:rFonts w:asciiTheme="minorHAnsi" w:hAnsiTheme="minorHAnsi" w:cstheme="minorHAnsi"/>
      <w:sz w:val="18"/>
      <w:szCs w:val="18"/>
    </w:rPr>
  </w:style>
  <w:style w:type="paragraph" w:styleId="Sumrio7">
    <w:name w:val="toc 7"/>
    <w:basedOn w:val="Normal"/>
    <w:next w:val="Normal"/>
    <w:uiPriority w:val="39"/>
    <w:unhideWhenUsed/>
    <w:pPr>
      <w:ind w:left="1440"/>
    </w:pPr>
    <w:rPr>
      <w:rFonts w:asciiTheme="minorHAnsi" w:hAnsiTheme="minorHAnsi" w:cstheme="minorHAnsi"/>
      <w:sz w:val="18"/>
      <w:szCs w:val="18"/>
    </w:rPr>
  </w:style>
  <w:style w:type="paragraph" w:styleId="Sumrio8">
    <w:name w:val="toc 8"/>
    <w:basedOn w:val="Normal"/>
    <w:next w:val="Normal"/>
    <w:uiPriority w:val="39"/>
    <w:unhideWhenUsed/>
    <w:pPr>
      <w:ind w:left="1680"/>
    </w:pPr>
    <w:rPr>
      <w:rFonts w:asciiTheme="minorHAnsi" w:hAnsiTheme="minorHAnsi" w:cstheme="minorHAnsi"/>
      <w:sz w:val="18"/>
      <w:szCs w:val="18"/>
    </w:rPr>
  </w:style>
  <w:style w:type="paragraph" w:styleId="Sumrio9">
    <w:name w:val="toc 9"/>
    <w:basedOn w:val="Normal"/>
    <w:next w:val="Normal"/>
    <w:uiPriority w:val="39"/>
    <w:unhideWhenUsed/>
    <w:pPr>
      <w:ind w:left="1920"/>
    </w:pPr>
    <w:rPr>
      <w:rFonts w:asciiTheme="minorHAnsi" w:hAnsiTheme="minorHAnsi" w:cstheme="minorHAnsi"/>
      <w:sz w:val="18"/>
      <w:szCs w:val="18"/>
    </w:rPr>
  </w:style>
  <w:style w:type="paragraph" w:styleId="CabealhodoSumrio">
    <w:name w:val="TOC Heading"/>
    <w:uiPriority w:val="39"/>
    <w:unhideWhenUsed/>
    <w:qFormat/>
  </w:style>
  <w:style w:type="paragraph" w:styleId="ndicedeilustraes">
    <w:name w:val="table of figures"/>
    <w:basedOn w:val="Normal"/>
    <w:next w:val="Normal"/>
    <w:uiPriority w:val="99"/>
    <w:unhideWhenUsed/>
  </w:style>
  <w:style w:type="character" w:styleId="Hyperlink">
    <w:name w:val="Hyperlink"/>
    <w:basedOn w:val="Fontepargpadro"/>
    <w:uiPriority w:val="99"/>
    <w:unhideWhenUsed/>
    <w:rPr>
      <w:color w:val="0000FF"/>
      <w:u w:val="single"/>
    </w:rPr>
  </w:style>
  <w:style w:type="paragraph" w:styleId="Textodenotaderodap">
    <w:name w:val="footnote text"/>
    <w:basedOn w:val="Normal"/>
    <w:link w:val="TextodenotaderodapChar"/>
    <w:rPr>
      <w:sz w:val="20"/>
      <w:szCs w:val="20"/>
    </w:rPr>
  </w:style>
  <w:style w:type="character" w:customStyle="1" w:styleId="TextodenotaderodapChar">
    <w:name w:val="Texto de nota de rodapé Char"/>
    <w:basedOn w:val="Fontepargpadro"/>
    <w:link w:val="Textodenotaderodap"/>
    <w:rPr>
      <w:rFonts w:ascii="Times New Roman" w:eastAsia="Times New Roman" w:hAnsi="Times New Roman" w:cs="Times New Roman"/>
      <w:sz w:val="20"/>
      <w:szCs w:val="20"/>
      <w:lang w:eastAsia="pt-BR"/>
    </w:rPr>
  </w:style>
  <w:style w:type="character" w:styleId="Refdenotaderodap">
    <w:name w:val="footnote reference"/>
    <w:rPr>
      <w:vertAlign w:val="superscript"/>
    </w:rPr>
  </w:style>
  <w:style w:type="character" w:styleId="HiperlinkVisitado">
    <w:name w:val="FollowedHyperlink"/>
    <w:basedOn w:val="Fontepargpadro"/>
    <w:uiPriority w:val="99"/>
    <w:semiHidden/>
    <w:unhideWhenUsed/>
    <w:rPr>
      <w:color w:val="800080" w:themeColor="followedHyperlink"/>
      <w:u w:val="single"/>
    </w:rPr>
  </w:style>
  <w:style w:type="paragraph" w:styleId="Textodebalo">
    <w:name w:val="Balloon Text"/>
    <w:basedOn w:val="Normal"/>
    <w:link w:val="TextodebaloChar"/>
    <w:uiPriority w:val="99"/>
    <w:semiHidden/>
    <w:unhideWhenUsed/>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Pr>
      <w:rFonts w:ascii="Tahoma" w:hAnsi="Tahoma" w:cs="Tahoma"/>
      <w:sz w:val="16"/>
      <w:szCs w:val="16"/>
    </w:rPr>
  </w:style>
  <w:style w:type="paragraph" w:styleId="PargrafodaLista">
    <w:name w:val="List Paragraph"/>
    <w:basedOn w:val="Normal"/>
    <w:uiPriority w:val="34"/>
    <w:qFormat/>
    <w:pPr>
      <w:spacing w:after="200" w:line="276" w:lineRule="auto"/>
      <w:ind w:left="720"/>
      <w:contextualSpacing/>
    </w:pPr>
    <w:rPr>
      <w:rFonts w:ascii="Calibri" w:eastAsiaTheme="minorHAnsi" w:hAnsi="Calibri"/>
      <w:sz w:val="22"/>
      <w:szCs w:val="22"/>
      <w:lang w:eastAsia="en-US"/>
    </w:rPr>
  </w:style>
  <w:style w:type="paragraph" w:styleId="Sumrio2">
    <w:name w:val="toc 2"/>
    <w:basedOn w:val="Normal"/>
    <w:uiPriority w:val="1"/>
    <w:qFormat/>
    <w:pPr>
      <w:ind w:left="240"/>
    </w:pPr>
    <w:rPr>
      <w:rFonts w:asciiTheme="minorHAnsi" w:hAnsiTheme="minorHAnsi" w:cstheme="minorHAnsi"/>
      <w:smallCaps/>
      <w:sz w:val="20"/>
      <w:szCs w:val="20"/>
    </w:rPr>
  </w:style>
  <w:style w:type="paragraph" w:styleId="Sumrio1">
    <w:name w:val="toc 1"/>
    <w:aliases w:val="Ementa"/>
    <w:basedOn w:val="Normal"/>
    <w:next w:val="Normal"/>
    <w:uiPriority w:val="39"/>
    <w:unhideWhenUsed/>
    <w:qFormat/>
    <w:rsid w:val="004B01E8"/>
    <w:pPr>
      <w:spacing w:before="120" w:after="120"/>
    </w:pPr>
    <w:rPr>
      <w:rFonts w:asciiTheme="minorHAnsi" w:hAnsiTheme="minorHAnsi" w:cstheme="minorHAnsi"/>
      <w:b/>
      <w:bCs/>
      <w:caps/>
      <w:sz w:val="20"/>
      <w:szCs w:val="20"/>
    </w:rPr>
  </w:style>
  <w:style w:type="paragraph" w:styleId="Corpodetexto">
    <w:name w:val="Body Text"/>
    <w:basedOn w:val="Normal"/>
    <w:link w:val="CorpodetextoChar"/>
    <w:uiPriority w:val="1"/>
    <w:qFormat/>
    <w:pPr>
      <w:widowControl w:val="0"/>
    </w:pPr>
    <w:rPr>
      <w:rFonts w:ascii="Arial Narrow" w:eastAsia="Arial Narrow" w:hAnsi="Arial Narrow" w:cs="Arial Narrow"/>
      <w:sz w:val="26"/>
      <w:szCs w:val="26"/>
      <w:lang w:val="en-US" w:eastAsia="en-US"/>
    </w:rPr>
  </w:style>
  <w:style w:type="character" w:customStyle="1" w:styleId="CorpodetextoChar">
    <w:name w:val="Corpo de texto Char"/>
    <w:basedOn w:val="Fontepargpadro"/>
    <w:link w:val="Corpodetexto"/>
    <w:uiPriority w:val="1"/>
    <w:rPr>
      <w:rFonts w:ascii="Arial Narrow" w:eastAsia="Arial Narrow" w:hAnsi="Arial Narrow" w:cs="Arial Narrow"/>
      <w:sz w:val="26"/>
      <w:szCs w:val="26"/>
      <w:lang w:val="en-US"/>
    </w:rPr>
  </w:style>
  <w:style w:type="character" w:customStyle="1" w:styleId="Ttulo1Char">
    <w:name w:val="Título 1 Char"/>
    <w:basedOn w:val="Fontepargpadro"/>
    <w:link w:val="Ttulo1"/>
    <w:uiPriority w:val="1"/>
    <w:rsid w:val="004B01E8"/>
    <w:rPr>
      <w:rFonts w:ascii="Arial" w:eastAsia="Calibri" w:hAnsi="Arial" w:cs="Calibri"/>
      <w:b/>
      <w:bCs/>
      <w:color w:val="000000" w:themeColor="text1"/>
      <w:sz w:val="20"/>
      <w:szCs w:val="40"/>
      <w:lang w:val="en-US"/>
    </w:rPr>
  </w:style>
  <w:style w:type="character" w:customStyle="1" w:styleId="Ttulo2Char">
    <w:name w:val="Título 2 Char"/>
    <w:basedOn w:val="Fontepargpadro"/>
    <w:link w:val="Ttulo2"/>
    <w:uiPriority w:val="1"/>
    <w:rPr>
      <w:rFonts w:ascii="Calibri" w:eastAsia="Calibri" w:hAnsi="Calibri" w:cs="Calibri"/>
      <w:b/>
      <w:bCs/>
      <w:sz w:val="32"/>
      <w:szCs w:val="32"/>
      <w:lang w:val="en-US"/>
    </w:rPr>
  </w:style>
  <w:style w:type="paragraph" w:styleId="Cabealho">
    <w:name w:val="header"/>
    <w:basedOn w:val="Normal"/>
    <w:link w:val="CabealhoChar"/>
    <w:uiPriority w:val="99"/>
    <w:unhideWhenUsed/>
    <w:pPr>
      <w:tabs>
        <w:tab w:val="center" w:pos="4252"/>
        <w:tab w:val="right" w:pos="8504"/>
      </w:tabs>
    </w:pPr>
    <w:rPr>
      <w:szCs w:val="22"/>
      <w:lang w:eastAsia="en-US"/>
    </w:rPr>
  </w:style>
  <w:style w:type="character" w:customStyle="1" w:styleId="CabealhoChar">
    <w:name w:val="Cabeçalho Char"/>
    <w:basedOn w:val="Fontepargpadro"/>
    <w:link w:val="Cabealho"/>
    <w:uiPriority w:val="99"/>
    <w:rPr>
      <w:rFonts w:ascii="Times New Roman" w:eastAsia="Times New Roman" w:hAnsi="Times New Roman" w:cs="Times New Roman"/>
      <w:sz w:val="24"/>
    </w:rPr>
  </w:style>
  <w:style w:type="paragraph" w:styleId="Rodap">
    <w:name w:val="footer"/>
    <w:basedOn w:val="Normal"/>
    <w:link w:val="RodapChar"/>
    <w:uiPriority w:val="99"/>
    <w:unhideWhenUsed/>
    <w:pPr>
      <w:tabs>
        <w:tab w:val="center" w:pos="4252"/>
        <w:tab w:val="right" w:pos="8504"/>
      </w:tabs>
    </w:pPr>
    <w:rPr>
      <w:szCs w:val="22"/>
      <w:lang w:eastAsia="en-US"/>
    </w:rPr>
  </w:style>
  <w:style w:type="character" w:customStyle="1" w:styleId="RodapChar">
    <w:name w:val="Rodapé Char"/>
    <w:basedOn w:val="Fontepargpadro"/>
    <w:link w:val="Rodap"/>
    <w:uiPriority w:val="99"/>
    <w:rPr>
      <w:rFonts w:ascii="Times New Roman" w:eastAsia="Times New Roman" w:hAnsi="Times New Roman" w:cs="Times New Roman"/>
      <w:sz w:val="24"/>
    </w:rPr>
  </w:style>
  <w:style w:type="paragraph" w:customStyle="1" w:styleId="Default">
    <w:name w:val="Default"/>
    <w:pPr>
      <w:spacing w:after="0" w:line="240" w:lineRule="auto"/>
    </w:pPr>
    <w:rPr>
      <w:rFonts w:ascii="Arial" w:hAnsi="Arial" w:cs="Arial"/>
      <w:color w:val="000000"/>
      <w:sz w:val="24"/>
      <w:szCs w:val="24"/>
    </w:rPr>
  </w:style>
  <w:style w:type="character" w:customStyle="1" w:styleId="apple-converted-space">
    <w:name w:val="apple-converted-space"/>
    <w:basedOn w:val="Fontepargpadro"/>
  </w:style>
  <w:style w:type="paragraph" w:customStyle="1" w:styleId="body10">
    <w:name w:val="body10"/>
    <w:link w:val="body10Char"/>
    <w:pPr>
      <w:spacing w:after="0" w:line="220" w:lineRule="atLeast"/>
      <w:ind w:firstLine="454"/>
      <w:jc w:val="both"/>
    </w:pPr>
    <w:rPr>
      <w:rFonts w:ascii="Times New Roman" w:eastAsia="Times New Roman" w:hAnsi="Times New Roman" w:cs="Times New Roman"/>
      <w:sz w:val="20"/>
      <w:szCs w:val="20"/>
      <w:lang w:eastAsia="pt-BR"/>
    </w:rPr>
  </w:style>
  <w:style w:type="character" w:customStyle="1" w:styleId="body10Char">
    <w:name w:val="body10 Char"/>
    <w:basedOn w:val="Fontepargpadro"/>
    <w:link w:val="body10"/>
    <w:rPr>
      <w:rFonts w:ascii="Times New Roman" w:eastAsia="Times New Roman" w:hAnsi="Times New Roman" w:cs="Times New Roman"/>
      <w:sz w:val="20"/>
      <w:szCs w:val="20"/>
      <w:lang w:eastAsia="pt-BR"/>
    </w:rPr>
  </w:style>
  <w:style w:type="paragraph" w:customStyle="1" w:styleId="TCU-Epgrafe">
    <w:name w:val="TCU - Epígrafe"/>
    <w:basedOn w:val="Normal"/>
    <w:pPr>
      <w:ind w:left="2835"/>
      <w:jc w:val="both"/>
    </w:pPr>
    <w:rPr>
      <w:szCs w:val="20"/>
    </w:r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nfase">
    <w:name w:val="Emphasis"/>
    <w:basedOn w:val="Fontepargpadro"/>
    <w:uiPriority w:val="20"/>
    <w:qFormat/>
    <w:rPr>
      <w:i/>
      <w:iCs/>
    </w:rPr>
  </w:style>
  <w:style w:type="character" w:customStyle="1" w:styleId="Meno1">
    <w:name w:val="Menção1"/>
    <w:basedOn w:val="Fontepargpadro"/>
    <w:uiPriority w:val="99"/>
    <w:semiHidden/>
    <w:unhideWhenUsed/>
    <w:rPr>
      <w:color w:val="2B579A"/>
      <w:shd w:val="clear" w:color="auto" w:fill="E6E6E6"/>
    </w:rPr>
  </w:style>
  <w:style w:type="paragraph" w:customStyle="1" w:styleId="tcu-epgrafe0">
    <w:name w:val="tcu-epgrafe"/>
    <w:basedOn w:val="Normal"/>
    <w:pPr>
      <w:spacing w:before="100" w:beforeAutospacing="1" w:after="100" w:afterAutospacing="1"/>
    </w:pPr>
  </w:style>
  <w:style w:type="character" w:customStyle="1" w:styleId="MenoPendente1">
    <w:name w:val="Menção Pendente1"/>
    <w:basedOn w:val="Fontepargpadro"/>
    <w:uiPriority w:val="99"/>
    <w:semiHidden/>
    <w:unhideWhenUsed/>
    <w:rPr>
      <w:color w:val="808080"/>
      <w:shd w:val="clear" w:color="auto" w:fill="E6E6E6"/>
    </w:rPr>
  </w:style>
  <w:style w:type="character" w:styleId="Refdecomentrio">
    <w:name w:val="annotation reference"/>
    <w:basedOn w:val="Fontepargpadro"/>
    <w:uiPriority w:val="99"/>
    <w:semiHidden/>
    <w:unhideWhenUsed/>
    <w:rPr>
      <w:sz w:val="16"/>
      <w:szCs w:val="16"/>
    </w:rPr>
  </w:style>
  <w:style w:type="paragraph" w:styleId="Textodecomentrio">
    <w:name w:val="annotation text"/>
    <w:basedOn w:val="Normal"/>
    <w:link w:val="TextodecomentrioChar"/>
    <w:uiPriority w:val="99"/>
    <w:semiHidden/>
    <w:unhideWhenUsed/>
    <w:pPr>
      <w:spacing w:after="200"/>
    </w:pPr>
    <w:rPr>
      <w:rFonts w:ascii="Calibri" w:eastAsiaTheme="minorHAnsi" w:hAnsi="Calibri"/>
      <w:sz w:val="20"/>
      <w:szCs w:val="20"/>
      <w:lang w:eastAsia="en-US"/>
    </w:rPr>
  </w:style>
  <w:style w:type="character" w:customStyle="1" w:styleId="TextodecomentrioChar">
    <w:name w:val="Texto de comentário Char"/>
    <w:basedOn w:val="Fontepargpadro"/>
    <w:link w:val="Textodecomentrio"/>
    <w:uiPriority w:val="99"/>
    <w:semiHidden/>
    <w:rPr>
      <w:rFonts w:ascii="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Pr>
      <w:b/>
      <w:bCs/>
    </w:rPr>
  </w:style>
  <w:style w:type="character" w:customStyle="1" w:styleId="AssuntodocomentrioChar">
    <w:name w:val="Assunto do comentário Char"/>
    <w:basedOn w:val="TextodecomentrioChar"/>
    <w:link w:val="Assuntodocomentrio"/>
    <w:uiPriority w:val="99"/>
    <w:semiHidden/>
    <w:rPr>
      <w:rFonts w:ascii="Calibri" w:hAnsi="Calibri" w:cs="Times New Roman"/>
      <w:b/>
      <w:bCs/>
      <w:sz w:val="20"/>
      <w:szCs w:val="20"/>
    </w:rPr>
  </w:style>
  <w:style w:type="table" w:styleId="Tabelacomgrade">
    <w:name w:val="Table Grid"/>
    <w:basedOn w:val="Tabela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adeGrade2-nfase1">
    <w:name w:val="Grid Table 2 Accent 1"/>
    <w:basedOn w:val="Tabelanormal"/>
    <w:uiPriority w:val="47"/>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one" w:sz="4" w:space="0" w:color="000000"/>
          <w:bottom w:val="single" w:sz="12" w:space="0" w:color="95B3D7" w:themeColor="accent1" w:themeTint="99"/>
          <w:insideH w:val="none" w:sz="4" w:space="0" w:color="000000"/>
          <w:insideV w:val="none" w:sz="4" w:space="0" w:color="000000"/>
        </w:tcBorders>
        <w:shd w:val="clear" w:color="auto" w:fill="FFFFFF" w:themeFill="background1"/>
      </w:tcPr>
    </w:tblStylePr>
    <w:tblStylePr w:type="lastRow">
      <w:rPr>
        <w:b/>
        <w:bCs/>
      </w:rPr>
      <w:tblPr/>
      <w:tcPr>
        <w:tcBorders>
          <w:top w:val="single" w:sz="2" w:space="0" w:color="95B3D7" w:themeColor="accent1" w:themeTint="99"/>
          <w:bottom w:val="none" w:sz="4" w:space="0" w:color="000000"/>
          <w:insideH w:val="none" w:sz="4" w:space="0" w:color="000000"/>
          <w:insideV w:val="none" w:sz="4" w:space="0" w:color="000000"/>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3Char">
    <w:name w:val="Título 3 Char"/>
    <w:basedOn w:val="Fontepargpadro"/>
    <w:link w:val="Ttulo3"/>
    <w:uiPriority w:val="9"/>
    <w:semiHidden/>
    <w:rPr>
      <w:rFonts w:asciiTheme="majorHAnsi" w:eastAsiaTheme="majorEastAsia" w:hAnsiTheme="majorHAnsi" w:cstheme="majorBidi"/>
      <w:color w:val="243F60" w:themeColor="accent1" w:themeShade="7F"/>
      <w:sz w:val="24"/>
      <w:szCs w:val="24"/>
    </w:rPr>
  </w:style>
  <w:style w:type="paragraph" w:styleId="Pr-formataoHTML">
    <w:name w:val="HTML Preformatted"/>
    <w:basedOn w:val="Normal"/>
    <w:link w:val="Pr-formataoHTML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rPr>
      <w:rFonts w:ascii="Courier New" w:eastAsia="Times New Roman" w:hAnsi="Courier New" w:cs="Courier New"/>
      <w:sz w:val="20"/>
      <w:szCs w:val="20"/>
      <w:lang w:eastAsia="pt-BR"/>
    </w:rPr>
  </w:style>
  <w:style w:type="character" w:customStyle="1" w:styleId="highlightbrs">
    <w:name w:val="highlightbrs"/>
    <w:basedOn w:val="Fontepargpadro"/>
  </w:style>
  <w:style w:type="character" w:customStyle="1" w:styleId="Ttulo4Char">
    <w:name w:val="Título 4 Char"/>
    <w:basedOn w:val="Fontepargpadro"/>
    <w:link w:val="Ttulo4"/>
    <w:uiPriority w:val="9"/>
    <w:semiHidden/>
    <w:rPr>
      <w:rFonts w:asciiTheme="majorHAnsi" w:eastAsiaTheme="majorEastAsia" w:hAnsiTheme="majorHAnsi" w:cstheme="majorBidi"/>
      <w:i/>
      <w:iCs/>
      <w:color w:val="365F91" w:themeColor="accent1" w:themeShade="BF"/>
    </w:rPr>
  </w:style>
  <w:style w:type="paragraph" w:customStyle="1" w:styleId="mostratitulonota">
    <w:name w:val="mostratitulonota"/>
    <w:basedOn w:val="Normal"/>
    <w:pPr>
      <w:spacing w:before="100" w:beforeAutospacing="1" w:after="100" w:afterAutospacing="1"/>
    </w:pPr>
  </w:style>
  <w:style w:type="character" w:customStyle="1" w:styleId="lista-resultadotitulo">
    <w:name w:val="lista-resultado__titulo"/>
    <w:basedOn w:val="Fontepargpadro"/>
  </w:style>
  <w:style w:type="paragraph" w:customStyle="1" w:styleId="col-lg-2">
    <w:name w:val="col-lg-2"/>
    <w:basedOn w:val="Normal"/>
    <w:pPr>
      <w:spacing w:before="100" w:beforeAutospacing="1" w:after="100" w:afterAutospacing="1"/>
    </w:pPr>
  </w:style>
  <w:style w:type="paragraph" w:customStyle="1" w:styleId="col-lg-10">
    <w:name w:val="col-lg-10"/>
    <w:basedOn w:val="Normal"/>
    <w:pPr>
      <w:spacing w:before="100" w:beforeAutospacing="1" w:after="100" w:afterAutospacing="1"/>
    </w:pPr>
  </w:style>
  <w:style w:type="paragraph" w:customStyle="1" w:styleId="col-lg-12">
    <w:name w:val="col-lg-12"/>
    <w:basedOn w:val="Normal"/>
    <w:pPr>
      <w:spacing w:before="100" w:beforeAutospacing="1" w:after="100" w:afterAutospacing="1"/>
    </w:pPr>
  </w:style>
  <w:style w:type="character" w:customStyle="1" w:styleId="blue-info">
    <w:name w:val="blue-info"/>
    <w:basedOn w:val="Fontepargpadro"/>
  </w:style>
  <w:style w:type="character" w:customStyle="1" w:styleId="notification">
    <w:name w:val="notification"/>
    <w:basedOn w:val="Fontepargpadro"/>
  </w:style>
  <w:style w:type="character" w:customStyle="1" w:styleId="MenoPendente2">
    <w:name w:val="Menção Pendente2"/>
    <w:basedOn w:val="Fontepargpadro"/>
    <w:uiPriority w:val="99"/>
    <w:semiHidden/>
    <w:unhideWhenUsed/>
    <w:rPr>
      <w:color w:val="605E5C"/>
      <w:shd w:val="clear" w:color="auto" w:fill="E1DFDD"/>
    </w:rPr>
  </w:style>
  <w:style w:type="paragraph" w:customStyle="1" w:styleId="TCU-Ac-item9-">
    <w:name w:val="TCU - Ac - item 9 - §§"/>
    <w:basedOn w:val="Normal"/>
    <w:qFormat/>
    <w:pPr>
      <w:ind w:firstLine="1134"/>
      <w:jc w:val="both"/>
    </w:pPr>
    <w:rPr>
      <w:szCs w:val="22"/>
      <w:lang w:eastAsia="en-US"/>
    </w:rPr>
  </w:style>
  <w:style w:type="paragraph" w:customStyle="1" w:styleId="titulojurisprudencia">
    <w:name w:val="titulojurisprudencia"/>
    <w:basedOn w:val="Normal"/>
    <w:pPr>
      <w:spacing w:before="100" w:beforeAutospacing="1" w:after="45" w:line="300" w:lineRule="atLeast"/>
    </w:pPr>
    <w:rPr>
      <w:b/>
      <w:bCs/>
      <w:sz w:val="20"/>
      <w:szCs w:val="20"/>
    </w:rPr>
  </w:style>
  <w:style w:type="character" w:customStyle="1" w:styleId="lista-resultadoinfo-descricao">
    <w:name w:val="lista-resultado__info-descricao"/>
    <w:basedOn w:val="Fontepargpadro"/>
  </w:style>
  <w:style w:type="character" w:customStyle="1" w:styleId="mat-button-wrapper">
    <w:name w:val="mat-button-wrapper"/>
    <w:basedOn w:val="Fontepargpadro"/>
  </w:style>
  <w:style w:type="character" w:styleId="MenoPendente">
    <w:name w:val="Unresolved Mention"/>
    <w:basedOn w:val="Fontepargpadro"/>
    <w:uiPriority w:val="99"/>
    <w:semiHidden/>
    <w:unhideWhenUsed/>
    <w:rPr>
      <w:color w:val="605E5C"/>
      <w:shd w:val="clear" w:color="auto" w:fill="E1DFDD"/>
    </w:rPr>
  </w:style>
  <w:style w:type="paragraph" w:customStyle="1" w:styleId="tcu-ac-item9-0">
    <w:name w:val="tcu_-_ac_-_item_9_-_§§"/>
    <w:basedOn w:val="Normal"/>
    <w:pPr>
      <w:spacing w:before="100" w:beforeAutospacing="1" w:after="100" w:afterAutospacing="1"/>
    </w:pPr>
  </w:style>
  <w:style w:type="character" w:customStyle="1" w:styleId="highlightbrs2">
    <w:name w:val="highlightbrs2"/>
    <w:basedOn w:val="Fontepargpadro"/>
    <w:rPr>
      <w:b/>
      <w:bCs/>
      <w:color w:val="CE24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615787">
      <w:bodyDiv w:val="1"/>
      <w:marLeft w:val="0"/>
      <w:marRight w:val="0"/>
      <w:marTop w:val="0"/>
      <w:marBottom w:val="0"/>
      <w:divBdr>
        <w:top w:val="none" w:sz="0" w:space="0" w:color="auto"/>
        <w:left w:val="none" w:sz="0" w:space="0" w:color="auto"/>
        <w:bottom w:val="none" w:sz="0" w:space="0" w:color="auto"/>
        <w:right w:val="none" w:sz="0" w:space="0" w:color="auto"/>
      </w:divBdr>
    </w:div>
    <w:div w:id="161820283">
      <w:bodyDiv w:val="1"/>
      <w:marLeft w:val="0"/>
      <w:marRight w:val="0"/>
      <w:marTop w:val="0"/>
      <w:marBottom w:val="0"/>
      <w:divBdr>
        <w:top w:val="none" w:sz="0" w:space="0" w:color="auto"/>
        <w:left w:val="none" w:sz="0" w:space="0" w:color="auto"/>
        <w:bottom w:val="none" w:sz="0" w:space="0" w:color="auto"/>
        <w:right w:val="none" w:sz="0" w:space="0" w:color="auto"/>
      </w:divBdr>
      <w:divsChild>
        <w:div w:id="1928339668">
          <w:marLeft w:val="0"/>
          <w:marRight w:val="0"/>
          <w:marTop w:val="0"/>
          <w:marBottom w:val="0"/>
          <w:divBdr>
            <w:top w:val="none" w:sz="0" w:space="0" w:color="auto"/>
            <w:left w:val="none" w:sz="0" w:space="0" w:color="auto"/>
            <w:bottom w:val="none" w:sz="0" w:space="0" w:color="auto"/>
            <w:right w:val="none" w:sz="0" w:space="0" w:color="auto"/>
          </w:divBdr>
          <w:divsChild>
            <w:div w:id="1378969260">
              <w:marLeft w:val="0"/>
              <w:marRight w:val="0"/>
              <w:marTop w:val="0"/>
              <w:marBottom w:val="0"/>
              <w:divBdr>
                <w:top w:val="none" w:sz="0" w:space="0" w:color="auto"/>
                <w:left w:val="none" w:sz="0" w:space="0" w:color="auto"/>
                <w:bottom w:val="none" w:sz="0" w:space="0" w:color="auto"/>
                <w:right w:val="none" w:sz="0" w:space="0" w:color="auto"/>
              </w:divBdr>
              <w:divsChild>
                <w:div w:id="1689986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37906">
      <w:bodyDiv w:val="1"/>
      <w:marLeft w:val="0"/>
      <w:marRight w:val="0"/>
      <w:marTop w:val="0"/>
      <w:marBottom w:val="0"/>
      <w:divBdr>
        <w:top w:val="none" w:sz="0" w:space="0" w:color="auto"/>
        <w:left w:val="none" w:sz="0" w:space="0" w:color="auto"/>
        <w:bottom w:val="none" w:sz="0" w:space="0" w:color="auto"/>
        <w:right w:val="none" w:sz="0" w:space="0" w:color="auto"/>
      </w:divBdr>
    </w:div>
    <w:div w:id="275647216">
      <w:bodyDiv w:val="1"/>
      <w:marLeft w:val="0"/>
      <w:marRight w:val="0"/>
      <w:marTop w:val="0"/>
      <w:marBottom w:val="0"/>
      <w:divBdr>
        <w:top w:val="none" w:sz="0" w:space="0" w:color="auto"/>
        <w:left w:val="none" w:sz="0" w:space="0" w:color="auto"/>
        <w:bottom w:val="none" w:sz="0" w:space="0" w:color="auto"/>
        <w:right w:val="none" w:sz="0" w:space="0" w:color="auto"/>
      </w:divBdr>
      <w:divsChild>
        <w:div w:id="78453108">
          <w:marLeft w:val="0"/>
          <w:marRight w:val="0"/>
          <w:marTop w:val="0"/>
          <w:marBottom w:val="0"/>
          <w:divBdr>
            <w:top w:val="none" w:sz="0" w:space="0" w:color="auto"/>
            <w:left w:val="none" w:sz="0" w:space="0" w:color="auto"/>
            <w:bottom w:val="none" w:sz="0" w:space="0" w:color="auto"/>
            <w:right w:val="none" w:sz="0" w:space="0" w:color="auto"/>
          </w:divBdr>
          <w:divsChild>
            <w:div w:id="1917930601">
              <w:marLeft w:val="0"/>
              <w:marRight w:val="0"/>
              <w:marTop w:val="0"/>
              <w:marBottom w:val="0"/>
              <w:divBdr>
                <w:top w:val="none" w:sz="0" w:space="0" w:color="auto"/>
                <w:left w:val="none" w:sz="0" w:space="0" w:color="auto"/>
                <w:bottom w:val="none" w:sz="0" w:space="0" w:color="auto"/>
                <w:right w:val="none" w:sz="0" w:space="0" w:color="auto"/>
              </w:divBdr>
              <w:divsChild>
                <w:div w:id="56245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612549">
      <w:bodyDiv w:val="1"/>
      <w:marLeft w:val="0"/>
      <w:marRight w:val="0"/>
      <w:marTop w:val="0"/>
      <w:marBottom w:val="0"/>
      <w:divBdr>
        <w:top w:val="none" w:sz="0" w:space="0" w:color="auto"/>
        <w:left w:val="none" w:sz="0" w:space="0" w:color="auto"/>
        <w:bottom w:val="none" w:sz="0" w:space="0" w:color="auto"/>
        <w:right w:val="none" w:sz="0" w:space="0" w:color="auto"/>
      </w:divBdr>
    </w:div>
    <w:div w:id="291907415">
      <w:bodyDiv w:val="1"/>
      <w:marLeft w:val="0"/>
      <w:marRight w:val="0"/>
      <w:marTop w:val="0"/>
      <w:marBottom w:val="0"/>
      <w:divBdr>
        <w:top w:val="none" w:sz="0" w:space="0" w:color="auto"/>
        <w:left w:val="none" w:sz="0" w:space="0" w:color="auto"/>
        <w:bottom w:val="none" w:sz="0" w:space="0" w:color="auto"/>
        <w:right w:val="none" w:sz="0" w:space="0" w:color="auto"/>
      </w:divBdr>
      <w:divsChild>
        <w:div w:id="643898327">
          <w:marLeft w:val="0"/>
          <w:marRight w:val="0"/>
          <w:marTop w:val="0"/>
          <w:marBottom w:val="0"/>
          <w:divBdr>
            <w:top w:val="none" w:sz="0" w:space="0" w:color="auto"/>
            <w:left w:val="none" w:sz="0" w:space="0" w:color="auto"/>
            <w:bottom w:val="none" w:sz="0" w:space="0" w:color="auto"/>
            <w:right w:val="none" w:sz="0" w:space="0" w:color="auto"/>
          </w:divBdr>
          <w:divsChild>
            <w:div w:id="2113164475">
              <w:marLeft w:val="0"/>
              <w:marRight w:val="0"/>
              <w:marTop w:val="0"/>
              <w:marBottom w:val="0"/>
              <w:divBdr>
                <w:top w:val="none" w:sz="0" w:space="0" w:color="auto"/>
                <w:left w:val="none" w:sz="0" w:space="0" w:color="auto"/>
                <w:bottom w:val="none" w:sz="0" w:space="0" w:color="auto"/>
                <w:right w:val="none" w:sz="0" w:space="0" w:color="auto"/>
              </w:divBdr>
              <w:divsChild>
                <w:div w:id="55157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107768">
      <w:bodyDiv w:val="1"/>
      <w:marLeft w:val="0"/>
      <w:marRight w:val="0"/>
      <w:marTop w:val="0"/>
      <w:marBottom w:val="0"/>
      <w:divBdr>
        <w:top w:val="none" w:sz="0" w:space="0" w:color="auto"/>
        <w:left w:val="none" w:sz="0" w:space="0" w:color="auto"/>
        <w:bottom w:val="none" w:sz="0" w:space="0" w:color="auto"/>
        <w:right w:val="none" w:sz="0" w:space="0" w:color="auto"/>
      </w:divBdr>
      <w:divsChild>
        <w:div w:id="1571648113">
          <w:marLeft w:val="0"/>
          <w:marRight w:val="0"/>
          <w:marTop w:val="0"/>
          <w:marBottom w:val="0"/>
          <w:divBdr>
            <w:top w:val="none" w:sz="0" w:space="0" w:color="auto"/>
            <w:left w:val="none" w:sz="0" w:space="0" w:color="auto"/>
            <w:bottom w:val="none" w:sz="0" w:space="0" w:color="auto"/>
            <w:right w:val="none" w:sz="0" w:space="0" w:color="auto"/>
          </w:divBdr>
          <w:divsChild>
            <w:div w:id="193471219">
              <w:marLeft w:val="0"/>
              <w:marRight w:val="0"/>
              <w:marTop w:val="0"/>
              <w:marBottom w:val="0"/>
              <w:divBdr>
                <w:top w:val="none" w:sz="0" w:space="0" w:color="auto"/>
                <w:left w:val="none" w:sz="0" w:space="0" w:color="auto"/>
                <w:bottom w:val="none" w:sz="0" w:space="0" w:color="auto"/>
                <w:right w:val="none" w:sz="0" w:space="0" w:color="auto"/>
              </w:divBdr>
              <w:divsChild>
                <w:div w:id="154475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669320">
      <w:bodyDiv w:val="1"/>
      <w:marLeft w:val="0"/>
      <w:marRight w:val="0"/>
      <w:marTop w:val="0"/>
      <w:marBottom w:val="0"/>
      <w:divBdr>
        <w:top w:val="none" w:sz="0" w:space="0" w:color="auto"/>
        <w:left w:val="none" w:sz="0" w:space="0" w:color="auto"/>
        <w:bottom w:val="none" w:sz="0" w:space="0" w:color="auto"/>
        <w:right w:val="none" w:sz="0" w:space="0" w:color="auto"/>
      </w:divBdr>
      <w:divsChild>
        <w:div w:id="1880193403">
          <w:marLeft w:val="0"/>
          <w:marRight w:val="0"/>
          <w:marTop w:val="0"/>
          <w:marBottom w:val="0"/>
          <w:divBdr>
            <w:top w:val="none" w:sz="0" w:space="0" w:color="auto"/>
            <w:left w:val="none" w:sz="0" w:space="0" w:color="auto"/>
            <w:bottom w:val="none" w:sz="0" w:space="0" w:color="auto"/>
            <w:right w:val="none" w:sz="0" w:space="0" w:color="auto"/>
          </w:divBdr>
          <w:divsChild>
            <w:div w:id="348263395">
              <w:marLeft w:val="0"/>
              <w:marRight w:val="0"/>
              <w:marTop w:val="0"/>
              <w:marBottom w:val="0"/>
              <w:divBdr>
                <w:top w:val="none" w:sz="0" w:space="0" w:color="auto"/>
                <w:left w:val="none" w:sz="0" w:space="0" w:color="auto"/>
                <w:bottom w:val="none" w:sz="0" w:space="0" w:color="auto"/>
                <w:right w:val="none" w:sz="0" w:space="0" w:color="auto"/>
              </w:divBdr>
              <w:divsChild>
                <w:div w:id="128916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656830">
      <w:bodyDiv w:val="1"/>
      <w:marLeft w:val="0"/>
      <w:marRight w:val="0"/>
      <w:marTop w:val="0"/>
      <w:marBottom w:val="0"/>
      <w:divBdr>
        <w:top w:val="none" w:sz="0" w:space="0" w:color="auto"/>
        <w:left w:val="none" w:sz="0" w:space="0" w:color="auto"/>
        <w:bottom w:val="none" w:sz="0" w:space="0" w:color="auto"/>
        <w:right w:val="none" w:sz="0" w:space="0" w:color="auto"/>
      </w:divBdr>
      <w:divsChild>
        <w:div w:id="2140416109">
          <w:marLeft w:val="0"/>
          <w:marRight w:val="0"/>
          <w:marTop w:val="0"/>
          <w:marBottom w:val="300"/>
          <w:divBdr>
            <w:top w:val="none" w:sz="0" w:space="0" w:color="auto"/>
            <w:left w:val="none" w:sz="0" w:space="0" w:color="auto"/>
            <w:bottom w:val="none" w:sz="0" w:space="0" w:color="auto"/>
            <w:right w:val="none" w:sz="0" w:space="0" w:color="auto"/>
          </w:divBdr>
          <w:divsChild>
            <w:div w:id="889608782">
              <w:marLeft w:val="0"/>
              <w:marRight w:val="0"/>
              <w:marTop w:val="0"/>
              <w:marBottom w:val="0"/>
              <w:divBdr>
                <w:top w:val="none" w:sz="0" w:space="0" w:color="auto"/>
                <w:left w:val="none" w:sz="0" w:space="0" w:color="auto"/>
                <w:bottom w:val="none" w:sz="0" w:space="0" w:color="auto"/>
                <w:right w:val="none" w:sz="0" w:space="0" w:color="auto"/>
              </w:divBdr>
              <w:divsChild>
                <w:div w:id="205770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148412">
          <w:marLeft w:val="0"/>
          <w:marRight w:val="0"/>
          <w:marTop w:val="0"/>
          <w:marBottom w:val="300"/>
          <w:divBdr>
            <w:top w:val="none" w:sz="0" w:space="0" w:color="auto"/>
            <w:left w:val="none" w:sz="0" w:space="0" w:color="auto"/>
            <w:bottom w:val="none" w:sz="0" w:space="0" w:color="auto"/>
            <w:right w:val="none" w:sz="0" w:space="0" w:color="auto"/>
          </w:divBdr>
        </w:div>
        <w:div w:id="1004472500">
          <w:marLeft w:val="0"/>
          <w:marRight w:val="0"/>
          <w:marTop w:val="0"/>
          <w:marBottom w:val="300"/>
          <w:divBdr>
            <w:top w:val="none" w:sz="0" w:space="0" w:color="auto"/>
            <w:left w:val="none" w:sz="0" w:space="0" w:color="auto"/>
            <w:bottom w:val="none" w:sz="0" w:space="0" w:color="auto"/>
            <w:right w:val="none" w:sz="0" w:space="0" w:color="auto"/>
          </w:divBdr>
          <w:divsChild>
            <w:div w:id="1784225365">
              <w:marLeft w:val="0"/>
              <w:marRight w:val="0"/>
              <w:marTop w:val="0"/>
              <w:marBottom w:val="0"/>
              <w:divBdr>
                <w:top w:val="none" w:sz="0" w:space="0" w:color="auto"/>
                <w:left w:val="none" w:sz="0" w:space="0" w:color="auto"/>
                <w:bottom w:val="none" w:sz="0" w:space="0" w:color="auto"/>
                <w:right w:val="none" w:sz="0" w:space="0" w:color="auto"/>
              </w:divBdr>
            </w:div>
          </w:divsChild>
        </w:div>
        <w:div w:id="1402826655">
          <w:marLeft w:val="0"/>
          <w:marRight w:val="0"/>
          <w:marTop w:val="0"/>
          <w:marBottom w:val="300"/>
          <w:divBdr>
            <w:top w:val="none" w:sz="0" w:space="0" w:color="auto"/>
            <w:left w:val="none" w:sz="0" w:space="0" w:color="auto"/>
            <w:bottom w:val="none" w:sz="0" w:space="0" w:color="auto"/>
            <w:right w:val="none" w:sz="0" w:space="0" w:color="auto"/>
          </w:divBdr>
          <w:divsChild>
            <w:div w:id="1816675361">
              <w:marLeft w:val="0"/>
              <w:marRight w:val="0"/>
              <w:marTop w:val="0"/>
              <w:marBottom w:val="0"/>
              <w:divBdr>
                <w:top w:val="none" w:sz="0" w:space="0" w:color="auto"/>
                <w:left w:val="none" w:sz="0" w:space="0" w:color="auto"/>
                <w:bottom w:val="none" w:sz="0" w:space="0" w:color="auto"/>
                <w:right w:val="none" w:sz="0" w:space="0" w:color="auto"/>
              </w:divBdr>
            </w:div>
          </w:divsChild>
        </w:div>
        <w:div w:id="476189316">
          <w:marLeft w:val="0"/>
          <w:marRight w:val="0"/>
          <w:marTop w:val="0"/>
          <w:marBottom w:val="300"/>
          <w:divBdr>
            <w:top w:val="none" w:sz="0" w:space="0" w:color="auto"/>
            <w:left w:val="none" w:sz="0" w:space="0" w:color="auto"/>
            <w:bottom w:val="none" w:sz="0" w:space="0" w:color="auto"/>
            <w:right w:val="none" w:sz="0" w:space="0" w:color="auto"/>
          </w:divBdr>
          <w:divsChild>
            <w:div w:id="1278758464">
              <w:marLeft w:val="0"/>
              <w:marRight w:val="0"/>
              <w:marTop w:val="0"/>
              <w:marBottom w:val="0"/>
              <w:divBdr>
                <w:top w:val="none" w:sz="0" w:space="0" w:color="auto"/>
                <w:left w:val="none" w:sz="0" w:space="0" w:color="auto"/>
                <w:bottom w:val="none" w:sz="0" w:space="0" w:color="auto"/>
                <w:right w:val="none" w:sz="0" w:space="0" w:color="auto"/>
              </w:divBdr>
            </w:div>
          </w:divsChild>
        </w:div>
        <w:div w:id="1552381524">
          <w:marLeft w:val="0"/>
          <w:marRight w:val="0"/>
          <w:marTop w:val="0"/>
          <w:marBottom w:val="300"/>
          <w:divBdr>
            <w:top w:val="none" w:sz="0" w:space="0" w:color="auto"/>
            <w:left w:val="none" w:sz="0" w:space="0" w:color="auto"/>
            <w:bottom w:val="none" w:sz="0" w:space="0" w:color="auto"/>
            <w:right w:val="none" w:sz="0" w:space="0" w:color="auto"/>
          </w:divBdr>
          <w:divsChild>
            <w:div w:id="143767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716995">
      <w:bodyDiv w:val="1"/>
      <w:marLeft w:val="0"/>
      <w:marRight w:val="0"/>
      <w:marTop w:val="0"/>
      <w:marBottom w:val="0"/>
      <w:divBdr>
        <w:top w:val="none" w:sz="0" w:space="0" w:color="auto"/>
        <w:left w:val="none" w:sz="0" w:space="0" w:color="auto"/>
        <w:bottom w:val="none" w:sz="0" w:space="0" w:color="auto"/>
        <w:right w:val="none" w:sz="0" w:space="0" w:color="auto"/>
      </w:divBdr>
      <w:divsChild>
        <w:div w:id="82577586">
          <w:marLeft w:val="0"/>
          <w:marRight w:val="0"/>
          <w:marTop w:val="0"/>
          <w:marBottom w:val="0"/>
          <w:divBdr>
            <w:top w:val="none" w:sz="0" w:space="0" w:color="auto"/>
            <w:left w:val="none" w:sz="0" w:space="0" w:color="auto"/>
            <w:bottom w:val="none" w:sz="0" w:space="0" w:color="auto"/>
            <w:right w:val="none" w:sz="0" w:space="0" w:color="auto"/>
          </w:divBdr>
          <w:divsChild>
            <w:div w:id="660351199">
              <w:marLeft w:val="0"/>
              <w:marRight w:val="0"/>
              <w:marTop w:val="0"/>
              <w:marBottom w:val="0"/>
              <w:divBdr>
                <w:top w:val="none" w:sz="0" w:space="0" w:color="auto"/>
                <w:left w:val="none" w:sz="0" w:space="0" w:color="auto"/>
                <w:bottom w:val="none" w:sz="0" w:space="0" w:color="auto"/>
                <w:right w:val="none" w:sz="0" w:space="0" w:color="auto"/>
              </w:divBdr>
              <w:divsChild>
                <w:div w:id="7262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196277">
      <w:bodyDiv w:val="1"/>
      <w:marLeft w:val="0"/>
      <w:marRight w:val="0"/>
      <w:marTop w:val="0"/>
      <w:marBottom w:val="0"/>
      <w:divBdr>
        <w:top w:val="none" w:sz="0" w:space="0" w:color="auto"/>
        <w:left w:val="none" w:sz="0" w:space="0" w:color="auto"/>
        <w:bottom w:val="none" w:sz="0" w:space="0" w:color="auto"/>
        <w:right w:val="none" w:sz="0" w:space="0" w:color="auto"/>
      </w:divBdr>
      <w:divsChild>
        <w:div w:id="1065027205">
          <w:marLeft w:val="0"/>
          <w:marRight w:val="0"/>
          <w:marTop w:val="0"/>
          <w:marBottom w:val="0"/>
          <w:divBdr>
            <w:top w:val="none" w:sz="0" w:space="0" w:color="auto"/>
            <w:left w:val="none" w:sz="0" w:space="0" w:color="auto"/>
            <w:bottom w:val="none" w:sz="0" w:space="0" w:color="auto"/>
            <w:right w:val="none" w:sz="0" w:space="0" w:color="auto"/>
          </w:divBdr>
          <w:divsChild>
            <w:div w:id="2111393576">
              <w:marLeft w:val="0"/>
              <w:marRight w:val="0"/>
              <w:marTop w:val="0"/>
              <w:marBottom w:val="0"/>
              <w:divBdr>
                <w:top w:val="none" w:sz="0" w:space="0" w:color="auto"/>
                <w:left w:val="none" w:sz="0" w:space="0" w:color="auto"/>
                <w:bottom w:val="none" w:sz="0" w:space="0" w:color="auto"/>
                <w:right w:val="none" w:sz="0" w:space="0" w:color="auto"/>
              </w:divBdr>
              <w:divsChild>
                <w:div w:id="101831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806450">
      <w:bodyDiv w:val="1"/>
      <w:marLeft w:val="0"/>
      <w:marRight w:val="0"/>
      <w:marTop w:val="0"/>
      <w:marBottom w:val="0"/>
      <w:divBdr>
        <w:top w:val="none" w:sz="0" w:space="0" w:color="auto"/>
        <w:left w:val="none" w:sz="0" w:space="0" w:color="auto"/>
        <w:bottom w:val="none" w:sz="0" w:space="0" w:color="auto"/>
        <w:right w:val="none" w:sz="0" w:space="0" w:color="auto"/>
      </w:divBdr>
      <w:divsChild>
        <w:div w:id="122895385">
          <w:marLeft w:val="0"/>
          <w:marRight w:val="0"/>
          <w:marTop w:val="0"/>
          <w:marBottom w:val="0"/>
          <w:divBdr>
            <w:top w:val="none" w:sz="0" w:space="0" w:color="auto"/>
            <w:left w:val="none" w:sz="0" w:space="0" w:color="auto"/>
            <w:bottom w:val="none" w:sz="0" w:space="0" w:color="auto"/>
            <w:right w:val="none" w:sz="0" w:space="0" w:color="auto"/>
          </w:divBdr>
          <w:divsChild>
            <w:div w:id="1436830252">
              <w:marLeft w:val="0"/>
              <w:marRight w:val="0"/>
              <w:marTop w:val="0"/>
              <w:marBottom w:val="0"/>
              <w:divBdr>
                <w:top w:val="none" w:sz="0" w:space="0" w:color="auto"/>
                <w:left w:val="none" w:sz="0" w:space="0" w:color="auto"/>
                <w:bottom w:val="none" w:sz="0" w:space="0" w:color="auto"/>
                <w:right w:val="none" w:sz="0" w:space="0" w:color="auto"/>
              </w:divBdr>
              <w:divsChild>
                <w:div w:id="170872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515411">
      <w:bodyDiv w:val="1"/>
      <w:marLeft w:val="0"/>
      <w:marRight w:val="0"/>
      <w:marTop w:val="0"/>
      <w:marBottom w:val="0"/>
      <w:divBdr>
        <w:top w:val="none" w:sz="0" w:space="0" w:color="auto"/>
        <w:left w:val="none" w:sz="0" w:space="0" w:color="auto"/>
        <w:bottom w:val="none" w:sz="0" w:space="0" w:color="auto"/>
        <w:right w:val="none" w:sz="0" w:space="0" w:color="auto"/>
      </w:divBdr>
      <w:divsChild>
        <w:div w:id="522129116">
          <w:marLeft w:val="0"/>
          <w:marRight w:val="0"/>
          <w:marTop w:val="0"/>
          <w:marBottom w:val="0"/>
          <w:divBdr>
            <w:top w:val="none" w:sz="0" w:space="0" w:color="auto"/>
            <w:left w:val="none" w:sz="0" w:space="0" w:color="auto"/>
            <w:bottom w:val="none" w:sz="0" w:space="0" w:color="auto"/>
            <w:right w:val="none" w:sz="0" w:space="0" w:color="auto"/>
          </w:divBdr>
          <w:divsChild>
            <w:div w:id="1171456388">
              <w:marLeft w:val="0"/>
              <w:marRight w:val="0"/>
              <w:marTop w:val="0"/>
              <w:marBottom w:val="0"/>
              <w:divBdr>
                <w:top w:val="none" w:sz="0" w:space="0" w:color="auto"/>
                <w:left w:val="none" w:sz="0" w:space="0" w:color="auto"/>
                <w:bottom w:val="none" w:sz="0" w:space="0" w:color="auto"/>
                <w:right w:val="none" w:sz="0" w:space="0" w:color="auto"/>
              </w:divBdr>
              <w:divsChild>
                <w:div w:id="206818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399372">
      <w:bodyDiv w:val="1"/>
      <w:marLeft w:val="0"/>
      <w:marRight w:val="0"/>
      <w:marTop w:val="0"/>
      <w:marBottom w:val="0"/>
      <w:divBdr>
        <w:top w:val="none" w:sz="0" w:space="0" w:color="auto"/>
        <w:left w:val="none" w:sz="0" w:space="0" w:color="auto"/>
        <w:bottom w:val="none" w:sz="0" w:space="0" w:color="auto"/>
        <w:right w:val="none" w:sz="0" w:space="0" w:color="auto"/>
      </w:divBdr>
    </w:div>
    <w:div w:id="885408897">
      <w:bodyDiv w:val="1"/>
      <w:marLeft w:val="0"/>
      <w:marRight w:val="0"/>
      <w:marTop w:val="0"/>
      <w:marBottom w:val="0"/>
      <w:divBdr>
        <w:top w:val="none" w:sz="0" w:space="0" w:color="auto"/>
        <w:left w:val="none" w:sz="0" w:space="0" w:color="auto"/>
        <w:bottom w:val="none" w:sz="0" w:space="0" w:color="auto"/>
        <w:right w:val="none" w:sz="0" w:space="0" w:color="auto"/>
      </w:divBdr>
      <w:divsChild>
        <w:div w:id="746466388">
          <w:marLeft w:val="0"/>
          <w:marRight w:val="0"/>
          <w:marTop w:val="0"/>
          <w:marBottom w:val="0"/>
          <w:divBdr>
            <w:top w:val="none" w:sz="0" w:space="0" w:color="auto"/>
            <w:left w:val="none" w:sz="0" w:space="0" w:color="auto"/>
            <w:bottom w:val="none" w:sz="0" w:space="0" w:color="auto"/>
            <w:right w:val="none" w:sz="0" w:space="0" w:color="auto"/>
          </w:divBdr>
          <w:divsChild>
            <w:div w:id="1979214209">
              <w:marLeft w:val="0"/>
              <w:marRight w:val="0"/>
              <w:marTop w:val="0"/>
              <w:marBottom w:val="0"/>
              <w:divBdr>
                <w:top w:val="none" w:sz="0" w:space="0" w:color="auto"/>
                <w:left w:val="none" w:sz="0" w:space="0" w:color="auto"/>
                <w:bottom w:val="none" w:sz="0" w:space="0" w:color="auto"/>
                <w:right w:val="none" w:sz="0" w:space="0" w:color="auto"/>
              </w:divBdr>
              <w:divsChild>
                <w:div w:id="48470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306256">
      <w:bodyDiv w:val="1"/>
      <w:marLeft w:val="0"/>
      <w:marRight w:val="0"/>
      <w:marTop w:val="0"/>
      <w:marBottom w:val="0"/>
      <w:divBdr>
        <w:top w:val="none" w:sz="0" w:space="0" w:color="auto"/>
        <w:left w:val="none" w:sz="0" w:space="0" w:color="auto"/>
        <w:bottom w:val="none" w:sz="0" w:space="0" w:color="auto"/>
        <w:right w:val="none" w:sz="0" w:space="0" w:color="auto"/>
      </w:divBdr>
      <w:divsChild>
        <w:div w:id="1962179758">
          <w:marLeft w:val="0"/>
          <w:marRight w:val="0"/>
          <w:marTop w:val="0"/>
          <w:marBottom w:val="0"/>
          <w:divBdr>
            <w:top w:val="none" w:sz="0" w:space="0" w:color="auto"/>
            <w:left w:val="none" w:sz="0" w:space="0" w:color="auto"/>
            <w:bottom w:val="none" w:sz="0" w:space="0" w:color="auto"/>
            <w:right w:val="none" w:sz="0" w:space="0" w:color="auto"/>
          </w:divBdr>
          <w:divsChild>
            <w:div w:id="89130584">
              <w:marLeft w:val="0"/>
              <w:marRight w:val="0"/>
              <w:marTop w:val="0"/>
              <w:marBottom w:val="0"/>
              <w:divBdr>
                <w:top w:val="none" w:sz="0" w:space="0" w:color="auto"/>
                <w:left w:val="none" w:sz="0" w:space="0" w:color="auto"/>
                <w:bottom w:val="none" w:sz="0" w:space="0" w:color="auto"/>
                <w:right w:val="none" w:sz="0" w:space="0" w:color="auto"/>
              </w:divBdr>
              <w:divsChild>
                <w:div w:id="118443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256610">
      <w:bodyDiv w:val="1"/>
      <w:marLeft w:val="0"/>
      <w:marRight w:val="0"/>
      <w:marTop w:val="0"/>
      <w:marBottom w:val="0"/>
      <w:divBdr>
        <w:top w:val="none" w:sz="0" w:space="0" w:color="auto"/>
        <w:left w:val="none" w:sz="0" w:space="0" w:color="auto"/>
        <w:bottom w:val="none" w:sz="0" w:space="0" w:color="auto"/>
        <w:right w:val="none" w:sz="0" w:space="0" w:color="auto"/>
      </w:divBdr>
      <w:divsChild>
        <w:div w:id="1684358547">
          <w:marLeft w:val="0"/>
          <w:marRight w:val="0"/>
          <w:marTop w:val="0"/>
          <w:marBottom w:val="0"/>
          <w:divBdr>
            <w:top w:val="none" w:sz="0" w:space="0" w:color="auto"/>
            <w:left w:val="none" w:sz="0" w:space="0" w:color="auto"/>
            <w:bottom w:val="none" w:sz="0" w:space="0" w:color="auto"/>
            <w:right w:val="none" w:sz="0" w:space="0" w:color="auto"/>
          </w:divBdr>
          <w:divsChild>
            <w:div w:id="1557204308">
              <w:marLeft w:val="0"/>
              <w:marRight w:val="0"/>
              <w:marTop w:val="0"/>
              <w:marBottom w:val="0"/>
              <w:divBdr>
                <w:top w:val="none" w:sz="0" w:space="0" w:color="auto"/>
                <w:left w:val="none" w:sz="0" w:space="0" w:color="auto"/>
                <w:bottom w:val="none" w:sz="0" w:space="0" w:color="auto"/>
                <w:right w:val="none" w:sz="0" w:space="0" w:color="auto"/>
              </w:divBdr>
              <w:divsChild>
                <w:div w:id="66455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752518">
      <w:bodyDiv w:val="1"/>
      <w:marLeft w:val="0"/>
      <w:marRight w:val="0"/>
      <w:marTop w:val="0"/>
      <w:marBottom w:val="0"/>
      <w:divBdr>
        <w:top w:val="none" w:sz="0" w:space="0" w:color="auto"/>
        <w:left w:val="none" w:sz="0" w:space="0" w:color="auto"/>
        <w:bottom w:val="none" w:sz="0" w:space="0" w:color="auto"/>
        <w:right w:val="none" w:sz="0" w:space="0" w:color="auto"/>
      </w:divBdr>
    </w:div>
    <w:div w:id="1059476304">
      <w:bodyDiv w:val="1"/>
      <w:marLeft w:val="0"/>
      <w:marRight w:val="0"/>
      <w:marTop w:val="0"/>
      <w:marBottom w:val="0"/>
      <w:divBdr>
        <w:top w:val="none" w:sz="0" w:space="0" w:color="auto"/>
        <w:left w:val="none" w:sz="0" w:space="0" w:color="auto"/>
        <w:bottom w:val="none" w:sz="0" w:space="0" w:color="auto"/>
        <w:right w:val="none" w:sz="0" w:space="0" w:color="auto"/>
      </w:divBdr>
      <w:divsChild>
        <w:div w:id="996880682">
          <w:marLeft w:val="0"/>
          <w:marRight w:val="0"/>
          <w:marTop w:val="0"/>
          <w:marBottom w:val="0"/>
          <w:divBdr>
            <w:top w:val="none" w:sz="0" w:space="0" w:color="auto"/>
            <w:left w:val="none" w:sz="0" w:space="0" w:color="auto"/>
            <w:bottom w:val="none" w:sz="0" w:space="0" w:color="auto"/>
            <w:right w:val="none" w:sz="0" w:space="0" w:color="auto"/>
          </w:divBdr>
          <w:divsChild>
            <w:div w:id="965042124">
              <w:marLeft w:val="0"/>
              <w:marRight w:val="0"/>
              <w:marTop w:val="0"/>
              <w:marBottom w:val="0"/>
              <w:divBdr>
                <w:top w:val="none" w:sz="0" w:space="0" w:color="auto"/>
                <w:left w:val="none" w:sz="0" w:space="0" w:color="auto"/>
                <w:bottom w:val="none" w:sz="0" w:space="0" w:color="auto"/>
                <w:right w:val="none" w:sz="0" w:space="0" w:color="auto"/>
              </w:divBdr>
              <w:divsChild>
                <w:div w:id="134991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4158">
      <w:bodyDiv w:val="1"/>
      <w:marLeft w:val="0"/>
      <w:marRight w:val="0"/>
      <w:marTop w:val="0"/>
      <w:marBottom w:val="0"/>
      <w:divBdr>
        <w:top w:val="none" w:sz="0" w:space="0" w:color="auto"/>
        <w:left w:val="none" w:sz="0" w:space="0" w:color="auto"/>
        <w:bottom w:val="none" w:sz="0" w:space="0" w:color="auto"/>
        <w:right w:val="none" w:sz="0" w:space="0" w:color="auto"/>
      </w:divBdr>
      <w:divsChild>
        <w:div w:id="1455634491">
          <w:marLeft w:val="0"/>
          <w:marRight w:val="0"/>
          <w:marTop w:val="0"/>
          <w:marBottom w:val="0"/>
          <w:divBdr>
            <w:top w:val="none" w:sz="0" w:space="0" w:color="auto"/>
            <w:left w:val="none" w:sz="0" w:space="0" w:color="auto"/>
            <w:bottom w:val="none" w:sz="0" w:space="0" w:color="auto"/>
            <w:right w:val="none" w:sz="0" w:space="0" w:color="auto"/>
          </w:divBdr>
          <w:divsChild>
            <w:div w:id="1482307443">
              <w:marLeft w:val="0"/>
              <w:marRight w:val="0"/>
              <w:marTop w:val="0"/>
              <w:marBottom w:val="0"/>
              <w:divBdr>
                <w:top w:val="none" w:sz="0" w:space="0" w:color="auto"/>
                <w:left w:val="none" w:sz="0" w:space="0" w:color="auto"/>
                <w:bottom w:val="none" w:sz="0" w:space="0" w:color="auto"/>
                <w:right w:val="none" w:sz="0" w:space="0" w:color="auto"/>
              </w:divBdr>
              <w:divsChild>
                <w:div w:id="49002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232450">
      <w:bodyDiv w:val="1"/>
      <w:marLeft w:val="0"/>
      <w:marRight w:val="0"/>
      <w:marTop w:val="0"/>
      <w:marBottom w:val="0"/>
      <w:divBdr>
        <w:top w:val="none" w:sz="0" w:space="0" w:color="auto"/>
        <w:left w:val="none" w:sz="0" w:space="0" w:color="auto"/>
        <w:bottom w:val="none" w:sz="0" w:space="0" w:color="auto"/>
        <w:right w:val="none" w:sz="0" w:space="0" w:color="auto"/>
      </w:divBdr>
    </w:div>
    <w:div w:id="1114055684">
      <w:bodyDiv w:val="1"/>
      <w:marLeft w:val="0"/>
      <w:marRight w:val="0"/>
      <w:marTop w:val="0"/>
      <w:marBottom w:val="0"/>
      <w:divBdr>
        <w:top w:val="none" w:sz="0" w:space="0" w:color="auto"/>
        <w:left w:val="none" w:sz="0" w:space="0" w:color="auto"/>
        <w:bottom w:val="none" w:sz="0" w:space="0" w:color="auto"/>
        <w:right w:val="none" w:sz="0" w:space="0" w:color="auto"/>
      </w:divBdr>
      <w:divsChild>
        <w:div w:id="583220750">
          <w:marLeft w:val="0"/>
          <w:marRight w:val="0"/>
          <w:marTop w:val="0"/>
          <w:marBottom w:val="0"/>
          <w:divBdr>
            <w:top w:val="none" w:sz="0" w:space="0" w:color="auto"/>
            <w:left w:val="none" w:sz="0" w:space="0" w:color="auto"/>
            <w:bottom w:val="none" w:sz="0" w:space="0" w:color="auto"/>
            <w:right w:val="none" w:sz="0" w:space="0" w:color="auto"/>
          </w:divBdr>
          <w:divsChild>
            <w:div w:id="1241208819">
              <w:marLeft w:val="0"/>
              <w:marRight w:val="0"/>
              <w:marTop w:val="0"/>
              <w:marBottom w:val="0"/>
              <w:divBdr>
                <w:top w:val="none" w:sz="0" w:space="0" w:color="auto"/>
                <w:left w:val="none" w:sz="0" w:space="0" w:color="auto"/>
                <w:bottom w:val="none" w:sz="0" w:space="0" w:color="auto"/>
                <w:right w:val="none" w:sz="0" w:space="0" w:color="auto"/>
              </w:divBdr>
              <w:divsChild>
                <w:div w:id="170100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069273">
      <w:bodyDiv w:val="1"/>
      <w:marLeft w:val="0"/>
      <w:marRight w:val="0"/>
      <w:marTop w:val="0"/>
      <w:marBottom w:val="0"/>
      <w:divBdr>
        <w:top w:val="none" w:sz="0" w:space="0" w:color="auto"/>
        <w:left w:val="none" w:sz="0" w:space="0" w:color="auto"/>
        <w:bottom w:val="none" w:sz="0" w:space="0" w:color="auto"/>
        <w:right w:val="none" w:sz="0" w:space="0" w:color="auto"/>
      </w:divBdr>
      <w:divsChild>
        <w:div w:id="325717151">
          <w:marLeft w:val="0"/>
          <w:marRight w:val="0"/>
          <w:marTop w:val="0"/>
          <w:marBottom w:val="0"/>
          <w:divBdr>
            <w:top w:val="none" w:sz="0" w:space="0" w:color="auto"/>
            <w:left w:val="none" w:sz="0" w:space="0" w:color="auto"/>
            <w:bottom w:val="none" w:sz="0" w:space="0" w:color="auto"/>
            <w:right w:val="none" w:sz="0" w:space="0" w:color="auto"/>
          </w:divBdr>
          <w:divsChild>
            <w:div w:id="54551696">
              <w:marLeft w:val="0"/>
              <w:marRight w:val="0"/>
              <w:marTop w:val="0"/>
              <w:marBottom w:val="0"/>
              <w:divBdr>
                <w:top w:val="none" w:sz="0" w:space="0" w:color="auto"/>
                <w:left w:val="none" w:sz="0" w:space="0" w:color="auto"/>
                <w:bottom w:val="none" w:sz="0" w:space="0" w:color="auto"/>
                <w:right w:val="none" w:sz="0" w:space="0" w:color="auto"/>
              </w:divBdr>
              <w:divsChild>
                <w:div w:id="47056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390191">
      <w:bodyDiv w:val="1"/>
      <w:marLeft w:val="0"/>
      <w:marRight w:val="0"/>
      <w:marTop w:val="0"/>
      <w:marBottom w:val="0"/>
      <w:divBdr>
        <w:top w:val="none" w:sz="0" w:space="0" w:color="auto"/>
        <w:left w:val="none" w:sz="0" w:space="0" w:color="auto"/>
        <w:bottom w:val="none" w:sz="0" w:space="0" w:color="auto"/>
        <w:right w:val="none" w:sz="0" w:space="0" w:color="auto"/>
      </w:divBdr>
      <w:divsChild>
        <w:div w:id="113528108">
          <w:marLeft w:val="0"/>
          <w:marRight w:val="0"/>
          <w:marTop w:val="0"/>
          <w:marBottom w:val="0"/>
          <w:divBdr>
            <w:top w:val="none" w:sz="0" w:space="0" w:color="auto"/>
            <w:left w:val="none" w:sz="0" w:space="0" w:color="auto"/>
            <w:bottom w:val="none" w:sz="0" w:space="0" w:color="auto"/>
            <w:right w:val="none" w:sz="0" w:space="0" w:color="auto"/>
          </w:divBdr>
          <w:divsChild>
            <w:div w:id="1883638261">
              <w:marLeft w:val="0"/>
              <w:marRight w:val="0"/>
              <w:marTop w:val="0"/>
              <w:marBottom w:val="0"/>
              <w:divBdr>
                <w:top w:val="none" w:sz="0" w:space="0" w:color="auto"/>
                <w:left w:val="none" w:sz="0" w:space="0" w:color="auto"/>
                <w:bottom w:val="none" w:sz="0" w:space="0" w:color="auto"/>
                <w:right w:val="none" w:sz="0" w:space="0" w:color="auto"/>
              </w:divBdr>
              <w:divsChild>
                <w:div w:id="106826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842515">
      <w:bodyDiv w:val="1"/>
      <w:marLeft w:val="0"/>
      <w:marRight w:val="0"/>
      <w:marTop w:val="0"/>
      <w:marBottom w:val="0"/>
      <w:divBdr>
        <w:top w:val="none" w:sz="0" w:space="0" w:color="auto"/>
        <w:left w:val="none" w:sz="0" w:space="0" w:color="auto"/>
        <w:bottom w:val="none" w:sz="0" w:space="0" w:color="auto"/>
        <w:right w:val="none" w:sz="0" w:space="0" w:color="auto"/>
      </w:divBdr>
      <w:divsChild>
        <w:div w:id="754863621">
          <w:marLeft w:val="0"/>
          <w:marRight w:val="0"/>
          <w:marTop w:val="0"/>
          <w:marBottom w:val="0"/>
          <w:divBdr>
            <w:top w:val="none" w:sz="0" w:space="0" w:color="auto"/>
            <w:left w:val="none" w:sz="0" w:space="0" w:color="auto"/>
            <w:bottom w:val="none" w:sz="0" w:space="0" w:color="auto"/>
            <w:right w:val="none" w:sz="0" w:space="0" w:color="auto"/>
          </w:divBdr>
          <w:divsChild>
            <w:div w:id="558135329">
              <w:marLeft w:val="0"/>
              <w:marRight w:val="0"/>
              <w:marTop w:val="0"/>
              <w:marBottom w:val="0"/>
              <w:divBdr>
                <w:top w:val="none" w:sz="0" w:space="0" w:color="auto"/>
                <w:left w:val="none" w:sz="0" w:space="0" w:color="auto"/>
                <w:bottom w:val="none" w:sz="0" w:space="0" w:color="auto"/>
                <w:right w:val="none" w:sz="0" w:space="0" w:color="auto"/>
              </w:divBdr>
              <w:divsChild>
                <w:div w:id="199290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309602">
      <w:bodyDiv w:val="1"/>
      <w:marLeft w:val="0"/>
      <w:marRight w:val="0"/>
      <w:marTop w:val="0"/>
      <w:marBottom w:val="0"/>
      <w:divBdr>
        <w:top w:val="none" w:sz="0" w:space="0" w:color="auto"/>
        <w:left w:val="none" w:sz="0" w:space="0" w:color="auto"/>
        <w:bottom w:val="none" w:sz="0" w:space="0" w:color="auto"/>
        <w:right w:val="none" w:sz="0" w:space="0" w:color="auto"/>
      </w:divBdr>
      <w:divsChild>
        <w:div w:id="93290353">
          <w:marLeft w:val="0"/>
          <w:marRight w:val="0"/>
          <w:marTop w:val="0"/>
          <w:marBottom w:val="0"/>
          <w:divBdr>
            <w:top w:val="none" w:sz="0" w:space="0" w:color="auto"/>
            <w:left w:val="none" w:sz="0" w:space="0" w:color="auto"/>
            <w:bottom w:val="none" w:sz="0" w:space="0" w:color="auto"/>
            <w:right w:val="none" w:sz="0" w:space="0" w:color="auto"/>
          </w:divBdr>
          <w:divsChild>
            <w:div w:id="651911191">
              <w:marLeft w:val="0"/>
              <w:marRight w:val="0"/>
              <w:marTop w:val="0"/>
              <w:marBottom w:val="0"/>
              <w:divBdr>
                <w:top w:val="none" w:sz="0" w:space="0" w:color="auto"/>
                <w:left w:val="none" w:sz="0" w:space="0" w:color="auto"/>
                <w:bottom w:val="none" w:sz="0" w:space="0" w:color="auto"/>
                <w:right w:val="none" w:sz="0" w:space="0" w:color="auto"/>
              </w:divBdr>
              <w:divsChild>
                <w:div w:id="138583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696285">
      <w:bodyDiv w:val="1"/>
      <w:marLeft w:val="0"/>
      <w:marRight w:val="0"/>
      <w:marTop w:val="0"/>
      <w:marBottom w:val="0"/>
      <w:divBdr>
        <w:top w:val="none" w:sz="0" w:space="0" w:color="auto"/>
        <w:left w:val="none" w:sz="0" w:space="0" w:color="auto"/>
        <w:bottom w:val="none" w:sz="0" w:space="0" w:color="auto"/>
        <w:right w:val="none" w:sz="0" w:space="0" w:color="auto"/>
      </w:divBdr>
      <w:divsChild>
        <w:div w:id="1497576700">
          <w:marLeft w:val="0"/>
          <w:marRight w:val="0"/>
          <w:marTop w:val="0"/>
          <w:marBottom w:val="0"/>
          <w:divBdr>
            <w:top w:val="none" w:sz="0" w:space="0" w:color="auto"/>
            <w:left w:val="none" w:sz="0" w:space="0" w:color="auto"/>
            <w:bottom w:val="none" w:sz="0" w:space="0" w:color="auto"/>
            <w:right w:val="none" w:sz="0" w:space="0" w:color="auto"/>
          </w:divBdr>
          <w:divsChild>
            <w:div w:id="88045539">
              <w:marLeft w:val="0"/>
              <w:marRight w:val="0"/>
              <w:marTop w:val="0"/>
              <w:marBottom w:val="0"/>
              <w:divBdr>
                <w:top w:val="none" w:sz="0" w:space="0" w:color="auto"/>
                <w:left w:val="none" w:sz="0" w:space="0" w:color="auto"/>
                <w:bottom w:val="none" w:sz="0" w:space="0" w:color="auto"/>
                <w:right w:val="none" w:sz="0" w:space="0" w:color="auto"/>
              </w:divBdr>
              <w:divsChild>
                <w:div w:id="52455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259333">
      <w:bodyDiv w:val="1"/>
      <w:marLeft w:val="0"/>
      <w:marRight w:val="0"/>
      <w:marTop w:val="0"/>
      <w:marBottom w:val="0"/>
      <w:divBdr>
        <w:top w:val="none" w:sz="0" w:space="0" w:color="auto"/>
        <w:left w:val="none" w:sz="0" w:space="0" w:color="auto"/>
        <w:bottom w:val="none" w:sz="0" w:space="0" w:color="auto"/>
        <w:right w:val="none" w:sz="0" w:space="0" w:color="auto"/>
      </w:divBdr>
      <w:divsChild>
        <w:div w:id="1318799454">
          <w:marLeft w:val="0"/>
          <w:marRight w:val="0"/>
          <w:marTop w:val="0"/>
          <w:marBottom w:val="0"/>
          <w:divBdr>
            <w:top w:val="none" w:sz="0" w:space="0" w:color="auto"/>
            <w:left w:val="none" w:sz="0" w:space="0" w:color="auto"/>
            <w:bottom w:val="none" w:sz="0" w:space="0" w:color="auto"/>
            <w:right w:val="none" w:sz="0" w:space="0" w:color="auto"/>
          </w:divBdr>
          <w:divsChild>
            <w:div w:id="818110026">
              <w:marLeft w:val="0"/>
              <w:marRight w:val="0"/>
              <w:marTop w:val="0"/>
              <w:marBottom w:val="0"/>
              <w:divBdr>
                <w:top w:val="none" w:sz="0" w:space="0" w:color="auto"/>
                <w:left w:val="none" w:sz="0" w:space="0" w:color="auto"/>
                <w:bottom w:val="none" w:sz="0" w:space="0" w:color="auto"/>
                <w:right w:val="none" w:sz="0" w:space="0" w:color="auto"/>
              </w:divBdr>
              <w:divsChild>
                <w:div w:id="1183284854">
                  <w:marLeft w:val="0"/>
                  <w:marRight w:val="0"/>
                  <w:marTop w:val="0"/>
                  <w:marBottom w:val="0"/>
                  <w:divBdr>
                    <w:top w:val="none" w:sz="0" w:space="0" w:color="auto"/>
                    <w:left w:val="none" w:sz="0" w:space="0" w:color="auto"/>
                    <w:bottom w:val="none" w:sz="0" w:space="0" w:color="auto"/>
                    <w:right w:val="none" w:sz="0" w:space="0" w:color="auto"/>
                  </w:divBdr>
                  <w:divsChild>
                    <w:div w:id="75012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893039">
      <w:bodyDiv w:val="1"/>
      <w:marLeft w:val="0"/>
      <w:marRight w:val="0"/>
      <w:marTop w:val="0"/>
      <w:marBottom w:val="0"/>
      <w:divBdr>
        <w:top w:val="none" w:sz="0" w:space="0" w:color="auto"/>
        <w:left w:val="none" w:sz="0" w:space="0" w:color="auto"/>
        <w:bottom w:val="none" w:sz="0" w:space="0" w:color="auto"/>
        <w:right w:val="none" w:sz="0" w:space="0" w:color="auto"/>
      </w:divBdr>
      <w:divsChild>
        <w:div w:id="1674257092">
          <w:marLeft w:val="0"/>
          <w:marRight w:val="0"/>
          <w:marTop w:val="0"/>
          <w:marBottom w:val="0"/>
          <w:divBdr>
            <w:top w:val="none" w:sz="0" w:space="0" w:color="auto"/>
            <w:left w:val="none" w:sz="0" w:space="0" w:color="auto"/>
            <w:bottom w:val="none" w:sz="0" w:space="0" w:color="auto"/>
            <w:right w:val="none" w:sz="0" w:space="0" w:color="auto"/>
          </w:divBdr>
          <w:divsChild>
            <w:div w:id="811676244">
              <w:marLeft w:val="0"/>
              <w:marRight w:val="0"/>
              <w:marTop w:val="0"/>
              <w:marBottom w:val="0"/>
              <w:divBdr>
                <w:top w:val="none" w:sz="0" w:space="0" w:color="auto"/>
                <w:left w:val="none" w:sz="0" w:space="0" w:color="auto"/>
                <w:bottom w:val="none" w:sz="0" w:space="0" w:color="auto"/>
                <w:right w:val="none" w:sz="0" w:space="0" w:color="auto"/>
              </w:divBdr>
              <w:divsChild>
                <w:div w:id="1400398459">
                  <w:marLeft w:val="0"/>
                  <w:marRight w:val="0"/>
                  <w:marTop w:val="0"/>
                  <w:marBottom w:val="0"/>
                  <w:divBdr>
                    <w:top w:val="none" w:sz="0" w:space="0" w:color="auto"/>
                    <w:left w:val="none" w:sz="0" w:space="0" w:color="auto"/>
                    <w:bottom w:val="none" w:sz="0" w:space="0" w:color="auto"/>
                    <w:right w:val="none" w:sz="0" w:space="0" w:color="auto"/>
                  </w:divBdr>
                  <w:divsChild>
                    <w:div w:id="48516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5666436">
      <w:bodyDiv w:val="1"/>
      <w:marLeft w:val="0"/>
      <w:marRight w:val="0"/>
      <w:marTop w:val="0"/>
      <w:marBottom w:val="0"/>
      <w:divBdr>
        <w:top w:val="none" w:sz="0" w:space="0" w:color="auto"/>
        <w:left w:val="none" w:sz="0" w:space="0" w:color="auto"/>
        <w:bottom w:val="none" w:sz="0" w:space="0" w:color="auto"/>
        <w:right w:val="none" w:sz="0" w:space="0" w:color="auto"/>
      </w:divBdr>
      <w:divsChild>
        <w:div w:id="1781800871">
          <w:marLeft w:val="0"/>
          <w:marRight w:val="0"/>
          <w:marTop w:val="0"/>
          <w:marBottom w:val="0"/>
          <w:divBdr>
            <w:top w:val="none" w:sz="0" w:space="0" w:color="auto"/>
            <w:left w:val="none" w:sz="0" w:space="0" w:color="auto"/>
            <w:bottom w:val="none" w:sz="0" w:space="0" w:color="auto"/>
            <w:right w:val="none" w:sz="0" w:space="0" w:color="auto"/>
          </w:divBdr>
          <w:divsChild>
            <w:div w:id="50346217">
              <w:marLeft w:val="0"/>
              <w:marRight w:val="0"/>
              <w:marTop w:val="0"/>
              <w:marBottom w:val="0"/>
              <w:divBdr>
                <w:top w:val="none" w:sz="0" w:space="0" w:color="auto"/>
                <w:left w:val="none" w:sz="0" w:space="0" w:color="auto"/>
                <w:bottom w:val="none" w:sz="0" w:space="0" w:color="auto"/>
                <w:right w:val="none" w:sz="0" w:space="0" w:color="auto"/>
              </w:divBdr>
              <w:divsChild>
                <w:div w:id="1702053759">
                  <w:marLeft w:val="0"/>
                  <w:marRight w:val="0"/>
                  <w:marTop w:val="0"/>
                  <w:marBottom w:val="0"/>
                  <w:divBdr>
                    <w:top w:val="none" w:sz="0" w:space="0" w:color="auto"/>
                    <w:left w:val="none" w:sz="0" w:space="0" w:color="auto"/>
                    <w:bottom w:val="none" w:sz="0" w:space="0" w:color="auto"/>
                    <w:right w:val="none" w:sz="0" w:space="0" w:color="auto"/>
                  </w:divBdr>
                </w:div>
                <w:div w:id="1878422132">
                  <w:marLeft w:val="0"/>
                  <w:marRight w:val="0"/>
                  <w:marTop w:val="0"/>
                  <w:marBottom w:val="0"/>
                  <w:divBdr>
                    <w:top w:val="none" w:sz="0" w:space="0" w:color="auto"/>
                    <w:left w:val="none" w:sz="0" w:space="0" w:color="auto"/>
                    <w:bottom w:val="none" w:sz="0" w:space="0" w:color="auto"/>
                    <w:right w:val="none" w:sz="0" w:space="0" w:color="auto"/>
                  </w:divBdr>
                </w:div>
              </w:divsChild>
            </w:div>
            <w:div w:id="430703139">
              <w:marLeft w:val="0"/>
              <w:marRight w:val="0"/>
              <w:marTop w:val="0"/>
              <w:marBottom w:val="0"/>
              <w:divBdr>
                <w:top w:val="none" w:sz="0" w:space="0" w:color="auto"/>
                <w:left w:val="none" w:sz="0" w:space="0" w:color="auto"/>
                <w:bottom w:val="none" w:sz="0" w:space="0" w:color="auto"/>
                <w:right w:val="none" w:sz="0" w:space="0" w:color="auto"/>
              </w:divBdr>
              <w:divsChild>
                <w:div w:id="97887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310964">
      <w:bodyDiv w:val="1"/>
      <w:marLeft w:val="0"/>
      <w:marRight w:val="0"/>
      <w:marTop w:val="0"/>
      <w:marBottom w:val="0"/>
      <w:divBdr>
        <w:top w:val="none" w:sz="0" w:space="0" w:color="auto"/>
        <w:left w:val="none" w:sz="0" w:space="0" w:color="auto"/>
        <w:bottom w:val="none" w:sz="0" w:space="0" w:color="auto"/>
        <w:right w:val="none" w:sz="0" w:space="0" w:color="auto"/>
      </w:divBdr>
    </w:div>
    <w:div w:id="1497570899">
      <w:bodyDiv w:val="1"/>
      <w:marLeft w:val="0"/>
      <w:marRight w:val="0"/>
      <w:marTop w:val="0"/>
      <w:marBottom w:val="0"/>
      <w:divBdr>
        <w:top w:val="none" w:sz="0" w:space="0" w:color="auto"/>
        <w:left w:val="none" w:sz="0" w:space="0" w:color="auto"/>
        <w:bottom w:val="none" w:sz="0" w:space="0" w:color="auto"/>
        <w:right w:val="none" w:sz="0" w:space="0" w:color="auto"/>
      </w:divBdr>
      <w:divsChild>
        <w:div w:id="894510732">
          <w:marLeft w:val="0"/>
          <w:marRight w:val="0"/>
          <w:marTop w:val="0"/>
          <w:marBottom w:val="0"/>
          <w:divBdr>
            <w:top w:val="none" w:sz="0" w:space="0" w:color="auto"/>
            <w:left w:val="none" w:sz="0" w:space="0" w:color="auto"/>
            <w:bottom w:val="none" w:sz="0" w:space="0" w:color="auto"/>
            <w:right w:val="none" w:sz="0" w:space="0" w:color="auto"/>
          </w:divBdr>
          <w:divsChild>
            <w:div w:id="652486910">
              <w:marLeft w:val="0"/>
              <w:marRight w:val="0"/>
              <w:marTop w:val="0"/>
              <w:marBottom w:val="0"/>
              <w:divBdr>
                <w:top w:val="none" w:sz="0" w:space="0" w:color="auto"/>
                <w:left w:val="none" w:sz="0" w:space="0" w:color="auto"/>
                <w:bottom w:val="none" w:sz="0" w:space="0" w:color="auto"/>
                <w:right w:val="none" w:sz="0" w:space="0" w:color="auto"/>
              </w:divBdr>
              <w:divsChild>
                <w:div w:id="95679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645895">
      <w:bodyDiv w:val="1"/>
      <w:marLeft w:val="0"/>
      <w:marRight w:val="0"/>
      <w:marTop w:val="0"/>
      <w:marBottom w:val="0"/>
      <w:divBdr>
        <w:top w:val="none" w:sz="0" w:space="0" w:color="auto"/>
        <w:left w:val="none" w:sz="0" w:space="0" w:color="auto"/>
        <w:bottom w:val="none" w:sz="0" w:space="0" w:color="auto"/>
        <w:right w:val="none" w:sz="0" w:space="0" w:color="auto"/>
      </w:divBdr>
      <w:divsChild>
        <w:div w:id="270356167">
          <w:marLeft w:val="0"/>
          <w:marRight w:val="0"/>
          <w:marTop w:val="0"/>
          <w:marBottom w:val="0"/>
          <w:divBdr>
            <w:top w:val="none" w:sz="0" w:space="0" w:color="auto"/>
            <w:left w:val="none" w:sz="0" w:space="0" w:color="auto"/>
            <w:bottom w:val="none" w:sz="0" w:space="0" w:color="auto"/>
            <w:right w:val="none" w:sz="0" w:space="0" w:color="auto"/>
          </w:divBdr>
          <w:divsChild>
            <w:div w:id="234359275">
              <w:marLeft w:val="0"/>
              <w:marRight w:val="0"/>
              <w:marTop w:val="0"/>
              <w:marBottom w:val="0"/>
              <w:divBdr>
                <w:top w:val="none" w:sz="0" w:space="0" w:color="auto"/>
                <w:left w:val="none" w:sz="0" w:space="0" w:color="auto"/>
                <w:bottom w:val="none" w:sz="0" w:space="0" w:color="auto"/>
                <w:right w:val="none" w:sz="0" w:space="0" w:color="auto"/>
              </w:divBdr>
              <w:divsChild>
                <w:div w:id="149580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783260">
      <w:bodyDiv w:val="1"/>
      <w:marLeft w:val="0"/>
      <w:marRight w:val="0"/>
      <w:marTop w:val="0"/>
      <w:marBottom w:val="0"/>
      <w:divBdr>
        <w:top w:val="none" w:sz="0" w:space="0" w:color="auto"/>
        <w:left w:val="none" w:sz="0" w:space="0" w:color="auto"/>
        <w:bottom w:val="none" w:sz="0" w:space="0" w:color="auto"/>
        <w:right w:val="none" w:sz="0" w:space="0" w:color="auto"/>
      </w:divBdr>
      <w:divsChild>
        <w:div w:id="358313610">
          <w:marLeft w:val="0"/>
          <w:marRight w:val="0"/>
          <w:marTop w:val="0"/>
          <w:marBottom w:val="0"/>
          <w:divBdr>
            <w:top w:val="none" w:sz="0" w:space="0" w:color="auto"/>
            <w:left w:val="none" w:sz="0" w:space="0" w:color="auto"/>
            <w:bottom w:val="none" w:sz="0" w:space="0" w:color="auto"/>
            <w:right w:val="none" w:sz="0" w:space="0" w:color="auto"/>
          </w:divBdr>
          <w:divsChild>
            <w:div w:id="1902016698">
              <w:marLeft w:val="0"/>
              <w:marRight w:val="0"/>
              <w:marTop w:val="0"/>
              <w:marBottom w:val="0"/>
              <w:divBdr>
                <w:top w:val="none" w:sz="0" w:space="0" w:color="auto"/>
                <w:left w:val="none" w:sz="0" w:space="0" w:color="auto"/>
                <w:bottom w:val="none" w:sz="0" w:space="0" w:color="auto"/>
                <w:right w:val="none" w:sz="0" w:space="0" w:color="auto"/>
              </w:divBdr>
              <w:divsChild>
                <w:div w:id="173299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886799">
      <w:bodyDiv w:val="1"/>
      <w:marLeft w:val="0"/>
      <w:marRight w:val="0"/>
      <w:marTop w:val="0"/>
      <w:marBottom w:val="0"/>
      <w:divBdr>
        <w:top w:val="none" w:sz="0" w:space="0" w:color="auto"/>
        <w:left w:val="none" w:sz="0" w:space="0" w:color="auto"/>
        <w:bottom w:val="none" w:sz="0" w:space="0" w:color="auto"/>
        <w:right w:val="none" w:sz="0" w:space="0" w:color="auto"/>
      </w:divBdr>
      <w:divsChild>
        <w:div w:id="1766729690">
          <w:marLeft w:val="0"/>
          <w:marRight w:val="0"/>
          <w:marTop w:val="0"/>
          <w:marBottom w:val="0"/>
          <w:divBdr>
            <w:top w:val="none" w:sz="0" w:space="0" w:color="auto"/>
            <w:left w:val="none" w:sz="0" w:space="0" w:color="auto"/>
            <w:bottom w:val="none" w:sz="0" w:space="0" w:color="auto"/>
            <w:right w:val="none" w:sz="0" w:space="0" w:color="auto"/>
          </w:divBdr>
          <w:divsChild>
            <w:div w:id="716783490">
              <w:marLeft w:val="0"/>
              <w:marRight w:val="0"/>
              <w:marTop w:val="0"/>
              <w:marBottom w:val="0"/>
              <w:divBdr>
                <w:top w:val="none" w:sz="0" w:space="0" w:color="auto"/>
                <w:left w:val="none" w:sz="0" w:space="0" w:color="auto"/>
                <w:bottom w:val="none" w:sz="0" w:space="0" w:color="auto"/>
                <w:right w:val="none" w:sz="0" w:space="0" w:color="auto"/>
              </w:divBdr>
              <w:divsChild>
                <w:div w:id="122264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076432">
      <w:bodyDiv w:val="1"/>
      <w:marLeft w:val="0"/>
      <w:marRight w:val="0"/>
      <w:marTop w:val="0"/>
      <w:marBottom w:val="0"/>
      <w:divBdr>
        <w:top w:val="none" w:sz="0" w:space="0" w:color="auto"/>
        <w:left w:val="none" w:sz="0" w:space="0" w:color="auto"/>
        <w:bottom w:val="none" w:sz="0" w:space="0" w:color="auto"/>
        <w:right w:val="none" w:sz="0" w:space="0" w:color="auto"/>
      </w:divBdr>
      <w:divsChild>
        <w:div w:id="848450595">
          <w:marLeft w:val="0"/>
          <w:marRight w:val="0"/>
          <w:marTop w:val="0"/>
          <w:marBottom w:val="0"/>
          <w:divBdr>
            <w:top w:val="none" w:sz="0" w:space="0" w:color="auto"/>
            <w:left w:val="none" w:sz="0" w:space="0" w:color="auto"/>
            <w:bottom w:val="none" w:sz="0" w:space="0" w:color="auto"/>
            <w:right w:val="none" w:sz="0" w:space="0" w:color="auto"/>
          </w:divBdr>
          <w:divsChild>
            <w:div w:id="171990024">
              <w:marLeft w:val="0"/>
              <w:marRight w:val="0"/>
              <w:marTop w:val="0"/>
              <w:marBottom w:val="0"/>
              <w:divBdr>
                <w:top w:val="none" w:sz="0" w:space="0" w:color="auto"/>
                <w:left w:val="none" w:sz="0" w:space="0" w:color="auto"/>
                <w:bottom w:val="none" w:sz="0" w:space="0" w:color="auto"/>
                <w:right w:val="none" w:sz="0" w:space="0" w:color="auto"/>
              </w:divBdr>
              <w:divsChild>
                <w:div w:id="80527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749275">
      <w:bodyDiv w:val="1"/>
      <w:marLeft w:val="0"/>
      <w:marRight w:val="0"/>
      <w:marTop w:val="0"/>
      <w:marBottom w:val="0"/>
      <w:divBdr>
        <w:top w:val="none" w:sz="0" w:space="0" w:color="auto"/>
        <w:left w:val="none" w:sz="0" w:space="0" w:color="auto"/>
        <w:bottom w:val="none" w:sz="0" w:space="0" w:color="auto"/>
        <w:right w:val="none" w:sz="0" w:space="0" w:color="auto"/>
      </w:divBdr>
      <w:divsChild>
        <w:div w:id="244537426">
          <w:marLeft w:val="0"/>
          <w:marRight w:val="0"/>
          <w:marTop w:val="0"/>
          <w:marBottom w:val="0"/>
          <w:divBdr>
            <w:top w:val="none" w:sz="0" w:space="0" w:color="auto"/>
            <w:left w:val="none" w:sz="0" w:space="0" w:color="auto"/>
            <w:bottom w:val="none" w:sz="0" w:space="0" w:color="auto"/>
            <w:right w:val="none" w:sz="0" w:space="0" w:color="auto"/>
          </w:divBdr>
          <w:divsChild>
            <w:div w:id="901331906">
              <w:marLeft w:val="0"/>
              <w:marRight w:val="0"/>
              <w:marTop w:val="0"/>
              <w:marBottom w:val="0"/>
              <w:divBdr>
                <w:top w:val="none" w:sz="0" w:space="0" w:color="auto"/>
                <w:left w:val="none" w:sz="0" w:space="0" w:color="auto"/>
                <w:bottom w:val="none" w:sz="0" w:space="0" w:color="auto"/>
                <w:right w:val="none" w:sz="0" w:space="0" w:color="auto"/>
              </w:divBdr>
              <w:divsChild>
                <w:div w:id="53696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298468">
      <w:bodyDiv w:val="1"/>
      <w:marLeft w:val="0"/>
      <w:marRight w:val="0"/>
      <w:marTop w:val="0"/>
      <w:marBottom w:val="0"/>
      <w:divBdr>
        <w:top w:val="none" w:sz="0" w:space="0" w:color="auto"/>
        <w:left w:val="none" w:sz="0" w:space="0" w:color="auto"/>
        <w:bottom w:val="none" w:sz="0" w:space="0" w:color="auto"/>
        <w:right w:val="none" w:sz="0" w:space="0" w:color="auto"/>
      </w:divBdr>
      <w:divsChild>
        <w:div w:id="2124375657">
          <w:marLeft w:val="0"/>
          <w:marRight w:val="0"/>
          <w:marTop w:val="0"/>
          <w:marBottom w:val="0"/>
          <w:divBdr>
            <w:top w:val="none" w:sz="0" w:space="0" w:color="auto"/>
            <w:left w:val="none" w:sz="0" w:space="0" w:color="auto"/>
            <w:bottom w:val="none" w:sz="0" w:space="0" w:color="auto"/>
            <w:right w:val="none" w:sz="0" w:space="0" w:color="auto"/>
          </w:divBdr>
          <w:divsChild>
            <w:div w:id="1079791635">
              <w:marLeft w:val="0"/>
              <w:marRight w:val="0"/>
              <w:marTop w:val="0"/>
              <w:marBottom w:val="0"/>
              <w:divBdr>
                <w:top w:val="none" w:sz="0" w:space="0" w:color="auto"/>
                <w:left w:val="none" w:sz="0" w:space="0" w:color="auto"/>
                <w:bottom w:val="none" w:sz="0" w:space="0" w:color="auto"/>
                <w:right w:val="none" w:sz="0" w:space="0" w:color="auto"/>
              </w:divBdr>
              <w:divsChild>
                <w:div w:id="92723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852396">
      <w:bodyDiv w:val="1"/>
      <w:marLeft w:val="0"/>
      <w:marRight w:val="0"/>
      <w:marTop w:val="0"/>
      <w:marBottom w:val="0"/>
      <w:divBdr>
        <w:top w:val="none" w:sz="0" w:space="0" w:color="auto"/>
        <w:left w:val="none" w:sz="0" w:space="0" w:color="auto"/>
        <w:bottom w:val="none" w:sz="0" w:space="0" w:color="auto"/>
        <w:right w:val="none" w:sz="0" w:space="0" w:color="auto"/>
      </w:divBdr>
      <w:divsChild>
        <w:div w:id="1933927587">
          <w:marLeft w:val="0"/>
          <w:marRight w:val="0"/>
          <w:marTop w:val="0"/>
          <w:marBottom w:val="0"/>
          <w:divBdr>
            <w:top w:val="none" w:sz="0" w:space="0" w:color="auto"/>
            <w:left w:val="none" w:sz="0" w:space="0" w:color="auto"/>
            <w:bottom w:val="none" w:sz="0" w:space="0" w:color="auto"/>
            <w:right w:val="none" w:sz="0" w:space="0" w:color="auto"/>
          </w:divBdr>
          <w:divsChild>
            <w:div w:id="888110632">
              <w:marLeft w:val="0"/>
              <w:marRight w:val="0"/>
              <w:marTop w:val="0"/>
              <w:marBottom w:val="0"/>
              <w:divBdr>
                <w:top w:val="none" w:sz="0" w:space="0" w:color="auto"/>
                <w:left w:val="none" w:sz="0" w:space="0" w:color="auto"/>
                <w:bottom w:val="none" w:sz="0" w:space="0" w:color="auto"/>
                <w:right w:val="none" w:sz="0" w:space="0" w:color="auto"/>
              </w:divBdr>
              <w:divsChild>
                <w:div w:id="62870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465962">
      <w:bodyDiv w:val="1"/>
      <w:marLeft w:val="0"/>
      <w:marRight w:val="0"/>
      <w:marTop w:val="0"/>
      <w:marBottom w:val="0"/>
      <w:divBdr>
        <w:top w:val="none" w:sz="0" w:space="0" w:color="auto"/>
        <w:left w:val="none" w:sz="0" w:space="0" w:color="auto"/>
        <w:bottom w:val="none" w:sz="0" w:space="0" w:color="auto"/>
        <w:right w:val="none" w:sz="0" w:space="0" w:color="auto"/>
      </w:divBdr>
      <w:divsChild>
        <w:div w:id="1545094578">
          <w:marLeft w:val="0"/>
          <w:marRight w:val="0"/>
          <w:marTop w:val="0"/>
          <w:marBottom w:val="0"/>
          <w:divBdr>
            <w:top w:val="none" w:sz="0" w:space="0" w:color="auto"/>
            <w:left w:val="none" w:sz="0" w:space="0" w:color="auto"/>
            <w:bottom w:val="none" w:sz="0" w:space="0" w:color="auto"/>
            <w:right w:val="none" w:sz="0" w:space="0" w:color="auto"/>
          </w:divBdr>
          <w:divsChild>
            <w:div w:id="979336350">
              <w:marLeft w:val="0"/>
              <w:marRight w:val="0"/>
              <w:marTop w:val="0"/>
              <w:marBottom w:val="0"/>
              <w:divBdr>
                <w:top w:val="none" w:sz="0" w:space="0" w:color="auto"/>
                <w:left w:val="none" w:sz="0" w:space="0" w:color="auto"/>
                <w:bottom w:val="none" w:sz="0" w:space="0" w:color="auto"/>
                <w:right w:val="none" w:sz="0" w:space="0" w:color="auto"/>
              </w:divBdr>
              <w:divsChild>
                <w:div w:id="103261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546516">
      <w:bodyDiv w:val="1"/>
      <w:marLeft w:val="0"/>
      <w:marRight w:val="0"/>
      <w:marTop w:val="0"/>
      <w:marBottom w:val="0"/>
      <w:divBdr>
        <w:top w:val="none" w:sz="0" w:space="0" w:color="auto"/>
        <w:left w:val="none" w:sz="0" w:space="0" w:color="auto"/>
        <w:bottom w:val="none" w:sz="0" w:space="0" w:color="auto"/>
        <w:right w:val="none" w:sz="0" w:space="0" w:color="auto"/>
      </w:divBdr>
    </w:div>
    <w:div w:id="1784879014">
      <w:bodyDiv w:val="1"/>
      <w:marLeft w:val="0"/>
      <w:marRight w:val="0"/>
      <w:marTop w:val="0"/>
      <w:marBottom w:val="0"/>
      <w:divBdr>
        <w:top w:val="none" w:sz="0" w:space="0" w:color="auto"/>
        <w:left w:val="none" w:sz="0" w:space="0" w:color="auto"/>
        <w:bottom w:val="none" w:sz="0" w:space="0" w:color="auto"/>
        <w:right w:val="none" w:sz="0" w:space="0" w:color="auto"/>
      </w:divBdr>
      <w:divsChild>
        <w:div w:id="1904413940">
          <w:marLeft w:val="0"/>
          <w:marRight w:val="0"/>
          <w:marTop w:val="0"/>
          <w:marBottom w:val="0"/>
          <w:divBdr>
            <w:top w:val="none" w:sz="0" w:space="0" w:color="auto"/>
            <w:left w:val="none" w:sz="0" w:space="0" w:color="auto"/>
            <w:bottom w:val="none" w:sz="0" w:space="0" w:color="auto"/>
            <w:right w:val="none" w:sz="0" w:space="0" w:color="auto"/>
          </w:divBdr>
          <w:divsChild>
            <w:div w:id="2065442808">
              <w:marLeft w:val="0"/>
              <w:marRight w:val="0"/>
              <w:marTop w:val="0"/>
              <w:marBottom w:val="0"/>
              <w:divBdr>
                <w:top w:val="none" w:sz="0" w:space="0" w:color="auto"/>
                <w:left w:val="none" w:sz="0" w:space="0" w:color="auto"/>
                <w:bottom w:val="none" w:sz="0" w:space="0" w:color="auto"/>
                <w:right w:val="none" w:sz="0" w:space="0" w:color="auto"/>
              </w:divBdr>
              <w:divsChild>
                <w:div w:id="127671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403613">
      <w:bodyDiv w:val="1"/>
      <w:marLeft w:val="0"/>
      <w:marRight w:val="0"/>
      <w:marTop w:val="0"/>
      <w:marBottom w:val="0"/>
      <w:divBdr>
        <w:top w:val="none" w:sz="0" w:space="0" w:color="auto"/>
        <w:left w:val="none" w:sz="0" w:space="0" w:color="auto"/>
        <w:bottom w:val="none" w:sz="0" w:space="0" w:color="auto"/>
        <w:right w:val="none" w:sz="0" w:space="0" w:color="auto"/>
      </w:divBdr>
      <w:divsChild>
        <w:div w:id="127940828">
          <w:marLeft w:val="0"/>
          <w:marRight w:val="0"/>
          <w:marTop w:val="0"/>
          <w:marBottom w:val="0"/>
          <w:divBdr>
            <w:top w:val="none" w:sz="0" w:space="0" w:color="auto"/>
            <w:left w:val="none" w:sz="0" w:space="0" w:color="auto"/>
            <w:bottom w:val="none" w:sz="0" w:space="0" w:color="auto"/>
            <w:right w:val="none" w:sz="0" w:space="0" w:color="auto"/>
          </w:divBdr>
          <w:divsChild>
            <w:div w:id="1368023938">
              <w:marLeft w:val="0"/>
              <w:marRight w:val="0"/>
              <w:marTop w:val="0"/>
              <w:marBottom w:val="0"/>
              <w:divBdr>
                <w:top w:val="none" w:sz="0" w:space="0" w:color="auto"/>
                <w:left w:val="none" w:sz="0" w:space="0" w:color="auto"/>
                <w:bottom w:val="none" w:sz="0" w:space="0" w:color="auto"/>
                <w:right w:val="none" w:sz="0" w:space="0" w:color="auto"/>
              </w:divBdr>
              <w:divsChild>
                <w:div w:id="123142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309469">
      <w:bodyDiv w:val="1"/>
      <w:marLeft w:val="0"/>
      <w:marRight w:val="0"/>
      <w:marTop w:val="0"/>
      <w:marBottom w:val="0"/>
      <w:divBdr>
        <w:top w:val="none" w:sz="0" w:space="0" w:color="auto"/>
        <w:left w:val="none" w:sz="0" w:space="0" w:color="auto"/>
        <w:bottom w:val="none" w:sz="0" w:space="0" w:color="auto"/>
        <w:right w:val="none" w:sz="0" w:space="0" w:color="auto"/>
      </w:divBdr>
      <w:divsChild>
        <w:div w:id="1951551840">
          <w:marLeft w:val="0"/>
          <w:marRight w:val="0"/>
          <w:marTop w:val="0"/>
          <w:marBottom w:val="0"/>
          <w:divBdr>
            <w:top w:val="none" w:sz="0" w:space="0" w:color="auto"/>
            <w:left w:val="none" w:sz="0" w:space="0" w:color="auto"/>
            <w:bottom w:val="none" w:sz="0" w:space="0" w:color="auto"/>
            <w:right w:val="none" w:sz="0" w:space="0" w:color="auto"/>
          </w:divBdr>
          <w:divsChild>
            <w:div w:id="311760423">
              <w:marLeft w:val="0"/>
              <w:marRight w:val="0"/>
              <w:marTop w:val="0"/>
              <w:marBottom w:val="0"/>
              <w:divBdr>
                <w:top w:val="none" w:sz="0" w:space="0" w:color="auto"/>
                <w:left w:val="none" w:sz="0" w:space="0" w:color="auto"/>
                <w:bottom w:val="none" w:sz="0" w:space="0" w:color="auto"/>
                <w:right w:val="none" w:sz="0" w:space="0" w:color="auto"/>
              </w:divBdr>
              <w:divsChild>
                <w:div w:id="1047412641">
                  <w:marLeft w:val="0"/>
                  <w:marRight w:val="0"/>
                  <w:marTop w:val="0"/>
                  <w:marBottom w:val="0"/>
                  <w:divBdr>
                    <w:top w:val="none" w:sz="0" w:space="0" w:color="auto"/>
                    <w:left w:val="none" w:sz="0" w:space="0" w:color="auto"/>
                    <w:bottom w:val="none" w:sz="0" w:space="0" w:color="auto"/>
                    <w:right w:val="none" w:sz="0" w:space="0" w:color="auto"/>
                  </w:divBdr>
                  <w:divsChild>
                    <w:div w:id="141971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688312">
      <w:bodyDiv w:val="1"/>
      <w:marLeft w:val="0"/>
      <w:marRight w:val="0"/>
      <w:marTop w:val="0"/>
      <w:marBottom w:val="0"/>
      <w:divBdr>
        <w:top w:val="none" w:sz="0" w:space="0" w:color="auto"/>
        <w:left w:val="none" w:sz="0" w:space="0" w:color="auto"/>
        <w:bottom w:val="none" w:sz="0" w:space="0" w:color="auto"/>
        <w:right w:val="none" w:sz="0" w:space="0" w:color="auto"/>
      </w:divBdr>
      <w:divsChild>
        <w:div w:id="25061446">
          <w:marLeft w:val="0"/>
          <w:marRight w:val="0"/>
          <w:marTop w:val="0"/>
          <w:marBottom w:val="0"/>
          <w:divBdr>
            <w:top w:val="none" w:sz="0" w:space="0" w:color="auto"/>
            <w:left w:val="none" w:sz="0" w:space="0" w:color="auto"/>
            <w:bottom w:val="none" w:sz="0" w:space="0" w:color="auto"/>
            <w:right w:val="none" w:sz="0" w:space="0" w:color="auto"/>
          </w:divBdr>
          <w:divsChild>
            <w:div w:id="614870293">
              <w:marLeft w:val="0"/>
              <w:marRight w:val="0"/>
              <w:marTop w:val="0"/>
              <w:marBottom w:val="0"/>
              <w:divBdr>
                <w:top w:val="none" w:sz="0" w:space="0" w:color="auto"/>
                <w:left w:val="none" w:sz="0" w:space="0" w:color="auto"/>
                <w:bottom w:val="none" w:sz="0" w:space="0" w:color="auto"/>
                <w:right w:val="none" w:sz="0" w:space="0" w:color="auto"/>
              </w:divBdr>
              <w:divsChild>
                <w:div w:id="64331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1024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1.tce.pr.gov.br/multimidia/2024/3/pdf/00382974.pdf" TargetMode="External"/><Relationship Id="rId18" Type="http://schemas.openxmlformats.org/officeDocument/2006/relationships/hyperlink" Target="http://www1.tce.pr.gov.br/conteudo/boletim-informativo-de-jurisprudencia/280400/area/249" TargetMode="External"/><Relationship Id="rId3" Type="http://schemas.openxmlformats.org/officeDocument/2006/relationships/customXml" Target="../customXml/item3.xml"/><Relationship Id="rId21" Type="http://schemas.openxmlformats.org/officeDocument/2006/relationships/hyperlink" Target="http://www1.tce.pr.gov.br/conteudo/sumulas-selecionadas/316602/area/249" TargetMode="External"/><Relationship Id="rId7" Type="http://schemas.openxmlformats.org/officeDocument/2006/relationships/styles" Target="styles.xml"/><Relationship Id="rId12" Type="http://schemas.openxmlformats.org/officeDocument/2006/relationships/hyperlink" Target="https://contas.tcu.gov.br/sagas/SvlVisualizarRelVotoAcRtf?codFiltro=SAGAS-SESSAO-ENCERRADA&amp;seOcultaPagina=S&amp;item0=857236" TargetMode="External"/><Relationship Id="rId17" Type="http://schemas.openxmlformats.org/officeDocument/2006/relationships/hyperlink" Target="http://www1.tce.pr.gov.br/conteudo/pesquisas-prontas/308475/area/249"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scon.stj.jus.br/SCON/GetInteiroTeorDoAcordao?num_registro=202200011995&amp;dt_publicacao=11/04/2024" TargetMode="External"/><Relationship Id="rId20" Type="http://schemas.openxmlformats.org/officeDocument/2006/relationships/hyperlink" Target="http://www1.tce.pr.gov.br/conteudo/repercussao-geral-no-stf-e-os-tribunais-de-contas/307026/area/249"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redir.stf.jus.br/paginadorpub/paginador.jsp?docTP=TP&amp;docID=775827609"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www1.tce.pr.gov.br/conteudo/boletim-de-jurisprudencia-internacional/316601/area/249"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jurisprudencia.tce.sp.gov.br/arqs_juri/pdf/1/1/7/947711.pdf"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Arial"/>
        <a:cs typeface="Arial"/>
      </a:majorFont>
      <a:minorFont>
        <a:latin typeface="Calibri"/>
        <a:ea typeface="Arial"/>
        <a:cs typeface="Arial"/>
      </a:minorFont>
    </a:fontScheme>
    <a:fmtScheme name="Escritório">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3C3D453B89BB34EA0245CEF24B22626" ma:contentTypeVersion="12" ma:contentTypeDescription="Crie um novo documento." ma:contentTypeScope="" ma:versionID="53fc663f462a8b33a68b45d843c357c8">
  <xsd:schema xmlns:xsd="http://www.w3.org/2001/XMLSchema" xmlns:xs="http://www.w3.org/2001/XMLSchema" xmlns:p="http://schemas.microsoft.com/office/2006/metadata/properties" xmlns:ns3="3db64fec-8ace-4545-b67f-b7c88dee3c09" xmlns:ns4="f62ec606-c254-4dd7-8666-aa6c12b21731" targetNamespace="http://schemas.microsoft.com/office/2006/metadata/properties" ma:root="true" ma:fieldsID="7d0d5796d0394b21ec05b1ac7f859df7" ns3:_="" ns4:_="">
    <xsd:import namespace="3db64fec-8ace-4545-b67f-b7c88dee3c09"/>
    <xsd:import namespace="f62ec606-c254-4dd7-8666-aa6c12b2173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b64fec-8ace-4545-b67f-b7c88dee3c09" elementFormDefault="qualified">
    <xsd:import namespace="http://schemas.microsoft.com/office/2006/documentManagement/types"/>
    <xsd:import namespace="http://schemas.microsoft.com/office/infopath/2007/PartnerControls"/>
    <xsd:element name="SharedWithUsers" ma:index="8"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hes de Compartilhado Com" ma:internalName="SharedWithDetails" ma:readOnly="true">
      <xsd:simpleType>
        <xsd:restriction base="dms:Note">
          <xsd:maxLength value="255"/>
        </xsd:restriction>
      </xsd:simpleType>
    </xsd:element>
    <xsd:element name="SharingHintHash" ma:index="10" nillable="true" ma:displayName="Hash de Dica de Compartilhamento"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2ec606-c254-4dd7-8666-aa6c12b2173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
</file>

<file path=customXml/item3.xml><?xml version="1.0" encoding="utf-8"?>
<p:properties xmlns:p="http://schemas.microsoft.com/office/2006/metadata/properties" xmlns:xsi="http://www.w3.org/2001/XMLSchema-instance" xmlns:pc="http://schemas.microsoft.com/office/infopath/2007/PartnerControls">
  <documentManagement>
    <_activity xmlns="f62ec606-c254-4dd7-8666-aa6c12b2173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0E71E5-FE82-4C3C-BDD1-F035CA590C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b64fec-8ace-4545-b67f-b7c88dee3c09"/>
    <ds:schemaRef ds:uri="f62ec606-c254-4dd7-8666-aa6c12b217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74D022-C9B6-4C98-8292-5C7868A5971E}"/>
</file>

<file path=customXml/itemProps3.xml><?xml version="1.0" encoding="utf-8"?>
<ds:datastoreItem xmlns:ds="http://schemas.openxmlformats.org/officeDocument/2006/customXml" ds:itemID="{F4EA0CB4-8DE3-4A76-84C4-B02782AF33BC}">
  <ds:schemaRefs>
    <ds:schemaRef ds:uri="http://purl.org/dc/elements/1.1/"/>
    <ds:schemaRef ds:uri="3db64fec-8ace-4545-b67f-b7c88dee3c09"/>
    <ds:schemaRef ds:uri="http://schemas.openxmlformats.org/package/2006/metadata/core-properties"/>
    <ds:schemaRef ds:uri="http://www.w3.org/XML/1998/namespace"/>
    <ds:schemaRef ds:uri="f62ec606-c254-4dd7-8666-aa6c12b21731"/>
    <ds:schemaRef ds:uri="http://purl.org/dc/terms/"/>
    <ds:schemaRef ds:uri="http://schemas.microsoft.com/office/2006/metadata/properties"/>
    <ds:schemaRef ds:uri="http://schemas.microsoft.com/office/2006/documentManagement/types"/>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BB224B9F-0E89-674C-99DC-A99D9A7896FC}">
  <ds:schemaRefs>
    <ds:schemaRef ds:uri="http://schemas.openxmlformats.org/officeDocument/2006/bibliography"/>
  </ds:schemaRefs>
</ds:datastoreItem>
</file>

<file path=customXml/itemProps5.xml><?xml version="1.0" encoding="utf-8"?>
<ds:datastoreItem xmlns:ds="http://schemas.openxmlformats.org/officeDocument/2006/customXml" ds:itemID="{65C50CFC-5930-4374-B00C-E7CFBCF858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5</Pages>
  <Words>2682</Words>
  <Characters>14484</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Guilherme Hansen Faraj</dc:creator>
  <cp:keywords/>
  <dc:description/>
  <cp:lastModifiedBy>Paula Yukari do Prado</cp:lastModifiedBy>
  <cp:revision>3</cp:revision>
  <cp:lastPrinted>2024-05-16T17:56:00Z</cp:lastPrinted>
  <dcterms:created xsi:type="dcterms:W3CDTF">2024-05-16T17:56:00Z</dcterms:created>
  <dcterms:modified xsi:type="dcterms:W3CDTF">2024-05-16T19:42:00Z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-2002783954</vt:i4>
  </property>
  <property fmtid="{D5CDD505-2E9C-101B-9397-08002B2CF9AE}" pid="3" name="ContentTypeId">
    <vt:lpwstr>0x01010053C3D453B89BB34EA0245CEF24B22626</vt:lpwstr>
  </property>
</Properties>
</file>