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451" w:rsidRPr="00A24F26" w:rsidRDefault="00362451" w:rsidP="00362451">
      <w:pPr>
        <w:pStyle w:val="Cabealho"/>
        <w:spacing w:line="276" w:lineRule="auto"/>
        <w:jc w:val="center"/>
        <w:rPr>
          <w:rFonts w:ascii="Arial" w:hAnsi="Arial" w:cs="Arial"/>
          <w:sz w:val="20"/>
          <w:szCs w:val="20"/>
        </w:rPr>
      </w:pPr>
      <w:r w:rsidRPr="00A24F26">
        <w:rPr>
          <w:rFonts w:ascii="Arial" w:hAnsi="Arial" w:cs="Arial"/>
          <w:b/>
          <w:sz w:val="20"/>
          <w:szCs w:val="20"/>
        </w:rPr>
        <w:t>TESES AMBIENTAIS</w:t>
      </w:r>
      <w:r w:rsidRPr="00A24F26">
        <w:rPr>
          <w:rFonts w:ascii="Arial" w:hAnsi="Arial" w:cs="Arial"/>
          <w:sz w:val="20"/>
          <w:szCs w:val="20"/>
        </w:rPr>
        <w:t xml:space="preserve"> </w:t>
      </w:r>
    </w:p>
    <w:p w:rsidR="00362451" w:rsidRPr="00A24F26" w:rsidRDefault="00362451" w:rsidP="00362451">
      <w:pPr>
        <w:spacing w:after="0"/>
        <w:jc w:val="center"/>
        <w:rPr>
          <w:rFonts w:ascii="Arial" w:hAnsi="Arial" w:cs="Arial"/>
          <w:b/>
          <w:sz w:val="20"/>
          <w:szCs w:val="20"/>
        </w:rPr>
      </w:pPr>
    </w:p>
    <w:p w:rsidR="00681EC7" w:rsidRPr="00A24F26" w:rsidRDefault="00F45FE6" w:rsidP="00681EC7">
      <w:pPr>
        <w:spacing w:after="0"/>
        <w:jc w:val="center"/>
        <w:rPr>
          <w:rFonts w:ascii="Arial" w:hAnsi="Arial" w:cs="Arial"/>
          <w:b/>
          <w:sz w:val="20"/>
          <w:szCs w:val="20"/>
        </w:rPr>
      </w:pPr>
      <w:r w:rsidRPr="00A24F26">
        <w:rPr>
          <w:rFonts w:ascii="Arial" w:hAnsi="Arial" w:cs="Arial"/>
          <w:b/>
          <w:sz w:val="20"/>
          <w:szCs w:val="20"/>
        </w:rPr>
        <w:t xml:space="preserve">Número </w:t>
      </w:r>
      <w:r w:rsidR="00636F1C" w:rsidRPr="00A24F26">
        <w:rPr>
          <w:rFonts w:ascii="Arial" w:hAnsi="Arial" w:cs="Arial"/>
          <w:b/>
          <w:sz w:val="20"/>
          <w:szCs w:val="20"/>
        </w:rPr>
        <w:t>10</w:t>
      </w:r>
    </w:p>
    <w:p w:rsidR="00D9046A" w:rsidRPr="00A24F26" w:rsidRDefault="00D9046A" w:rsidP="00681EC7">
      <w:pPr>
        <w:spacing w:after="0"/>
        <w:jc w:val="center"/>
        <w:rPr>
          <w:rFonts w:ascii="Arial" w:hAnsi="Arial" w:cs="Arial"/>
          <w:b/>
          <w:sz w:val="20"/>
          <w:szCs w:val="20"/>
        </w:rPr>
      </w:pPr>
    </w:p>
    <w:p w:rsidR="00681EC7" w:rsidRPr="00A24F26" w:rsidRDefault="00681EC7" w:rsidP="00681EC7">
      <w:pPr>
        <w:spacing w:after="0"/>
        <w:jc w:val="both"/>
        <w:rPr>
          <w:rFonts w:ascii="Arial" w:hAnsi="Arial" w:cs="Arial"/>
          <w:sz w:val="20"/>
          <w:szCs w:val="20"/>
        </w:rPr>
      </w:pPr>
      <w:r w:rsidRPr="00A24F26">
        <w:rPr>
          <w:rFonts w:ascii="Arial" w:hAnsi="Arial" w:cs="Arial"/>
          <w:sz w:val="20"/>
          <w:szCs w:val="20"/>
        </w:rPr>
        <w:t>Este Boletim</w:t>
      </w:r>
      <w:r w:rsidR="00362451" w:rsidRPr="00A24F26">
        <w:rPr>
          <w:rFonts w:ascii="Arial" w:hAnsi="Arial" w:cs="Arial"/>
          <w:sz w:val="20"/>
          <w:szCs w:val="20"/>
        </w:rPr>
        <w:t xml:space="preserve"> de periodicidade bimestral</w:t>
      </w:r>
      <w:r w:rsidRPr="00A24F26">
        <w:rPr>
          <w:rFonts w:ascii="Arial" w:hAnsi="Arial" w:cs="Arial"/>
          <w:sz w:val="20"/>
          <w:szCs w:val="20"/>
        </w:rPr>
        <w:t xml:space="preserve"> contém informações sintéticas das teses fixadas em Direito Ambiental proferidas pelo Supremo Tribunal Federal - STF, Superior Tribunal de Justiça - STJ, Tribunal de Contas da União - TCU e do Tribunal de Contas do Paraná - TCE/PR</w:t>
      </w:r>
      <w:r w:rsidR="00427BD4" w:rsidRPr="00A24F26">
        <w:rPr>
          <w:rFonts w:ascii="Arial" w:hAnsi="Arial" w:cs="Arial"/>
          <w:sz w:val="20"/>
          <w:szCs w:val="20"/>
        </w:rPr>
        <w:t xml:space="preserve">, bem como de outros Tribunais de Contas Estaduais e Municipais </w:t>
      </w:r>
      <w:r w:rsidRPr="00A24F26">
        <w:rPr>
          <w:rFonts w:ascii="Arial" w:hAnsi="Arial" w:cs="Arial"/>
          <w:sz w:val="20"/>
          <w:szCs w:val="20"/>
        </w:rPr>
        <w:t>sobre temas relacionados ao controle externo evidenciando sobretudo o vetor axiológico da sustentabilidade.</w:t>
      </w:r>
    </w:p>
    <w:p w:rsidR="00681EC7" w:rsidRPr="00A24F26" w:rsidRDefault="00681EC7" w:rsidP="00681EC7">
      <w:pPr>
        <w:spacing w:after="0"/>
        <w:jc w:val="both"/>
        <w:rPr>
          <w:rFonts w:ascii="Arial" w:hAnsi="Arial" w:cs="Arial"/>
          <w:sz w:val="20"/>
          <w:szCs w:val="20"/>
        </w:rPr>
      </w:pPr>
      <w:r w:rsidRPr="00A24F26">
        <w:rPr>
          <w:rFonts w:ascii="Arial" w:hAnsi="Arial" w:cs="Arial"/>
          <w:sz w:val="20"/>
          <w:szCs w:val="20"/>
        </w:rPr>
        <w:t xml:space="preserve"> </w:t>
      </w:r>
    </w:p>
    <w:p w:rsidR="00681EC7" w:rsidRPr="00A24F26" w:rsidRDefault="00681EC7" w:rsidP="00681EC7">
      <w:pPr>
        <w:jc w:val="both"/>
        <w:rPr>
          <w:rFonts w:ascii="Arial" w:hAnsi="Arial" w:cs="Arial"/>
          <w:sz w:val="20"/>
          <w:szCs w:val="20"/>
        </w:rPr>
      </w:pPr>
      <w:r w:rsidRPr="00A24F26">
        <w:rPr>
          <w:rFonts w:ascii="Arial" w:hAnsi="Arial" w:cs="Arial"/>
          <w:sz w:val="20"/>
          <w:szCs w:val="20"/>
        </w:rPr>
        <w:t xml:space="preserve">A seleção das decisões leva em consideração os aspectos de gestão ambiental eficiente, transparente e propositiva.  </w:t>
      </w:r>
    </w:p>
    <w:p w:rsidR="00681EC7" w:rsidRPr="00A24F26" w:rsidRDefault="00681EC7" w:rsidP="00681EC7">
      <w:pPr>
        <w:spacing w:after="0"/>
        <w:jc w:val="both"/>
        <w:rPr>
          <w:rFonts w:ascii="Arial" w:hAnsi="Arial" w:cs="Arial"/>
          <w:sz w:val="20"/>
          <w:szCs w:val="20"/>
        </w:rPr>
      </w:pPr>
      <w:r w:rsidRPr="00A24F26">
        <w:rPr>
          <w:rFonts w:ascii="Arial" w:hAnsi="Arial" w:cs="Arial"/>
          <w:sz w:val="20"/>
          <w:szCs w:val="20"/>
        </w:rPr>
        <w:t xml:space="preserve">O objetivo é </w:t>
      </w:r>
      <w:r w:rsidR="00D9046A" w:rsidRPr="00A24F26">
        <w:rPr>
          <w:rFonts w:ascii="Arial" w:hAnsi="Arial" w:cs="Arial"/>
          <w:sz w:val="20"/>
          <w:szCs w:val="20"/>
        </w:rPr>
        <w:t xml:space="preserve">divulgar </w:t>
      </w:r>
      <w:r w:rsidRPr="00A24F26">
        <w:rPr>
          <w:rFonts w:ascii="Arial" w:hAnsi="Arial" w:cs="Arial"/>
          <w:sz w:val="20"/>
          <w:szCs w:val="20"/>
        </w:rPr>
        <w:t xml:space="preserve">os grandes temas e institutos da legislação </w:t>
      </w:r>
      <w:r w:rsidR="006422A6" w:rsidRPr="00A24F26">
        <w:rPr>
          <w:rFonts w:ascii="Arial" w:hAnsi="Arial" w:cs="Arial"/>
          <w:sz w:val="20"/>
          <w:szCs w:val="20"/>
        </w:rPr>
        <w:t>ambiental para</w:t>
      </w:r>
      <w:r w:rsidRPr="00A24F26">
        <w:rPr>
          <w:rFonts w:ascii="Arial" w:hAnsi="Arial" w:cs="Arial"/>
          <w:sz w:val="20"/>
          <w:szCs w:val="20"/>
        </w:rPr>
        <w:t xml:space="preserve"> cumprir o </w:t>
      </w:r>
      <w:r w:rsidRPr="00A24F26">
        <w:rPr>
          <w:rFonts w:ascii="Arial" w:hAnsi="Arial" w:cs="Arial"/>
          <w:i/>
          <w:sz w:val="20"/>
          <w:szCs w:val="20"/>
        </w:rPr>
        <w:t>eixo verde</w:t>
      </w:r>
      <w:r w:rsidRPr="00A24F26">
        <w:rPr>
          <w:rFonts w:ascii="Arial" w:hAnsi="Arial" w:cs="Arial"/>
          <w:sz w:val="20"/>
          <w:szCs w:val="20"/>
        </w:rPr>
        <w:t xml:space="preserve"> do texto constitucional de 1988, que dispõe em seu art. 225, que “t</w:t>
      </w:r>
      <w:r w:rsidRPr="00A24F26">
        <w:rPr>
          <w:rFonts w:ascii="Arial" w:hAnsi="Arial" w:cs="Arial"/>
          <w:color w:val="000000"/>
          <w:sz w:val="20"/>
          <w:szCs w:val="20"/>
          <w:shd w:val="clear" w:color="auto" w:fill="FFFFFF"/>
        </w:rPr>
        <w:t>odos têm direito ao meio ambiente ecologicamente equilibrado, bem de uso comum do povo e essencial à sadia qualidade de vida, impondo-se ao poder público e à coletividade o dever de defendê-lo e preservá-lo para as presentes e futuras gerações”, de modo a promover a conscientização pública para a preservação do meio ambiente.</w:t>
      </w:r>
    </w:p>
    <w:p w:rsidR="00681EC7" w:rsidRPr="00A24F26" w:rsidRDefault="00681EC7" w:rsidP="00681EC7">
      <w:pPr>
        <w:spacing w:after="0"/>
        <w:jc w:val="both"/>
        <w:rPr>
          <w:rFonts w:ascii="Arial" w:hAnsi="Arial" w:cs="Arial"/>
          <w:sz w:val="20"/>
          <w:szCs w:val="20"/>
        </w:rPr>
      </w:pPr>
    </w:p>
    <w:p w:rsidR="00681EC7" w:rsidRPr="00A24F26" w:rsidRDefault="00681EC7" w:rsidP="00681EC7">
      <w:pPr>
        <w:spacing w:after="0"/>
        <w:jc w:val="both"/>
        <w:rPr>
          <w:rFonts w:ascii="Arial" w:hAnsi="Arial" w:cs="Arial"/>
          <w:sz w:val="20"/>
          <w:szCs w:val="20"/>
        </w:rPr>
      </w:pPr>
      <w:r w:rsidRPr="00A24F26">
        <w:rPr>
          <w:rFonts w:ascii="Arial" w:hAnsi="Arial" w:cs="Arial"/>
          <w:sz w:val="20"/>
          <w:szCs w:val="20"/>
        </w:rPr>
        <w:t>Para aprofundamento, o leitor pode acessar o inteiro teor das deliberações por meio dos links disponíveis.</w:t>
      </w:r>
      <w:r w:rsidRPr="00A24F26">
        <w:rPr>
          <w:rFonts w:ascii="Arial" w:hAnsi="Arial" w:cs="Arial"/>
          <w:color w:val="212121"/>
          <w:sz w:val="20"/>
          <w:szCs w:val="20"/>
        </w:rPr>
        <w:t xml:space="preserve"> </w:t>
      </w:r>
      <w:r w:rsidRPr="00A24F26">
        <w:rPr>
          <w:rFonts w:ascii="Arial" w:hAnsi="Arial" w:cs="Arial"/>
          <w:sz w:val="20"/>
          <w:szCs w:val="20"/>
        </w:rPr>
        <w:t xml:space="preserve">As informações aqui apresentadas não são </w:t>
      </w:r>
      <w:proofErr w:type="gramStart"/>
      <w:r w:rsidRPr="00A24F26">
        <w:rPr>
          <w:rFonts w:ascii="Arial" w:hAnsi="Arial" w:cs="Arial"/>
          <w:sz w:val="20"/>
          <w:szCs w:val="20"/>
        </w:rPr>
        <w:t>repositórios</w:t>
      </w:r>
      <w:proofErr w:type="gramEnd"/>
      <w:r w:rsidRPr="00A24F26">
        <w:rPr>
          <w:rFonts w:ascii="Arial" w:hAnsi="Arial" w:cs="Arial"/>
          <w:sz w:val="20"/>
          <w:szCs w:val="20"/>
        </w:rPr>
        <w:t xml:space="preserve"> oficiais de jurisprudência.</w:t>
      </w:r>
    </w:p>
    <w:p w:rsidR="00681EC7" w:rsidRPr="00A24F26" w:rsidRDefault="00681EC7" w:rsidP="00681EC7">
      <w:pPr>
        <w:spacing w:after="0"/>
        <w:jc w:val="both"/>
        <w:rPr>
          <w:rFonts w:ascii="Arial" w:hAnsi="Arial" w:cs="Arial"/>
          <w:sz w:val="20"/>
          <w:szCs w:val="20"/>
        </w:rPr>
      </w:pPr>
    </w:p>
    <w:p w:rsidR="00FE7B14" w:rsidRPr="00A24F26" w:rsidRDefault="00FE7B14" w:rsidP="00816942">
      <w:pPr>
        <w:spacing w:after="0"/>
        <w:jc w:val="both"/>
        <w:rPr>
          <w:rFonts w:ascii="Arial" w:hAnsi="Arial" w:cs="Arial"/>
          <w:sz w:val="20"/>
          <w:szCs w:val="20"/>
        </w:rPr>
      </w:pPr>
      <w:r w:rsidRPr="00A24F26">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A24F26" w:rsidRDefault="00AE4F42" w:rsidP="00816942">
      <w:pPr>
        <w:shd w:val="pct10" w:color="auto" w:fill="auto"/>
        <w:spacing w:after="0"/>
        <w:jc w:val="center"/>
        <w:rPr>
          <w:rFonts w:ascii="Arial" w:hAnsi="Arial" w:cs="Arial"/>
          <w:b/>
          <w:sz w:val="20"/>
          <w:szCs w:val="20"/>
        </w:rPr>
      </w:pPr>
      <w:r w:rsidRPr="00A24F26">
        <w:rPr>
          <w:rFonts w:ascii="Arial" w:hAnsi="Arial" w:cs="Arial"/>
          <w:b/>
          <w:sz w:val="20"/>
          <w:szCs w:val="20"/>
        </w:rPr>
        <w:t>S</w:t>
      </w:r>
      <w:r w:rsidR="00221D15" w:rsidRPr="00A24F26">
        <w:rPr>
          <w:rFonts w:ascii="Arial" w:hAnsi="Arial" w:cs="Arial"/>
          <w:b/>
          <w:sz w:val="20"/>
          <w:szCs w:val="20"/>
        </w:rPr>
        <w:t>U</w:t>
      </w:r>
      <w:r w:rsidRPr="00A24F26">
        <w:rPr>
          <w:rFonts w:ascii="Arial" w:hAnsi="Arial" w:cs="Arial"/>
          <w:b/>
          <w:sz w:val="20"/>
          <w:szCs w:val="20"/>
        </w:rPr>
        <w:t>MÁRIO</w:t>
      </w:r>
    </w:p>
    <w:p w:rsidR="005B7626" w:rsidRPr="00A24F26" w:rsidRDefault="005B7626" w:rsidP="005B7626">
      <w:pPr>
        <w:autoSpaceDE w:val="0"/>
        <w:autoSpaceDN w:val="0"/>
        <w:adjustRightInd w:val="0"/>
        <w:spacing w:after="0" w:line="240" w:lineRule="auto"/>
        <w:jc w:val="both"/>
        <w:rPr>
          <w:rFonts w:ascii="Arial" w:hAnsi="Arial" w:cs="Arial"/>
          <w:b/>
          <w:sz w:val="20"/>
          <w:szCs w:val="20"/>
        </w:rPr>
      </w:pPr>
    </w:p>
    <w:p w:rsidR="00A10C1E" w:rsidRPr="00A24F26" w:rsidRDefault="00A10C1E" w:rsidP="005B7626">
      <w:pPr>
        <w:autoSpaceDE w:val="0"/>
        <w:autoSpaceDN w:val="0"/>
        <w:adjustRightInd w:val="0"/>
        <w:spacing w:after="0" w:line="240" w:lineRule="auto"/>
        <w:jc w:val="both"/>
        <w:rPr>
          <w:rFonts w:ascii="Arial" w:hAnsi="Arial" w:cs="Arial"/>
          <w:b/>
          <w:sz w:val="20"/>
          <w:szCs w:val="20"/>
        </w:rPr>
      </w:pPr>
    </w:p>
    <w:p w:rsidR="00BC58E1" w:rsidRPr="00A24F26" w:rsidRDefault="005B7626" w:rsidP="00BC58E1">
      <w:pPr>
        <w:autoSpaceDE w:val="0"/>
        <w:autoSpaceDN w:val="0"/>
        <w:adjustRightInd w:val="0"/>
        <w:spacing w:after="0" w:line="240" w:lineRule="auto"/>
        <w:jc w:val="both"/>
        <w:rPr>
          <w:rFonts w:ascii="Arial" w:hAnsi="Arial" w:cs="Arial"/>
          <w:b/>
          <w:sz w:val="20"/>
          <w:szCs w:val="20"/>
        </w:rPr>
      </w:pPr>
      <w:r w:rsidRPr="00A24F26">
        <w:rPr>
          <w:rFonts w:ascii="Arial" w:hAnsi="Arial" w:cs="Arial"/>
          <w:sz w:val="20"/>
          <w:szCs w:val="20"/>
        </w:rPr>
        <w:t xml:space="preserve">1. </w:t>
      </w:r>
      <w:r w:rsidR="00BC58E1" w:rsidRPr="00A24F26">
        <w:rPr>
          <w:rFonts w:ascii="Arial" w:hAnsi="Arial" w:cs="Arial"/>
          <w:bCs/>
          <w:sz w:val="20"/>
          <w:szCs w:val="20"/>
        </w:rPr>
        <w:t xml:space="preserve">Representação da lei nº 8.666/93. Edital de concorrência para contratação de empresa especializada em aterro sanitário para prestação de serviços de destinação final de resíduos sólidos. Vedação legislativa à licitação do objeto pretendido, enquanto não concluído o plano municipal de gestão integrada de resíduos sólidos - </w:t>
      </w:r>
      <w:r w:rsidR="006422A6" w:rsidRPr="00A24F26">
        <w:rPr>
          <w:rFonts w:ascii="Arial" w:hAnsi="Arial" w:cs="Arial"/>
          <w:bCs/>
          <w:sz w:val="20"/>
          <w:szCs w:val="20"/>
        </w:rPr>
        <w:t>PMGIRS</w:t>
      </w:r>
      <w:r w:rsidR="00BC58E1" w:rsidRPr="00A24F26">
        <w:rPr>
          <w:rFonts w:ascii="Arial" w:hAnsi="Arial" w:cs="Arial"/>
          <w:bCs/>
          <w:sz w:val="20"/>
          <w:szCs w:val="20"/>
        </w:rPr>
        <w:t xml:space="preserve">. Art. 1º, § 1º, da lei municipal nº 10.366, de 21 de dezembro de 2016. Ratificação de despacho que, em juízo de retratação, modificou a medida cautelar expedida, para o fim de permitir o prosseguimento da licitação e suspender apenas a adjudicação do objeto em favor do vencedor e a formalização de contrato administrativo, condicionando-as à aprovação e publicação da lei do </w:t>
      </w:r>
      <w:r w:rsidR="006422A6" w:rsidRPr="00A24F26">
        <w:rPr>
          <w:rFonts w:ascii="Arial" w:hAnsi="Arial" w:cs="Arial"/>
          <w:bCs/>
          <w:sz w:val="20"/>
          <w:szCs w:val="20"/>
        </w:rPr>
        <w:t>PMGIRS</w:t>
      </w:r>
      <w:r w:rsidR="00BC58E1" w:rsidRPr="00A24F26">
        <w:rPr>
          <w:rFonts w:ascii="Arial" w:hAnsi="Arial" w:cs="Arial"/>
          <w:bCs/>
          <w:sz w:val="20"/>
          <w:szCs w:val="20"/>
        </w:rPr>
        <w:t xml:space="preserve"> e à comprovação de que dela não advenham modificações ao plano que sejam incompatíveis com os termos e condições previstos em edital. Expedição de determinação ao município, para que informe esta condição a todos os licitantes. Suspensão do processo até o término da tramitação do projeto de lei nº 14.234/2017.</w:t>
      </w:r>
    </w:p>
    <w:p w:rsidR="00DB721B" w:rsidRPr="00A24F26" w:rsidRDefault="00DB721B" w:rsidP="00DB721B">
      <w:pPr>
        <w:autoSpaceDE w:val="0"/>
        <w:autoSpaceDN w:val="0"/>
        <w:adjustRightInd w:val="0"/>
        <w:spacing w:after="0"/>
        <w:jc w:val="both"/>
        <w:rPr>
          <w:rFonts w:ascii="Arial" w:hAnsi="Arial" w:cs="Arial"/>
          <w:sz w:val="20"/>
          <w:szCs w:val="20"/>
        </w:rPr>
      </w:pPr>
    </w:p>
    <w:p w:rsidR="005B7626" w:rsidRPr="00A24F26" w:rsidRDefault="005B7626" w:rsidP="005B7626">
      <w:pPr>
        <w:spacing w:after="0"/>
        <w:jc w:val="both"/>
        <w:rPr>
          <w:rStyle w:val="Hyperlink"/>
          <w:rFonts w:ascii="Arial" w:hAnsi="Arial" w:cs="Arial"/>
          <w:bCs/>
          <w:color w:val="000000" w:themeColor="text1"/>
          <w:sz w:val="20"/>
          <w:szCs w:val="20"/>
          <w:u w:val="none"/>
        </w:rPr>
      </w:pPr>
      <w:r w:rsidRPr="00A24F26">
        <w:rPr>
          <w:rStyle w:val="Hyperlink"/>
          <w:rFonts w:ascii="Arial" w:hAnsi="Arial" w:cs="Arial"/>
          <w:color w:val="000000" w:themeColor="text1"/>
          <w:sz w:val="20"/>
          <w:szCs w:val="20"/>
          <w:u w:val="none"/>
        </w:rPr>
        <w:t xml:space="preserve">2. </w:t>
      </w:r>
      <w:r w:rsidR="00BC58E1" w:rsidRPr="00A24F26">
        <w:rPr>
          <w:rFonts w:ascii="Arial" w:hAnsi="Arial" w:cs="Arial"/>
          <w:bCs/>
          <w:color w:val="000000" w:themeColor="text1"/>
          <w:sz w:val="20"/>
          <w:szCs w:val="20"/>
        </w:rPr>
        <w:t xml:space="preserve">Relatório de auditoria. Verificação das providências adotadas pela </w:t>
      </w:r>
      <w:r w:rsidR="006422A6" w:rsidRPr="00A24F26">
        <w:rPr>
          <w:rFonts w:ascii="Arial" w:hAnsi="Arial" w:cs="Arial"/>
          <w:bCs/>
          <w:color w:val="000000" w:themeColor="text1"/>
          <w:sz w:val="20"/>
          <w:szCs w:val="20"/>
        </w:rPr>
        <w:t>Petrobras</w:t>
      </w:r>
      <w:r w:rsidR="00BC58E1" w:rsidRPr="00A24F26">
        <w:rPr>
          <w:rFonts w:ascii="Arial" w:hAnsi="Arial" w:cs="Arial"/>
          <w:bCs/>
          <w:color w:val="000000" w:themeColor="text1"/>
          <w:sz w:val="20"/>
          <w:szCs w:val="20"/>
        </w:rPr>
        <w:t xml:space="preserve"> em razão das multas ambientais aplicadas pelo </w:t>
      </w:r>
      <w:r w:rsidR="006422A6" w:rsidRPr="00A24F26">
        <w:rPr>
          <w:rFonts w:ascii="Arial" w:hAnsi="Arial" w:cs="Arial"/>
          <w:bCs/>
          <w:color w:val="000000" w:themeColor="text1"/>
          <w:sz w:val="20"/>
          <w:szCs w:val="20"/>
        </w:rPr>
        <w:t>IBAMA</w:t>
      </w:r>
      <w:r w:rsidR="00BC58E1" w:rsidRPr="00A24F26">
        <w:rPr>
          <w:rFonts w:ascii="Arial" w:hAnsi="Arial" w:cs="Arial"/>
          <w:bCs/>
          <w:color w:val="000000" w:themeColor="text1"/>
          <w:sz w:val="20"/>
          <w:szCs w:val="20"/>
        </w:rPr>
        <w:t xml:space="preserve"> nos exercícios de 2012 a 2014. Incompatibilidades técnicas da metodologia de monitoramento da qualidade da água descartada pelas plataformas. Recomendação aos órgãos envolvidos para avaliação do normativo que define as metodologias </w:t>
      </w:r>
      <w:r w:rsidR="00BC58E1" w:rsidRPr="00A24F26">
        <w:rPr>
          <w:rFonts w:ascii="Arial" w:hAnsi="Arial" w:cs="Arial"/>
          <w:bCs/>
          <w:color w:val="000000" w:themeColor="text1"/>
          <w:sz w:val="20"/>
          <w:szCs w:val="20"/>
        </w:rPr>
        <w:lastRenderedPageBreak/>
        <w:t xml:space="preserve">de monitoramento aceitas pelo </w:t>
      </w:r>
      <w:r w:rsidR="006422A6" w:rsidRPr="00A24F26">
        <w:rPr>
          <w:rFonts w:ascii="Arial" w:hAnsi="Arial" w:cs="Arial"/>
          <w:bCs/>
          <w:color w:val="000000" w:themeColor="text1"/>
          <w:sz w:val="20"/>
          <w:szCs w:val="20"/>
        </w:rPr>
        <w:t>IBAMA</w:t>
      </w:r>
      <w:r w:rsidR="00BC58E1" w:rsidRPr="00A24F26">
        <w:rPr>
          <w:rFonts w:ascii="Arial" w:hAnsi="Arial" w:cs="Arial"/>
          <w:bCs/>
          <w:color w:val="000000" w:themeColor="text1"/>
          <w:sz w:val="20"/>
          <w:szCs w:val="20"/>
        </w:rPr>
        <w:t xml:space="preserve">. Falhas na dosimetria das multas e na fundamentação das autuações. Oitiva do </w:t>
      </w:r>
      <w:r w:rsidR="006422A6" w:rsidRPr="00A24F26">
        <w:rPr>
          <w:rFonts w:ascii="Arial" w:hAnsi="Arial" w:cs="Arial"/>
          <w:bCs/>
          <w:color w:val="000000" w:themeColor="text1"/>
          <w:sz w:val="20"/>
          <w:szCs w:val="20"/>
        </w:rPr>
        <w:t>IBAMA</w:t>
      </w:r>
      <w:r w:rsidR="00BC58E1" w:rsidRPr="00A24F26">
        <w:rPr>
          <w:rFonts w:ascii="Arial" w:hAnsi="Arial" w:cs="Arial"/>
          <w:bCs/>
          <w:color w:val="000000" w:themeColor="text1"/>
          <w:sz w:val="20"/>
          <w:szCs w:val="20"/>
        </w:rPr>
        <w:t>. Justificativas que indicam providências para elevar a objetividade da dosimetria das sanções. Considerações sobre a necessidade de laudo técnico que caracterize a amplitude do dano ambiental e de aplicação de penalidade de advertência previamente à cominação de multa. Determinação para constituição de processo apartado para aprofundar as análises a respeito da responsabilidade administrativa por infrações ambientais. Arquivamento. Relatório</w:t>
      </w:r>
    </w:p>
    <w:p w:rsidR="005B7626" w:rsidRPr="00A24F26" w:rsidRDefault="005B7626" w:rsidP="00DB721B">
      <w:pPr>
        <w:autoSpaceDE w:val="0"/>
        <w:autoSpaceDN w:val="0"/>
        <w:adjustRightInd w:val="0"/>
        <w:spacing w:after="0"/>
        <w:jc w:val="both"/>
        <w:rPr>
          <w:rFonts w:ascii="Arial" w:hAnsi="Arial" w:cs="Arial"/>
          <w:sz w:val="20"/>
          <w:szCs w:val="20"/>
        </w:rPr>
      </w:pPr>
    </w:p>
    <w:p w:rsidR="005B7626" w:rsidRPr="00A24F26" w:rsidRDefault="005B7626" w:rsidP="00BC58E1">
      <w:pPr>
        <w:spacing w:after="0"/>
        <w:jc w:val="both"/>
        <w:rPr>
          <w:rFonts w:ascii="Arial" w:hAnsi="Arial" w:cs="Arial"/>
          <w:b/>
          <w:color w:val="000000"/>
          <w:sz w:val="20"/>
          <w:szCs w:val="20"/>
          <w:shd w:val="clear" w:color="auto" w:fill="FFFFFF"/>
        </w:rPr>
      </w:pPr>
      <w:r w:rsidRPr="00A24F26">
        <w:rPr>
          <w:rFonts w:ascii="Arial" w:hAnsi="Arial" w:cs="Arial"/>
          <w:color w:val="000000"/>
          <w:sz w:val="20"/>
          <w:szCs w:val="20"/>
          <w:shd w:val="clear" w:color="auto" w:fill="FFFFFF"/>
        </w:rPr>
        <w:t xml:space="preserve">3. </w:t>
      </w:r>
      <w:r w:rsidR="00BC58E1" w:rsidRPr="00A24F26">
        <w:rPr>
          <w:rFonts w:ascii="Arial" w:hAnsi="Arial" w:cs="Arial"/>
          <w:bCs/>
          <w:color w:val="000000"/>
          <w:sz w:val="20"/>
          <w:szCs w:val="20"/>
          <w:shd w:val="clear" w:color="auto" w:fill="FFFFFF"/>
        </w:rPr>
        <w:t xml:space="preserve">Administrativo. Ação demolitória. </w:t>
      </w:r>
      <w:r w:rsidR="00644710" w:rsidRPr="00A24F26">
        <w:rPr>
          <w:rFonts w:ascii="Arial" w:hAnsi="Arial" w:cs="Arial"/>
          <w:bCs/>
          <w:color w:val="000000"/>
          <w:sz w:val="20"/>
          <w:szCs w:val="20"/>
          <w:shd w:val="clear" w:color="auto" w:fill="FFFFFF"/>
        </w:rPr>
        <w:t>DNIT</w:t>
      </w:r>
      <w:r w:rsidR="00BC58E1" w:rsidRPr="00A24F26">
        <w:rPr>
          <w:rFonts w:ascii="Arial" w:hAnsi="Arial" w:cs="Arial"/>
          <w:bCs/>
          <w:color w:val="000000"/>
          <w:sz w:val="20"/>
          <w:szCs w:val="20"/>
          <w:shd w:val="clear" w:color="auto" w:fill="FFFFFF"/>
        </w:rPr>
        <w:t xml:space="preserve">. Rodovia federal. Edificação em área </w:t>
      </w:r>
      <w:r w:rsidR="00BC58E1" w:rsidRPr="00A24F26">
        <w:rPr>
          <w:rFonts w:ascii="Arial" w:hAnsi="Arial" w:cs="Arial"/>
          <w:bCs/>
          <w:i/>
          <w:color w:val="000000"/>
          <w:sz w:val="20"/>
          <w:szCs w:val="20"/>
          <w:shd w:val="clear" w:color="auto" w:fill="FFFFFF"/>
        </w:rPr>
        <w:t xml:space="preserve">non </w:t>
      </w:r>
      <w:proofErr w:type="spellStart"/>
      <w:r w:rsidR="00BC58E1" w:rsidRPr="00A24F26">
        <w:rPr>
          <w:rFonts w:ascii="Arial" w:hAnsi="Arial" w:cs="Arial"/>
          <w:bCs/>
          <w:i/>
          <w:color w:val="000000"/>
          <w:sz w:val="20"/>
          <w:szCs w:val="20"/>
          <w:shd w:val="clear" w:color="auto" w:fill="FFFFFF"/>
        </w:rPr>
        <w:t>aedificandi</w:t>
      </w:r>
      <w:proofErr w:type="spellEnd"/>
      <w:r w:rsidR="00BC58E1" w:rsidRPr="00A24F26">
        <w:rPr>
          <w:rFonts w:ascii="Arial" w:hAnsi="Arial" w:cs="Arial"/>
          <w:bCs/>
          <w:color w:val="000000"/>
          <w:sz w:val="20"/>
          <w:szCs w:val="20"/>
          <w:shd w:val="clear" w:color="auto" w:fill="FFFFFF"/>
        </w:rPr>
        <w:t>. Princípio da razoabilidade. Conflito de interesses público e privado. Direito à moradia.</w:t>
      </w:r>
    </w:p>
    <w:p w:rsidR="00BC58E1" w:rsidRPr="00A24F26" w:rsidRDefault="00BC58E1" w:rsidP="00BC58E1">
      <w:pPr>
        <w:spacing w:after="0"/>
        <w:jc w:val="both"/>
        <w:rPr>
          <w:rFonts w:ascii="Arial" w:hAnsi="Arial" w:cs="Arial"/>
          <w:sz w:val="20"/>
          <w:szCs w:val="20"/>
        </w:rPr>
      </w:pPr>
    </w:p>
    <w:p w:rsidR="00BC58E1" w:rsidRPr="00A24F26" w:rsidRDefault="005B7626" w:rsidP="00BC58E1">
      <w:pPr>
        <w:jc w:val="both"/>
        <w:rPr>
          <w:rFonts w:ascii="Arial" w:hAnsi="Arial" w:cs="Arial"/>
          <w:color w:val="000000"/>
          <w:shd w:val="clear" w:color="auto" w:fill="FFFFFF"/>
        </w:rPr>
      </w:pPr>
      <w:r w:rsidRPr="00A24F26">
        <w:rPr>
          <w:rFonts w:ascii="Arial" w:hAnsi="Arial" w:cs="Arial"/>
          <w:color w:val="000000"/>
          <w:sz w:val="20"/>
          <w:szCs w:val="20"/>
          <w:shd w:val="clear" w:color="auto" w:fill="FFFFFF"/>
        </w:rPr>
        <w:t xml:space="preserve">4. </w:t>
      </w:r>
      <w:r w:rsidR="00BC58E1" w:rsidRPr="00A24F26">
        <w:rPr>
          <w:rFonts w:ascii="Arial" w:hAnsi="Arial" w:cs="Arial"/>
          <w:color w:val="000000"/>
          <w:shd w:val="clear" w:color="auto" w:fill="FFFFFF"/>
        </w:rPr>
        <w:t xml:space="preserve">Recursos especiais. Ação civil pública. Direito ambiental. Construção e instalação de usina hidrelétrica de salto grande do chopim/pr. Código de processo civil de 1973. Aplicabilidade. Violação ao art. 535 do código de processo civil. Não conhecimento da alegação formulada pela união. Ausência da ofensa suscitada pelo </w:t>
      </w:r>
      <w:r w:rsidR="006422A6" w:rsidRPr="00A24F26">
        <w:rPr>
          <w:rFonts w:ascii="Arial" w:hAnsi="Arial" w:cs="Arial"/>
          <w:color w:val="000000"/>
          <w:shd w:val="clear" w:color="auto" w:fill="FFFFFF"/>
        </w:rPr>
        <w:t>IBAMA</w:t>
      </w:r>
      <w:r w:rsidR="00BC58E1" w:rsidRPr="00A24F26">
        <w:rPr>
          <w:rFonts w:ascii="Arial" w:hAnsi="Arial" w:cs="Arial"/>
          <w:color w:val="000000"/>
          <w:shd w:val="clear" w:color="auto" w:fill="FFFFFF"/>
        </w:rPr>
        <w:t xml:space="preserve">. Realização de obra potencialmente causadora de danos ambientais. Elaboração de prévio estudo de impacto ambiental. Necessidade. Atuação do </w:t>
      </w:r>
      <w:r w:rsidR="006422A6" w:rsidRPr="00A24F26">
        <w:rPr>
          <w:rFonts w:ascii="Arial" w:hAnsi="Arial" w:cs="Arial"/>
          <w:color w:val="000000"/>
          <w:shd w:val="clear" w:color="auto" w:fill="FFFFFF"/>
        </w:rPr>
        <w:t>IBAMA</w:t>
      </w:r>
      <w:r w:rsidR="00BC58E1" w:rsidRPr="00A24F26">
        <w:rPr>
          <w:rFonts w:ascii="Arial" w:hAnsi="Arial" w:cs="Arial"/>
          <w:color w:val="000000"/>
          <w:shd w:val="clear" w:color="auto" w:fill="FFFFFF"/>
        </w:rPr>
        <w:t xml:space="preserve"> e da agência reguladora de energia elétrica. Cabimento. Extensão territorial para a realização do estudo de impacto ambiental. Toda a bacia hidrográfica. Arguição de ausência de previsão legal para atuação do </w:t>
      </w:r>
      <w:r w:rsidR="006422A6" w:rsidRPr="00A24F26">
        <w:rPr>
          <w:rFonts w:ascii="Arial" w:hAnsi="Arial" w:cs="Arial"/>
          <w:color w:val="000000"/>
          <w:shd w:val="clear" w:color="auto" w:fill="FFFFFF"/>
        </w:rPr>
        <w:t>IBAMA</w:t>
      </w:r>
      <w:r w:rsidR="00BC58E1" w:rsidRPr="00A24F26">
        <w:rPr>
          <w:rFonts w:ascii="Arial" w:hAnsi="Arial" w:cs="Arial"/>
          <w:color w:val="000000"/>
          <w:shd w:val="clear" w:color="auto" w:fill="FFFFFF"/>
        </w:rPr>
        <w:t xml:space="preserve"> em razão de repercussão social do empreendimento. Razões dissociadas. Aplicação das súmulas </w:t>
      </w:r>
      <w:proofErr w:type="spellStart"/>
      <w:r w:rsidR="00BC58E1" w:rsidRPr="00A24F26">
        <w:rPr>
          <w:rFonts w:ascii="Arial" w:hAnsi="Arial" w:cs="Arial"/>
          <w:color w:val="000000"/>
          <w:shd w:val="clear" w:color="auto" w:fill="FFFFFF"/>
        </w:rPr>
        <w:t>ns</w:t>
      </w:r>
      <w:proofErr w:type="spellEnd"/>
      <w:r w:rsidR="00BC58E1" w:rsidRPr="00A24F26">
        <w:rPr>
          <w:rFonts w:ascii="Arial" w:hAnsi="Arial" w:cs="Arial"/>
          <w:color w:val="000000"/>
          <w:shd w:val="clear" w:color="auto" w:fill="FFFFFF"/>
        </w:rPr>
        <w:t>. 283 e 284 do</w:t>
      </w:r>
      <w:r w:rsidR="00644710" w:rsidRPr="00A24F26">
        <w:rPr>
          <w:rFonts w:ascii="Arial" w:hAnsi="Arial" w:cs="Arial"/>
          <w:color w:val="000000"/>
          <w:shd w:val="clear" w:color="auto" w:fill="FFFFFF"/>
        </w:rPr>
        <w:t xml:space="preserve"> STF</w:t>
      </w:r>
      <w:r w:rsidR="00BC58E1" w:rsidRPr="00A24F26">
        <w:rPr>
          <w:rFonts w:ascii="Arial" w:hAnsi="Arial" w:cs="Arial"/>
          <w:color w:val="000000"/>
          <w:shd w:val="clear" w:color="auto" w:fill="FFFFFF"/>
        </w:rPr>
        <w:t>. Conhecido em parte dos recursos especiais e negado provimento.</w:t>
      </w:r>
    </w:p>
    <w:p w:rsidR="00BC58E1" w:rsidRPr="00A24F26" w:rsidRDefault="00BC58E1" w:rsidP="00BC58E1">
      <w:pPr>
        <w:spacing w:after="0" w:line="240" w:lineRule="auto"/>
        <w:jc w:val="both"/>
        <w:rPr>
          <w:rFonts w:ascii="Arial" w:hAnsi="Arial" w:cs="Arial"/>
          <w:color w:val="000000"/>
          <w:shd w:val="clear" w:color="auto" w:fill="FFFFFF"/>
        </w:rPr>
      </w:pPr>
    </w:p>
    <w:p w:rsidR="00B34863" w:rsidRPr="00A24F26" w:rsidRDefault="00B34863" w:rsidP="00B34863">
      <w:pPr>
        <w:shd w:val="pct10" w:color="auto" w:fill="auto"/>
        <w:spacing w:after="0"/>
        <w:jc w:val="center"/>
        <w:rPr>
          <w:rFonts w:ascii="Arial" w:hAnsi="Arial" w:cs="Arial"/>
          <w:b/>
          <w:sz w:val="20"/>
          <w:szCs w:val="20"/>
        </w:rPr>
      </w:pPr>
      <w:r w:rsidRPr="00A24F26">
        <w:rPr>
          <w:rFonts w:ascii="Arial" w:hAnsi="Arial" w:cs="Arial"/>
          <w:b/>
          <w:sz w:val="20"/>
          <w:szCs w:val="20"/>
        </w:rPr>
        <w:t xml:space="preserve">TRIBUNAL DE CONTAS DO ESTADO DO PARANÁ </w:t>
      </w:r>
    </w:p>
    <w:p w:rsidR="00B036BD" w:rsidRPr="00A24F26" w:rsidRDefault="00B036BD" w:rsidP="00816942">
      <w:pPr>
        <w:spacing w:after="0"/>
        <w:jc w:val="both"/>
        <w:rPr>
          <w:rFonts w:ascii="Arial" w:hAnsi="Arial" w:cs="Arial"/>
          <w:b/>
          <w:color w:val="000000"/>
          <w:sz w:val="20"/>
          <w:szCs w:val="20"/>
          <w:shd w:val="clear" w:color="auto" w:fill="FFFFFF"/>
        </w:rPr>
      </w:pPr>
    </w:p>
    <w:p w:rsidR="00BC58E1" w:rsidRPr="00A24F26" w:rsidRDefault="00644710" w:rsidP="00BC58E1">
      <w:pPr>
        <w:autoSpaceDE w:val="0"/>
        <w:autoSpaceDN w:val="0"/>
        <w:adjustRightInd w:val="0"/>
        <w:spacing w:after="0" w:line="240" w:lineRule="auto"/>
        <w:jc w:val="both"/>
        <w:rPr>
          <w:rFonts w:ascii="Arial" w:hAnsi="Arial" w:cs="Arial"/>
          <w:b/>
          <w:sz w:val="20"/>
          <w:szCs w:val="20"/>
        </w:rPr>
      </w:pPr>
      <w:r w:rsidRPr="00A24F26">
        <w:rPr>
          <w:rFonts w:ascii="Arial" w:hAnsi="Arial" w:cs="Arial"/>
          <w:b/>
          <w:sz w:val="20"/>
          <w:szCs w:val="20"/>
        </w:rPr>
        <w:t>1</w:t>
      </w:r>
      <w:r w:rsidR="006422A6" w:rsidRPr="00A24F26">
        <w:rPr>
          <w:rFonts w:ascii="Arial" w:hAnsi="Arial" w:cs="Arial"/>
          <w:b/>
          <w:sz w:val="20"/>
          <w:szCs w:val="20"/>
        </w:rPr>
        <w:t>. Representação da lei nº 8.666/93. Edital de concorrência para contratação de empresa especializada em aterro sanitário para prestação de serviços de destinação final de resíduos sólidos. Vedação legislativa à licitação do objeto pretendido, enquanto não concluído o plano municipal de gestão integrada de resíduos sólidos - PMGIRS. art. 1º, § 1º, da lei municipal nº 10.366, de 21 de dezembro de 2016. Ratificação de despacho que, em juízo de retratação, modificou a medida cautelar expedida, para o fim de permitir o prosseguimento da licitação e suspender apenas a adjudicação do objeto em favor do vencedor e a formalização de contrato administrativo, condicionando-as à aprovação e publicação da lei do PMGIRS e à comprovação de que dela não advenham modificações ao plano que sejam incompatíveis com os termos e condições previstos em edital. Expedição de determinação ao município, para que informe esta condição a todos os licitantes. Suspensão do processo até o término da tramitação do projeto de lei nº 14.234/2017.</w:t>
      </w:r>
    </w:p>
    <w:p w:rsidR="00752C34" w:rsidRPr="00A24F26" w:rsidRDefault="00752C34" w:rsidP="00070759">
      <w:pPr>
        <w:autoSpaceDE w:val="0"/>
        <w:autoSpaceDN w:val="0"/>
        <w:adjustRightInd w:val="0"/>
        <w:spacing w:after="0" w:line="240" w:lineRule="auto"/>
        <w:jc w:val="both"/>
        <w:rPr>
          <w:rFonts w:ascii="Arial" w:hAnsi="Arial" w:cs="Arial"/>
          <w:sz w:val="20"/>
          <w:szCs w:val="20"/>
        </w:rPr>
      </w:pPr>
    </w:p>
    <w:p w:rsidR="003263D3" w:rsidRPr="00A24F26" w:rsidRDefault="003263D3" w:rsidP="00A82972">
      <w:pPr>
        <w:autoSpaceDE w:val="0"/>
        <w:autoSpaceDN w:val="0"/>
        <w:adjustRightInd w:val="0"/>
        <w:spacing w:after="0" w:line="240" w:lineRule="auto"/>
        <w:jc w:val="both"/>
        <w:rPr>
          <w:rFonts w:ascii="Arial" w:hAnsi="Arial" w:cs="Arial"/>
          <w:sz w:val="20"/>
          <w:szCs w:val="20"/>
        </w:rPr>
      </w:pPr>
    </w:p>
    <w:p w:rsidR="0042758E" w:rsidRPr="00A24F26" w:rsidRDefault="0042758E" w:rsidP="0042758E">
      <w:pPr>
        <w:autoSpaceDE w:val="0"/>
        <w:autoSpaceDN w:val="0"/>
        <w:adjustRightInd w:val="0"/>
        <w:spacing w:after="0" w:line="240" w:lineRule="auto"/>
        <w:jc w:val="both"/>
        <w:rPr>
          <w:rFonts w:ascii="Arial" w:hAnsi="Arial" w:cs="Arial"/>
          <w:color w:val="000000" w:themeColor="text1"/>
          <w:sz w:val="20"/>
          <w:szCs w:val="20"/>
        </w:rPr>
      </w:pPr>
      <w:r w:rsidRPr="00A24F26">
        <w:rPr>
          <w:rFonts w:ascii="Arial" w:hAnsi="Arial" w:cs="Arial"/>
          <w:b/>
          <w:bCs/>
          <w:color w:val="000000" w:themeColor="text1"/>
          <w:sz w:val="20"/>
          <w:szCs w:val="20"/>
        </w:rPr>
        <w:t xml:space="preserve">I – Homologar a decisão cautelar </w:t>
      </w:r>
      <w:r w:rsidRPr="00A24F26">
        <w:rPr>
          <w:rFonts w:ascii="Arial" w:hAnsi="Arial" w:cs="Arial"/>
          <w:color w:val="000000" w:themeColor="text1"/>
          <w:sz w:val="20"/>
          <w:szCs w:val="20"/>
        </w:rPr>
        <w:t xml:space="preserve">consubstanciada no Despacho nº 1408/17-GCIZL, nos termos do art. 400, §§ 1º e 1º-A, do Regimento Interno, para o fim de permitir o prosseguimento </w:t>
      </w:r>
      <w:r w:rsidRPr="00A24F26">
        <w:rPr>
          <w:rFonts w:ascii="Arial" w:hAnsi="Arial" w:cs="Arial"/>
          <w:color w:val="000000" w:themeColor="text1"/>
          <w:sz w:val="20"/>
          <w:szCs w:val="20"/>
        </w:rPr>
        <w:lastRenderedPageBreak/>
        <w:t xml:space="preserve">da Licitação do Edital de Concorrência nº 004/2017-PMM e suspender apenas a adjudicação do objeto em favor do vencedor e a formalização de contrato administrativo, condicionando-as à aprovação e publicação da Lei do PMGIRS e à comprovação de que dela não advenham modificações ao Plano que sejam incompatíveis com os termos e condições previstos em Edital, sob pena de responsabilização solidária do atual gestor, nos termos dos </w:t>
      </w:r>
      <w:proofErr w:type="spellStart"/>
      <w:r w:rsidRPr="00A24F26">
        <w:rPr>
          <w:rFonts w:ascii="Arial" w:hAnsi="Arial" w:cs="Arial"/>
          <w:color w:val="000000" w:themeColor="text1"/>
          <w:sz w:val="20"/>
          <w:szCs w:val="20"/>
        </w:rPr>
        <w:t>arts</w:t>
      </w:r>
      <w:proofErr w:type="spellEnd"/>
      <w:r w:rsidRPr="00A24F26">
        <w:rPr>
          <w:rFonts w:ascii="Arial" w:hAnsi="Arial" w:cs="Arial"/>
          <w:color w:val="000000" w:themeColor="text1"/>
          <w:sz w:val="20"/>
          <w:szCs w:val="20"/>
        </w:rPr>
        <w:t>. 400, § 3º, e 401, V, do mesmo Regimento;</w:t>
      </w:r>
    </w:p>
    <w:p w:rsidR="0042758E" w:rsidRPr="00A24F26" w:rsidRDefault="0042758E" w:rsidP="0042758E">
      <w:pPr>
        <w:autoSpaceDE w:val="0"/>
        <w:autoSpaceDN w:val="0"/>
        <w:adjustRightInd w:val="0"/>
        <w:spacing w:after="0" w:line="240" w:lineRule="auto"/>
        <w:jc w:val="both"/>
        <w:rPr>
          <w:rFonts w:ascii="Arial" w:hAnsi="Arial" w:cs="Arial"/>
          <w:color w:val="000000" w:themeColor="text1"/>
          <w:sz w:val="20"/>
          <w:szCs w:val="20"/>
        </w:rPr>
      </w:pPr>
      <w:r w:rsidRPr="00A24F26">
        <w:rPr>
          <w:rFonts w:ascii="Arial" w:hAnsi="Arial" w:cs="Arial"/>
          <w:b/>
          <w:bCs/>
          <w:color w:val="000000" w:themeColor="text1"/>
          <w:sz w:val="20"/>
          <w:szCs w:val="20"/>
        </w:rPr>
        <w:t xml:space="preserve">II – Expedir determinação </w:t>
      </w:r>
      <w:r w:rsidRPr="00A24F26">
        <w:rPr>
          <w:rFonts w:ascii="Arial" w:hAnsi="Arial" w:cs="Arial"/>
          <w:color w:val="000000" w:themeColor="text1"/>
          <w:sz w:val="20"/>
          <w:szCs w:val="20"/>
        </w:rPr>
        <w:t>ao Município, para que informe a todos os licitantes que a adjudicação do objeto e a consequente contratação estão condicionados à aprovação do PMGIRS pela Câmara Municipal de forma plenamente compatível com os termos e condições constantes do Edital.</w:t>
      </w:r>
    </w:p>
    <w:p w:rsidR="0042758E" w:rsidRPr="00A24F26" w:rsidRDefault="0042758E" w:rsidP="0042758E">
      <w:pPr>
        <w:autoSpaceDE w:val="0"/>
        <w:autoSpaceDN w:val="0"/>
        <w:adjustRightInd w:val="0"/>
        <w:spacing w:after="0" w:line="240" w:lineRule="auto"/>
        <w:jc w:val="both"/>
        <w:rPr>
          <w:rFonts w:ascii="Arial" w:hAnsi="Arial" w:cs="Arial"/>
          <w:color w:val="000000" w:themeColor="text1"/>
          <w:sz w:val="20"/>
          <w:szCs w:val="20"/>
        </w:rPr>
      </w:pPr>
      <w:r w:rsidRPr="00A24F26">
        <w:rPr>
          <w:rFonts w:ascii="Arial" w:hAnsi="Arial" w:cs="Arial"/>
          <w:b/>
          <w:bCs/>
          <w:color w:val="000000" w:themeColor="text1"/>
          <w:sz w:val="20"/>
          <w:szCs w:val="20"/>
        </w:rPr>
        <w:t>III – Determinar a suspensão do processo</w:t>
      </w:r>
      <w:r w:rsidRPr="00A24F26">
        <w:rPr>
          <w:rFonts w:ascii="Arial" w:hAnsi="Arial" w:cs="Arial"/>
          <w:color w:val="000000" w:themeColor="text1"/>
          <w:sz w:val="20"/>
          <w:szCs w:val="20"/>
        </w:rPr>
        <w:t>, até que seja finalizada a tramitação do Projeto de Lei nº 14.234/2017, com a publicação da lei correspondente, ocasião em que a Prefeitura Municipal deverá comprovar, nestes autos, a identidade entre a versão final do Plano Municipal de Gestão Integrada de Resíduos Sólidos e aquela inicialmente enviada à Câmara Municipal, ou, analiticamente, a plena compatibilidade das eventuais alterações efetuadas com os termos e condições constantes do Edital de Concorrência nº 004/2017-PMM.</w:t>
      </w:r>
    </w:p>
    <w:p w:rsidR="009435E6" w:rsidRPr="00A24F26" w:rsidRDefault="009435E6" w:rsidP="0042758E">
      <w:pPr>
        <w:autoSpaceDE w:val="0"/>
        <w:autoSpaceDN w:val="0"/>
        <w:adjustRightInd w:val="0"/>
        <w:spacing w:after="0" w:line="240" w:lineRule="auto"/>
        <w:jc w:val="both"/>
        <w:rPr>
          <w:rFonts w:ascii="Arial" w:hAnsi="Arial" w:cs="Arial"/>
          <w:color w:val="FF0000"/>
          <w:sz w:val="20"/>
          <w:szCs w:val="20"/>
        </w:rPr>
      </w:pPr>
    </w:p>
    <w:p w:rsidR="009435E6" w:rsidRPr="00A24F26" w:rsidRDefault="009435E6" w:rsidP="009435E6">
      <w:pPr>
        <w:jc w:val="both"/>
        <w:rPr>
          <w:rFonts w:ascii="Arial" w:hAnsi="Arial" w:cs="Arial"/>
          <w:sz w:val="20"/>
          <w:szCs w:val="20"/>
        </w:rPr>
      </w:pPr>
      <w:r w:rsidRPr="00A24F26">
        <w:rPr>
          <w:rFonts w:ascii="Arial" w:hAnsi="Arial" w:cs="Arial"/>
          <w:sz w:val="20"/>
          <w:szCs w:val="20"/>
        </w:rPr>
        <w:t xml:space="preserve">TCE-PR, Processo n.º 449715/17, </w:t>
      </w:r>
      <w:hyperlink r:id="rId8" w:history="1">
        <w:r w:rsidRPr="00A24F26">
          <w:rPr>
            <w:rStyle w:val="Hyperlink"/>
            <w:rFonts w:ascii="Arial" w:hAnsi="Arial" w:cs="Arial"/>
            <w:b/>
            <w:sz w:val="20"/>
            <w:szCs w:val="20"/>
          </w:rPr>
          <w:t>Acórdão n.º 3099/2017 – Tribunal Pleno</w:t>
        </w:r>
      </w:hyperlink>
      <w:r w:rsidRPr="00A24F26">
        <w:rPr>
          <w:rFonts w:ascii="Arial" w:hAnsi="Arial" w:cs="Arial"/>
          <w:sz w:val="20"/>
          <w:szCs w:val="20"/>
        </w:rPr>
        <w:t xml:space="preserve">, Rel. Cons. Ivens </w:t>
      </w:r>
      <w:proofErr w:type="spellStart"/>
      <w:r w:rsidRPr="00A24F26">
        <w:rPr>
          <w:rFonts w:ascii="Arial" w:hAnsi="Arial" w:cs="Arial"/>
          <w:sz w:val="20"/>
          <w:szCs w:val="20"/>
        </w:rPr>
        <w:t>Zschoerper</w:t>
      </w:r>
      <w:proofErr w:type="spellEnd"/>
      <w:r w:rsidRPr="00A24F26">
        <w:rPr>
          <w:rFonts w:ascii="Arial" w:hAnsi="Arial" w:cs="Arial"/>
          <w:sz w:val="20"/>
          <w:szCs w:val="20"/>
        </w:rPr>
        <w:t xml:space="preserve"> Linhares.</w:t>
      </w:r>
    </w:p>
    <w:p w:rsidR="009435E6" w:rsidRPr="00A24F26" w:rsidRDefault="009435E6" w:rsidP="0042758E">
      <w:pPr>
        <w:autoSpaceDE w:val="0"/>
        <w:autoSpaceDN w:val="0"/>
        <w:adjustRightInd w:val="0"/>
        <w:spacing w:after="0" w:line="240" w:lineRule="auto"/>
        <w:jc w:val="both"/>
        <w:rPr>
          <w:rFonts w:ascii="Arial" w:hAnsi="Arial" w:cs="Arial"/>
          <w:color w:val="FF0000"/>
          <w:sz w:val="20"/>
          <w:szCs w:val="20"/>
        </w:rPr>
      </w:pPr>
    </w:p>
    <w:p w:rsidR="00850474" w:rsidRPr="00A24F26" w:rsidRDefault="00850474" w:rsidP="00816942">
      <w:pPr>
        <w:spacing w:after="0"/>
        <w:jc w:val="both"/>
        <w:rPr>
          <w:rStyle w:val="Hyperlink"/>
          <w:rFonts w:ascii="Arial" w:hAnsi="Arial" w:cs="Arial"/>
          <w:b/>
          <w:color w:val="000000" w:themeColor="text1"/>
          <w:sz w:val="20"/>
          <w:szCs w:val="20"/>
          <w:u w:val="none"/>
        </w:rPr>
      </w:pPr>
    </w:p>
    <w:p w:rsidR="00B34863" w:rsidRPr="00A24F26" w:rsidRDefault="00B34863" w:rsidP="00B34863">
      <w:pPr>
        <w:shd w:val="pct10" w:color="auto" w:fill="auto"/>
        <w:spacing w:after="0"/>
        <w:jc w:val="center"/>
        <w:rPr>
          <w:rFonts w:ascii="Arial" w:hAnsi="Arial" w:cs="Arial"/>
          <w:b/>
          <w:sz w:val="20"/>
          <w:szCs w:val="20"/>
        </w:rPr>
      </w:pPr>
      <w:r w:rsidRPr="00A24F26">
        <w:rPr>
          <w:rFonts w:ascii="Arial" w:hAnsi="Arial" w:cs="Arial"/>
          <w:b/>
          <w:sz w:val="20"/>
          <w:szCs w:val="20"/>
        </w:rPr>
        <w:t xml:space="preserve">TRIBUNAL DE CONTAS DA UNIÃO </w:t>
      </w:r>
    </w:p>
    <w:p w:rsidR="00B34863" w:rsidRPr="00A24F26" w:rsidRDefault="00B34863" w:rsidP="00816942">
      <w:pPr>
        <w:spacing w:after="0"/>
        <w:jc w:val="both"/>
        <w:rPr>
          <w:rStyle w:val="Hyperlink"/>
          <w:rFonts w:ascii="Arial" w:hAnsi="Arial" w:cs="Arial"/>
          <w:b/>
          <w:color w:val="000000" w:themeColor="text1"/>
          <w:sz w:val="20"/>
          <w:szCs w:val="20"/>
          <w:u w:val="none"/>
        </w:rPr>
      </w:pPr>
    </w:p>
    <w:p w:rsidR="00D95DD3" w:rsidRPr="00A24F26" w:rsidRDefault="006422A6" w:rsidP="00D95DD3">
      <w:pPr>
        <w:spacing w:after="0"/>
        <w:jc w:val="both"/>
        <w:rPr>
          <w:rFonts w:ascii="Arial" w:hAnsi="Arial" w:cs="Arial"/>
          <w:b/>
          <w:color w:val="000000" w:themeColor="text1"/>
          <w:sz w:val="20"/>
          <w:szCs w:val="20"/>
        </w:rPr>
      </w:pPr>
      <w:r w:rsidRPr="00A24F26">
        <w:rPr>
          <w:rFonts w:ascii="Arial" w:hAnsi="Arial" w:cs="Arial"/>
          <w:b/>
          <w:color w:val="000000" w:themeColor="text1"/>
          <w:sz w:val="20"/>
          <w:szCs w:val="20"/>
        </w:rPr>
        <w:t xml:space="preserve">2. </w:t>
      </w:r>
      <w:r w:rsidR="009435E6" w:rsidRPr="00A24F26">
        <w:rPr>
          <w:rFonts w:ascii="Arial" w:hAnsi="Arial" w:cs="Arial"/>
          <w:b/>
          <w:color w:val="000000" w:themeColor="text1"/>
          <w:sz w:val="20"/>
          <w:szCs w:val="20"/>
        </w:rPr>
        <w:t>Relatório de auditoria. Verificação das providências adotadas pela PETROBRAS em razão das multas ambientais aplicadas pelo IBAMA nos exercícios de 2012 a 2014. Incompatibilidades técnicas da metodologia de monitoramento da qualidade da água descartada pelas plataformas. Recomendação aos órgãos envolvidos para avaliação do normativo que define as metodologias de monitoramento aceitas pelo IBAMA. Falhas na dosimetria das multas e na fundamentação das autuações. Oitiva do IBAMA. Justificativas que indicam providências para elevar a objetividade da dosimetria das sanções. Considerações sobre a necessidade de laudo técnico que caracterize a amplitude do dano ambiental e de aplicação de penalidade de advertência previamente à cominação de multa. Determinação para constituição de processo apartado para aprofundar as análises a respeito da responsabilidade administrativa por infrações ambientais. Arquivamento. Relatório</w:t>
      </w:r>
    </w:p>
    <w:p w:rsidR="00B036BD" w:rsidRPr="00A24F26" w:rsidRDefault="00B036BD" w:rsidP="00816942">
      <w:pPr>
        <w:spacing w:after="0"/>
        <w:jc w:val="both"/>
        <w:rPr>
          <w:rStyle w:val="Hyperlink"/>
          <w:rFonts w:ascii="Arial" w:hAnsi="Arial" w:cs="Arial"/>
          <w:b/>
          <w:color w:val="000000" w:themeColor="text1"/>
          <w:sz w:val="20"/>
          <w:szCs w:val="20"/>
          <w:u w:val="none"/>
        </w:rPr>
      </w:pPr>
    </w:p>
    <w:p w:rsidR="00D95DD3" w:rsidRPr="00A24F26" w:rsidRDefault="00D95DD3" w:rsidP="00D95DD3">
      <w:pPr>
        <w:pStyle w:val="TCU-Epgrafe"/>
        <w:ind w:left="0"/>
        <w:rPr>
          <w:rFonts w:ascii="Arial" w:hAnsi="Arial" w:cs="Arial"/>
          <w:sz w:val="20"/>
        </w:rPr>
      </w:pPr>
      <w:r w:rsidRPr="00A24F26">
        <w:rPr>
          <w:rFonts w:ascii="Arial" w:hAnsi="Arial" w:cs="Arial"/>
          <w:sz w:val="20"/>
        </w:rPr>
        <w:t xml:space="preserve">ACORDAM os Ministros do Tribunal de Contas da União, reunidos em Sessão do Plenário, com fundamento nos </w:t>
      </w:r>
      <w:proofErr w:type="spellStart"/>
      <w:r w:rsidRPr="00A24F26">
        <w:rPr>
          <w:rFonts w:ascii="Arial" w:hAnsi="Arial" w:cs="Arial"/>
          <w:sz w:val="20"/>
        </w:rPr>
        <w:t>arts</w:t>
      </w:r>
      <w:proofErr w:type="spellEnd"/>
      <w:r w:rsidRPr="00A24F26">
        <w:rPr>
          <w:rFonts w:ascii="Arial" w:hAnsi="Arial" w:cs="Arial"/>
          <w:sz w:val="20"/>
        </w:rPr>
        <w:t>. 169 e 250, inciso III, do Regimento Interno do TCU c/</w:t>
      </w:r>
      <w:proofErr w:type="gramStart"/>
      <w:r w:rsidRPr="00A24F26">
        <w:rPr>
          <w:rFonts w:ascii="Arial" w:hAnsi="Arial" w:cs="Arial"/>
          <w:sz w:val="20"/>
        </w:rPr>
        <w:t>c</w:t>
      </w:r>
      <w:proofErr w:type="gramEnd"/>
      <w:r w:rsidRPr="00A24F26">
        <w:rPr>
          <w:rFonts w:ascii="Arial" w:hAnsi="Arial" w:cs="Arial"/>
          <w:sz w:val="20"/>
        </w:rPr>
        <w:t xml:space="preserve"> os </w:t>
      </w:r>
      <w:proofErr w:type="spellStart"/>
      <w:r w:rsidRPr="00A24F26">
        <w:rPr>
          <w:rFonts w:ascii="Arial" w:hAnsi="Arial" w:cs="Arial"/>
          <w:sz w:val="20"/>
        </w:rPr>
        <w:t>arts</w:t>
      </w:r>
      <w:proofErr w:type="spellEnd"/>
      <w:r w:rsidRPr="00A24F26">
        <w:rPr>
          <w:rFonts w:ascii="Arial" w:hAnsi="Arial" w:cs="Arial"/>
          <w:sz w:val="20"/>
        </w:rPr>
        <w:t>. 43 e 44 da Resolução TCU 259/2014, ante as razões expostas pelo relator, em:</w:t>
      </w:r>
    </w:p>
    <w:p w:rsidR="00D95DD3" w:rsidRPr="00A24F26" w:rsidRDefault="00D95DD3" w:rsidP="00D95DD3">
      <w:pPr>
        <w:pStyle w:val="TCU-Epgrafe"/>
        <w:ind w:left="0"/>
        <w:rPr>
          <w:rFonts w:ascii="Arial" w:hAnsi="Arial" w:cs="Arial"/>
          <w:sz w:val="20"/>
        </w:rPr>
      </w:pPr>
      <w:r w:rsidRPr="00A24F26">
        <w:rPr>
          <w:rFonts w:ascii="Arial" w:hAnsi="Arial" w:cs="Arial"/>
          <w:sz w:val="20"/>
        </w:rPr>
        <w:t>9.1 recomendar ao Instituto Brasileiro do Meio Ambiente e dos Recursos Naturais Renováveis – Ibama, ao Mini</w:t>
      </w:r>
      <w:r w:rsidR="00A24F26">
        <w:rPr>
          <w:rFonts w:ascii="Arial" w:hAnsi="Arial" w:cs="Arial"/>
          <w:sz w:val="20"/>
        </w:rPr>
        <w:t>stério de Minas e Energia (MME)</w:t>
      </w:r>
      <w:bookmarkStart w:id="0" w:name="_GoBack"/>
      <w:bookmarkEnd w:id="0"/>
      <w:r w:rsidRPr="00A24F26">
        <w:rPr>
          <w:rFonts w:ascii="Arial" w:hAnsi="Arial" w:cs="Arial"/>
          <w:sz w:val="20"/>
        </w:rPr>
        <w:t xml:space="preserve">, ao Ministério do Meio Ambiente (MMA) e à Petrobras que avaliem a conveniência e a oportunidade de analisar, discutir a eficácia ou rever dispositivos da Resolução Conama 393/2007, notadamente seus </w:t>
      </w:r>
      <w:proofErr w:type="spellStart"/>
      <w:r w:rsidRPr="00A24F26">
        <w:rPr>
          <w:rFonts w:ascii="Arial" w:hAnsi="Arial" w:cs="Arial"/>
          <w:sz w:val="20"/>
        </w:rPr>
        <w:t>arts</w:t>
      </w:r>
      <w:proofErr w:type="spellEnd"/>
      <w:r w:rsidRPr="00A24F26">
        <w:rPr>
          <w:rFonts w:ascii="Arial" w:hAnsi="Arial" w:cs="Arial"/>
          <w:sz w:val="20"/>
        </w:rPr>
        <w:t>. 5º, 6º, 10 e 15, com vistas a torná-la exequível por parte das unidades de produção de petróleo e gás </w:t>
      </w:r>
      <w:r w:rsidRPr="00A24F26">
        <w:rPr>
          <w:rFonts w:ascii="Arial" w:hAnsi="Arial" w:cs="Arial"/>
          <w:b/>
          <w:bCs/>
          <w:sz w:val="20"/>
        </w:rPr>
        <w:t>offshore </w:t>
      </w:r>
      <w:r w:rsidRPr="00A24F26">
        <w:rPr>
          <w:rFonts w:ascii="Arial" w:hAnsi="Arial" w:cs="Arial"/>
          <w:sz w:val="20"/>
        </w:rPr>
        <w:t xml:space="preserve">que não </w:t>
      </w:r>
      <w:r w:rsidRPr="00A24F26">
        <w:rPr>
          <w:rFonts w:ascii="Arial" w:hAnsi="Arial" w:cs="Arial"/>
          <w:sz w:val="20"/>
        </w:rPr>
        <w:lastRenderedPageBreak/>
        <w:t>podem realizar o método gravimétrico para medição do teor de óleo e graxa especificado (limites diários e mensais previstos no </w:t>
      </w:r>
      <w:r w:rsidRPr="00A24F26">
        <w:rPr>
          <w:rFonts w:ascii="Arial" w:hAnsi="Arial" w:cs="Arial"/>
          <w:b/>
          <w:bCs/>
          <w:sz w:val="20"/>
        </w:rPr>
        <w:t>caput</w:t>
      </w:r>
      <w:r w:rsidRPr="00A24F26">
        <w:rPr>
          <w:rFonts w:ascii="Arial" w:hAnsi="Arial" w:cs="Arial"/>
          <w:sz w:val="20"/>
        </w:rPr>
        <w:t> do art. 5º da referida norma) antes do descarte de efluentes ao mar, já que este método somente pode ser realizado em laboratório localizado em terra;</w:t>
      </w:r>
    </w:p>
    <w:p w:rsidR="00D95DD3" w:rsidRPr="00A24F26" w:rsidRDefault="00D95DD3" w:rsidP="00D95DD3">
      <w:pPr>
        <w:pStyle w:val="TCU-Epgrafe"/>
        <w:ind w:left="0"/>
        <w:rPr>
          <w:rFonts w:ascii="Arial" w:hAnsi="Arial" w:cs="Arial"/>
          <w:sz w:val="20"/>
        </w:rPr>
      </w:pPr>
      <w:r w:rsidRPr="00A24F26">
        <w:rPr>
          <w:rFonts w:ascii="Arial" w:hAnsi="Arial" w:cs="Arial"/>
          <w:sz w:val="20"/>
        </w:rPr>
        <w:t xml:space="preserve">9.2. </w:t>
      </w:r>
      <w:proofErr w:type="gramStart"/>
      <w:r w:rsidRPr="00A24F26">
        <w:rPr>
          <w:rFonts w:ascii="Arial" w:hAnsi="Arial" w:cs="Arial"/>
          <w:sz w:val="20"/>
        </w:rPr>
        <w:t>determinar</w:t>
      </w:r>
      <w:proofErr w:type="gramEnd"/>
      <w:r w:rsidRPr="00A24F26">
        <w:rPr>
          <w:rFonts w:ascii="Arial" w:hAnsi="Arial" w:cs="Arial"/>
          <w:sz w:val="20"/>
        </w:rPr>
        <w:t xml:space="preserve"> à </w:t>
      </w:r>
      <w:proofErr w:type="spellStart"/>
      <w:r w:rsidRPr="00A24F26">
        <w:rPr>
          <w:rFonts w:ascii="Arial" w:hAnsi="Arial" w:cs="Arial"/>
          <w:sz w:val="20"/>
        </w:rPr>
        <w:t>SecexAmbiental</w:t>
      </w:r>
      <w:proofErr w:type="spellEnd"/>
      <w:r w:rsidRPr="00A24F26">
        <w:rPr>
          <w:rFonts w:ascii="Arial" w:hAnsi="Arial" w:cs="Arial"/>
          <w:sz w:val="20"/>
        </w:rPr>
        <w:t xml:space="preserve"> que constitua processo apartado com o fim de aprofundar as análises a respeito da responsabilidade administrativa por infrações ambientais, nos termos da Lei 9.605/1998, art. 72, § 3º, e do Decreto 6.514/2008, art. 3°, § 2°;</w:t>
      </w:r>
    </w:p>
    <w:p w:rsidR="00D95DD3" w:rsidRPr="00A24F26" w:rsidRDefault="00D95DD3" w:rsidP="00D95DD3">
      <w:pPr>
        <w:pStyle w:val="TCU-Epgrafe"/>
        <w:ind w:left="0"/>
        <w:rPr>
          <w:rFonts w:ascii="Arial" w:hAnsi="Arial" w:cs="Arial"/>
          <w:sz w:val="20"/>
        </w:rPr>
      </w:pPr>
      <w:r w:rsidRPr="00A24F26">
        <w:rPr>
          <w:rFonts w:ascii="Arial" w:hAnsi="Arial" w:cs="Arial"/>
          <w:sz w:val="20"/>
        </w:rPr>
        <w:t xml:space="preserve">9.3. </w:t>
      </w:r>
      <w:proofErr w:type="gramStart"/>
      <w:r w:rsidRPr="00A24F26">
        <w:rPr>
          <w:rFonts w:ascii="Arial" w:hAnsi="Arial" w:cs="Arial"/>
          <w:sz w:val="20"/>
        </w:rPr>
        <w:t>arquivar</w:t>
      </w:r>
      <w:proofErr w:type="gramEnd"/>
      <w:r w:rsidRPr="00A24F26">
        <w:rPr>
          <w:rFonts w:ascii="Arial" w:hAnsi="Arial" w:cs="Arial"/>
          <w:sz w:val="20"/>
        </w:rPr>
        <w:t xml:space="preserve"> os presentes autos.</w:t>
      </w:r>
    </w:p>
    <w:p w:rsidR="00DC527B" w:rsidRPr="00A24F26" w:rsidRDefault="00DC527B" w:rsidP="00D95DD3">
      <w:pPr>
        <w:pStyle w:val="TCU-Epgrafe"/>
        <w:ind w:left="0"/>
        <w:jc w:val="left"/>
        <w:rPr>
          <w:rFonts w:ascii="Arial" w:hAnsi="Arial" w:cs="Arial"/>
          <w:sz w:val="20"/>
        </w:rPr>
      </w:pPr>
    </w:p>
    <w:p w:rsidR="00861DB4" w:rsidRPr="00A24F26" w:rsidRDefault="00861DB4" w:rsidP="00003020">
      <w:pPr>
        <w:pStyle w:val="Corpodetexto"/>
        <w:jc w:val="both"/>
        <w:rPr>
          <w:rFonts w:ascii="Arial" w:hAnsi="Arial" w:cs="Arial"/>
          <w:sz w:val="20"/>
          <w:szCs w:val="20"/>
          <w:lang w:val="pt-BR"/>
        </w:rPr>
      </w:pPr>
      <w:r w:rsidRPr="00A24F26">
        <w:rPr>
          <w:rFonts w:ascii="Arial" w:hAnsi="Arial" w:cs="Arial"/>
          <w:sz w:val="20"/>
          <w:szCs w:val="20"/>
          <w:lang w:val="pt-BR"/>
        </w:rPr>
        <w:t>TC-</w:t>
      </w:r>
      <w:r w:rsidR="00BC58E1" w:rsidRPr="00A24F26">
        <w:rPr>
          <w:rFonts w:ascii="Arial" w:hAnsi="Arial" w:cs="Arial"/>
          <w:sz w:val="20"/>
          <w:szCs w:val="20"/>
          <w:lang w:val="pt-BR"/>
        </w:rPr>
        <w:t>014.401/2015-0</w:t>
      </w:r>
      <w:r w:rsidRPr="00A24F26">
        <w:rPr>
          <w:rFonts w:ascii="Arial" w:hAnsi="Arial" w:cs="Arial"/>
          <w:sz w:val="20"/>
          <w:szCs w:val="20"/>
          <w:lang w:val="pt-BR"/>
        </w:rPr>
        <w:t xml:space="preserve"> </w:t>
      </w:r>
      <w:r w:rsidR="008B407A" w:rsidRPr="00A24F26">
        <w:rPr>
          <w:rFonts w:ascii="Arial" w:hAnsi="Arial" w:cs="Arial"/>
          <w:sz w:val="20"/>
          <w:szCs w:val="20"/>
          <w:lang w:val="pt-BR"/>
        </w:rPr>
        <w:t>–</w:t>
      </w:r>
      <w:r w:rsidR="00BC58E1" w:rsidRPr="00A24F26">
        <w:rPr>
          <w:rFonts w:ascii="Arial" w:hAnsi="Arial" w:cs="Arial"/>
          <w:sz w:val="20"/>
          <w:szCs w:val="20"/>
          <w:lang w:val="pt-BR"/>
        </w:rPr>
        <w:t xml:space="preserve"> </w:t>
      </w:r>
      <w:hyperlink r:id="rId9" w:history="1">
        <w:r w:rsidR="00BC58E1" w:rsidRPr="00A24F26">
          <w:rPr>
            <w:rStyle w:val="Hyperlink"/>
            <w:rFonts w:ascii="Arial" w:hAnsi="Arial" w:cs="Arial"/>
            <w:sz w:val="20"/>
            <w:szCs w:val="20"/>
            <w:lang w:val="pt-BR"/>
          </w:rPr>
          <w:t>Acórdão n.º 1432/2017</w:t>
        </w:r>
      </w:hyperlink>
      <w:r w:rsidR="00CA7D59" w:rsidRPr="00A24F26">
        <w:rPr>
          <w:rFonts w:ascii="Arial" w:hAnsi="Arial" w:cs="Arial"/>
          <w:sz w:val="20"/>
          <w:szCs w:val="20"/>
          <w:lang w:val="pt-BR"/>
        </w:rPr>
        <w:t xml:space="preserve"> </w:t>
      </w:r>
      <w:r w:rsidRPr="00A24F26">
        <w:rPr>
          <w:rFonts w:ascii="Arial" w:hAnsi="Arial" w:cs="Arial"/>
          <w:sz w:val="20"/>
          <w:szCs w:val="20"/>
          <w:lang w:val="pt-BR"/>
        </w:rPr>
        <w:t>Re</w:t>
      </w:r>
      <w:r w:rsidR="008B407A" w:rsidRPr="00A24F26">
        <w:rPr>
          <w:rFonts w:ascii="Arial" w:hAnsi="Arial" w:cs="Arial"/>
          <w:sz w:val="20"/>
          <w:szCs w:val="20"/>
          <w:lang w:val="pt-BR"/>
        </w:rPr>
        <w:t>latório de Auditor</w:t>
      </w:r>
      <w:r w:rsidR="00C35E72" w:rsidRPr="00A24F26">
        <w:rPr>
          <w:rFonts w:ascii="Arial" w:hAnsi="Arial" w:cs="Arial"/>
          <w:sz w:val="20"/>
          <w:szCs w:val="20"/>
          <w:lang w:val="pt-BR"/>
        </w:rPr>
        <w:t>i</w:t>
      </w:r>
      <w:r w:rsidR="008B407A" w:rsidRPr="00A24F26">
        <w:rPr>
          <w:rFonts w:ascii="Arial" w:hAnsi="Arial" w:cs="Arial"/>
          <w:sz w:val="20"/>
          <w:szCs w:val="20"/>
          <w:lang w:val="pt-BR"/>
        </w:rPr>
        <w:t>a</w:t>
      </w:r>
      <w:r w:rsidRPr="00A24F26">
        <w:rPr>
          <w:rFonts w:ascii="Arial" w:hAnsi="Arial" w:cs="Arial"/>
          <w:sz w:val="20"/>
          <w:szCs w:val="20"/>
          <w:lang w:val="pt-BR"/>
        </w:rPr>
        <w:t>, Relator Ministro</w:t>
      </w:r>
      <w:r w:rsidR="00BC58E1" w:rsidRPr="00A24F26">
        <w:rPr>
          <w:rFonts w:ascii="Arial" w:hAnsi="Arial" w:cs="Arial"/>
          <w:sz w:val="20"/>
          <w:szCs w:val="20"/>
          <w:lang w:val="pt-BR"/>
        </w:rPr>
        <w:t xml:space="preserve"> José </w:t>
      </w:r>
      <w:proofErr w:type="spellStart"/>
      <w:r w:rsidR="00BC58E1" w:rsidRPr="00A24F26">
        <w:rPr>
          <w:rFonts w:ascii="Arial" w:hAnsi="Arial" w:cs="Arial"/>
          <w:sz w:val="20"/>
          <w:szCs w:val="20"/>
          <w:lang w:val="pt-BR"/>
        </w:rPr>
        <w:t>Múcio</w:t>
      </w:r>
      <w:proofErr w:type="spellEnd"/>
      <w:r w:rsidR="00BC58E1" w:rsidRPr="00A24F26">
        <w:rPr>
          <w:rFonts w:ascii="Arial" w:hAnsi="Arial" w:cs="Arial"/>
          <w:sz w:val="20"/>
          <w:szCs w:val="20"/>
          <w:lang w:val="pt-BR"/>
        </w:rPr>
        <w:t xml:space="preserve"> Monteiro</w:t>
      </w:r>
      <w:r w:rsidRPr="00A24F26">
        <w:rPr>
          <w:rFonts w:ascii="Arial" w:hAnsi="Arial" w:cs="Arial"/>
          <w:sz w:val="20"/>
          <w:szCs w:val="20"/>
          <w:lang w:val="pt-BR"/>
        </w:rPr>
        <w:t>.</w:t>
      </w:r>
    </w:p>
    <w:p w:rsidR="00154F83" w:rsidRPr="00A24F26" w:rsidRDefault="00154F83" w:rsidP="00003020">
      <w:pPr>
        <w:pStyle w:val="Corpodetexto"/>
        <w:jc w:val="both"/>
        <w:rPr>
          <w:rFonts w:ascii="Arial" w:hAnsi="Arial" w:cs="Arial"/>
          <w:sz w:val="20"/>
          <w:szCs w:val="20"/>
          <w:lang w:val="pt-BR"/>
        </w:rPr>
      </w:pPr>
    </w:p>
    <w:p w:rsidR="00154F83" w:rsidRPr="00A24F26" w:rsidRDefault="00154F83" w:rsidP="00003020">
      <w:pPr>
        <w:pStyle w:val="Corpodetexto"/>
        <w:jc w:val="both"/>
        <w:rPr>
          <w:rFonts w:ascii="Arial" w:hAnsi="Arial" w:cs="Arial"/>
          <w:sz w:val="20"/>
          <w:szCs w:val="20"/>
          <w:lang w:val="pt-BR"/>
        </w:rPr>
      </w:pPr>
    </w:p>
    <w:p w:rsidR="00154F83" w:rsidRPr="00A24F26" w:rsidRDefault="00211579" w:rsidP="00154F83">
      <w:pPr>
        <w:shd w:val="pct10" w:color="auto" w:fill="auto"/>
        <w:spacing w:after="0"/>
        <w:jc w:val="center"/>
        <w:rPr>
          <w:rFonts w:ascii="Arial" w:hAnsi="Arial" w:cs="Arial"/>
          <w:b/>
          <w:sz w:val="20"/>
          <w:szCs w:val="20"/>
        </w:rPr>
      </w:pPr>
      <w:r w:rsidRPr="00A24F26">
        <w:rPr>
          <w:rFonts w:ascii="Arial" w:hAnsi="Arial" w:cs="Arial"/>
          <w:b/>
          <w:sz w:val="20"/>
          <w:szCs w:val="20"/>
        </w:rPr>
        <w:t>TRIBUNAL REGIONAL FEDERAL DA 4ª REGIÃO</w:t>
      </w:r>
    </w:p>
    <w:p w:rsidR="00154F83" w:rsidRPr="00A24F26" w:rsidRDefault="00154F83" w:rsidP="00003020">
      <w:pPr>
        <w:pStyle w:val="Corpodetexto"/>
        <w:jc w:val="both"/>
        <w:rPr>
          <w:rFonts w:ascii="Arial" w:hAnsi="Arial" w:cs="Arial"/>
          <w:sz w:val="20"/>
          <w:szCs w:val="20"/>
          <w:lang w:val="pt-BR"/>
        </w:rPr>
      </w:pPr>
    </w:p>
    <w:p w:rsidR="006422A6" w:rsidRPr="00A24F26" w:rsidRDefault="006422A6" w:rsidP="00636F1C">
      <w:pPr>
        <w:spacing w:after="0"/>
        <w:jc w:val="both"/>
        <w:rPr>
          <w:rFonts w:ascii="Arial" w:hAnsi="Arial" w:cs="Arial"/>
          <w:bCs/>
          <w:color w:val="000000"/>
          <w:sz w:val="20"/>
          <w:szCs w:val="20"/>
          <w:shd w:val="clear" w:color="auto" w:fill="FFFFFF"/>
        </w:rPr>
      </w:pPr>
      <w:r w:rsidRPr="00A24F26">
        <w:rPr>
          <w:rFonts w:ascii="Arial" w:hAnsi="Arial" w:cs="Arial"/>
          <w:b/>
          <w:color w:val="000000"/>
          <w:sz w:val="20"/>
          <w:szCs w:val="20"/>
          <w:shd w:val="clear" w:color="auto" w:fill="FFFFFF"/>
        </w:rPr>
        <w:t xml:space="preserve">3. Administrativo. Ação demolitória. </w:t>
      </w:r>
      <w:r w:rsidR="00644710" w:rsidRPr="00A24F26">
        <w:rPr>
          <w:rFonts w:ascii="Arial" w:hAnsi="Arial" w:cs="Arial"/>
          <w:b/>
          <w:color w:val="000000"/>
          <w:sz w:val="20"/>
          <w:szCs w:val="20"/>
          <w:shd w:val="clear" w:color="auto" w:fill="FFFFFF"/>
        </w:rPr>
        <w:t>DNIT</w:t>
      </w:r>
      <w:r w:rsidRPr="00A24F26">
        <w:rPr>
          <w:rFonts w:ascii="Arial" w:hAnsi="Arial" w:cs="Arial"/>
          <w:b/>
          <w:color w:val="000000"/>
          <w:sz w:val="20"/>
          <w:szCs w:val="20"/>
          <w:shd w:val="clear" w:color="auto" w:fill="FFFFFF"/>
        </w:rPr>
        <w:t xml:space="preserve">. Rodovia federal. Edificação em área </w:t>
      </w:r>
      <w:r w:rsidRPr="00A24F26">
        <w:rPr>
          <w:rFonts w:ascii="Arial" w:hAnsi="Arial" w:cs="Arial"/>
          <w:b/>
          <w:i/>
          <w:color w:val="000000"/>
          <w:sz w:val="20"/>
          <w:szCs w:val="20"/>
          <w:shd w:val="clear" w:color="auto" w:fill="FFFFFF"/>
        </w:rPr>
        <w:t xml:space="preserve">non </w:t>
      </w:r>
      <w:proofErr w:type="spellStart"/>
      <w:r w:rsidRPr="00A24F26">
        <w:rPr>
          <w:rFonts w:ascii="Arial" w:hAnsi="Arial" w:cs="Arial"/>
          <w:b/>
          <w:i/>
          <w:color w:val="000000"/>
          <w:sz w:val="20"/>
          <w:szCs w:val="20"/>
          <w:shd w:val="clear" w:color="auto" w:fill="FFFFFF"/>
        </w:rPr>
        <w:t>aedificandi</w:t>
      </w:r>
      <w:proofErr w:type="spellEnd"/>
      <w:r w:rsidRPr="00A24F26">
        <w:rPr>
          <w:rFonts w:ascii="Arial" w:hAnsi="Arial" w:cs="Arial"/>
          <w:b/>
          <w:color w:val="000000"/>
          <w:sz w:val="20"/>
          <w:szCs w:val="20"/>
          <w:shd w:val="clear" w:color="auto" w:fill="FFFFFF"/>
        </w:rPr>
        <w:t xml:space="preserve">. Princípio da razoabilidade. Conflito de interesses público e privado. Direito à moradia. </w:t>
      </w:r>
    </w:p>
    <w:p w:rsidR="006422A6" w:rsidRPr="00A24F26" w:rsidRDefault="006422A6" w:rsidP="00636F1C">
      <w:pPr>
        <w:spacing w:after="0"/>
        <w:jc w:val="both"/>
        <w:rPr>
          <w:rFonts w:ascii="Arial" w:hAnsi="Arial" w:cs="Arial"/>
          <w:bCs/>
          <w:color w:val="000000"/>
          <w:sz w:val="20"/>
          <w:szCs w:val="20"/>
          <w:shd w:val="clear" w:color="auto" w:fill="FFFFFF"/>
        </w:rPr>
      </w:pPr>
    </w:p>
    <w:p w:rsidR="00636F1C" w:rsidRPr="00A24F26" w:rsidRDefault="00636F1C" w:rsidP="00636F1C">
      <w:pPr>
        <w:spacing w:after="0"/>
        <w:jc w:val="both"/>
        <w:rPr>
          <w:rFonts w:ascii="Arial" w:hAnsi="Arial" w:cs="Arial"/>
          <w:bCs/>
          <w:color w:val="000000"/>
          <w:sz w:val="20"/>
          <w:szCs w:val="20"/>
          <w:shd w:val="clear" w:color="auto" w:fill="FFFFFF"/>
        </w:rPr>
      </w:pPr>
      <w:r w:rsidRPr="00A24F26">
        <w:rPr>
          <w:rFonts w:ascii="Arial" w:hAnsi="Arial" w:cs="Arial"/>
          <w:bCs/>
          <w:color w:val="000000"/>
          <w:sz w:val="20"/>
          <w:szCs w:val="20"/>
          <w:shd w:val="clear" w:color="auto" w:fill="FFFFFF"/>
        </w:rPr>
        <w:t xml:space="preserve">Evidente o conflito entre o interesse público relativo </w:t>
      </w:r>
      <w:proofErr w:type="gramStart"/>
      <w:r w:rsidRPr="00A24F26">
        <w:rPr>
          <w:rFonts w:ascii="Arial" w:hAnsi="Arial" w:cs="Arial"/>
          <w:bCs/>
          <w:color w:val="000000"/>
          <w:sz w:val="20"/>
          <w:szCs w:val="20"/>
          <w:shd w:val="clear" w:color="auto" w:fill="FFFFFF"/>
        </w:rPr>
        <w:t>à</w:t>
      </w:r>
      <w:proofErr w:type="gramEnd"/>
      <w:r w:rsidRPr="00A24F26">
        <w:rPr>
          <w:rFonts w:ascii="Arial" w:hAnsi="Arial" w:cs="Arial"/>
          <w:bCs/>
          <w:color w:val="000000"/>
          <w:sz w:val="20"/>
          <w:szCs w:val="20"/>
          <w:shd w:val="clear" w:color="auto" w:fill="FFFFFF"/>
        </w:rPr>
        <w:t xml:space="preserve"> segurança na rodovia e o interesse particular relativo ao direito à moradia. Diante desse quadro, cabe ao julgador </w:t>
      </w:r>
      <w:proofErr w:type="spellStart"/>
      <w:r w:rsidRPr="00A24F26">
        <w:rPr>
          <w:rFonts w:ascii="Arial" w:hAnsi="Arial" w:cs="Arial"/>
          <w:bCs/>
          <w:color w:val="000000"/>
          <w:sz w:val="20"/>
          <w:szCs w:val="20"/>
          <w:shd w:val="clear" w:color="auto" w:fill="FFFFFF"/>
        </w:rPr>
        <w:t>podendar</w:t>
      </w:r>
      <w:proofErr w:type="spellEnd"/>
      <w:r w:rsidRPr="00A24F26">
        <w:rPr>
          <w:rFonts w:ascii="Arial" w:hAnsi="Arial" w:cs="Arial"/>
          <w:bCs/>
          <w:color w:val="000000"/>
          <w:sz w:val="20"/>
          <w:szCs w:val="20"/>
          <w:shd w:val="clear" w:color="auto" w:fill="FFFFFF"/>
        </w:rPr>
        <w:t xml:space="preserve">, no caso concreto, qual dos interesses atende aos critérios de justiça e razoabilidade.  - A proibição de construir na área não edificável, se constitui em mera limitação administrativa. - </w:t>
      </w:r>
      <w:r w:rsidRPr="00A24F26">
        <w:rPr>
          <w:rFonts w:ascii="Arial" w:hAnsi="Arial" w:cs="Arial"/>
          <w:bCs/>
          <w:i/>
          <w:color w:val="000000"/>
          <w:sz w:val="20"/>
          <w:szCs w:val="20"/>
          <w:shd w:val="clear" w:color="auto" w:fill="FFFFFF"/>
        </w:rPr>
        <w:t xml:space="preserve">In </w:t>
      </w:r>
      <w:proofErr w:type="spellStart"/>
      <w:r w:rsidRPr="00A24F26">
        <w:rPr>
          <w:rFonts w:ascii="Arial" w:hAnsi="Arial" w:cs="Arial"/>
          <w:bCs/>
          <w:i/>
          <w:color w:val="000000"/>
          <w:sz w:val="20"/>
          <w:szCs w:val="20"/>
          <w:shd w:val="clear" w:color="auto" w:fill="FFFFFF"/>
        </w:rPr>
        <w:t>casu</w:t>
      </w:r>
      <w:proofErr w:type="spellEnd"/>
      <w:r w:rsidRPr="00A24F26">
        <w:rPr>
          <w:rFonts w:ascii="Arial" w:hAnsi="Arial" w:cs="Arial"/>
          <w:bCs/>
          <w:color w:val="000000"/>
          <w:sz w:val="20"/>
          <w:szCs w:val="20"/>
          <w:shd w:val="clear" w:color="auto" w:fill="FFFFFF"/>
        </w:rPr>
        <w:t xml:space="preserve">, demonstrado nos autos que a construção se destina à moradia, ocupando somente parte da área </w:t>
      </w:r>
      <w:r w:rsidRPr="00A24F26">
        <w:rPr>
          <w:rFonts w:ascii="Arial" w:hAnsi="Arial" w:cs="Arial"/>
          <w:bCs/>
          <w:i/>
          <w:color w:val="000000"/>
          <w:sz w:val="20"/>
          <w:szCs w:val="20"/>
          <w:shd w:val="clear" w:color="auto" w:fill="FFFFFF"/>
        </w:rPr>
        <w:t xml:space="preserve">non </w:t>
      </w:r>
      <w:proofErr w:type="spellStart"/>
      <w:r w:rsidRPr="00A24F26">
        <w:rPr>
          <w:rFonts w:ascii="Arial" w:hAnsi="Arial" w:cs="Arial"/>
          <w:bCs/>
          <w:i/>
          <w:color w:val="000000"/>
          <w:sz w:val="20"/>
          <w:szCs w:val="20"/>
          <w:shd w:val="clear" w:color="auto" w:fill="FFFFFF"/>
        </w:rPr>
        <w:t>aedificandi</w:t>
      </w:r>
      <w:proofErr w:type="spellEnd"/>
      <w:r w:rsidRPr="00A24F26">
        <w:rPr>
          <w:rFonts w:ascii="Arial" w:hAnsi="Arial" w:cs="Arial"/>
          <w:bCs/>
          <w:color w:val="000000"/>
          <w:sz w:val="20"/>
          <w:szCs w:val="20"/>
          <w:shd w:val="clear" w:color="auto" w:fill="FFFFFF"/>
        </w:rPr>
        <w:t xml:space="preserve">. Ademais, não houve comprovação da existência de risco à segurança da rodovia. - Não é razoável determinar a demolição de uma residência, comprovadamente utilizada para fins de moradia, somente por ter ela invadido parcela da área </w:t>
      </w:r>
      <w:r w:rsidRPr="00A24F26">
        <w:rPr>
          <w:rFonts w:ascii="Arial" w:hAnsi="Arial" w:cs="Arial"/>
          <w:bCs/>
          <w:i/>
          <w:color w:val="000000"/>
          <w:sz w:val="20"/>
          <w:szCs w:val="20"/>
          <w:shd w:val="clear" w:color="auto" w:fill="FFFFFF"/>
        </w:rPr>
        <w:t xml:space="preserve">non </w:t>
      </w:r>
      <w:proofErr w:type="spellStart"/>
      <w:r w:rsidRPr="00A24F26">
        <w:rPr>
          <w:rFonts w:ascii="Arial" w:hAnsi="Arial" w:cs="Arial"/>
          <w:bCs/>
          <w:i/>
          <w:color w:val="000000"/>
          <w:sz w:val="20"/>
          <w:szCs w:val="20"/>
          <w:shd w:val="clear" w:color="auto" w:fill="FFFFFF"/>
        </w:rPr>
        <w:t>aedificandi</w:t>
      </w:r>
      <w:proofErr w:type="spellEnd"/>
      <w:r w:rsidRPr="00A24F26">
        <w:rPr>
          <w:rFonts w:ascii="Arial" w:hAnsi="Arial" w:cs="Arial"/>
          <w:bCs/>
          <w:color w:val="000000"/>
          <w:sz w:val="20"/>
          <w:szCs w:val="20"/>
          <w:shd w:val="clear" w:color="auto" w:fill="FFFFFF"/>
        </w:rPr>
        <w:t>, notadamente quando não há prova da existência de risco à segurança do tráfego na BR 282.</w:t>
      </w:r>
    </w:p>
    <w:p w:rsidR="00636F1C" w:rsidRPr="00A24F26" w:rsidRDefault="00636F1C" w:rsidP="00636F1C">
      <w:pPr>
        <w:spacing w:after="0"/>
        <w:jc w:val="both"/>
        <w:rPr>
          <w:rFonts w:ascii="Arial" w:hAnsi="Arial" w:cs="Arial"/>
          <w:b/>
          <w:color w:val="000000"/>
          <w:sz w:val="20"/>
          <w:szCs w:val="20"/>
          <w:shd w:val="clear" w:color="auto" w:fill="FFFFFF"/>
        </w:rPr>
      </w:pPr>
    </w:p>
    <w:p w:rsidR="00636F1C" w:rsidRPr="00A24F26" w:rsidRDefault="00636F1C" w:rsidP="00636F1C">
      <w:pPr>
        <w:spacing w:after="0"/>
        <w:jc w:val="both"/>
        <w:rPr>
          <w:rFonts w:ascii="Arial" w:hAnsi="Arial" w:cs="Arial"/>
          <w:bCs/>
          <w:color w:val="000000"/>
          <w:sz w:val="20"/>
          <w:szCs w:val="20"/>
          <w:shd w:val="clear" w:color="auto" w:fill="FFFFFF"/>
        </w:rPr>
      </w:pPr>
      <w:r w:rsidRPr="00A24F26">
        <w:rPr>
          <w:rFonts w:ascii="Arial" w:hAnsi="Arial" w:cs="Arial"/>
          <w:bCs/>
          <w:color w:val="000000"/>
          <w:sz w:val="20"/>
          <w:szCs w:val="20"/>
          <w:shd w:val="clear" w:color="auto" w:fill="FFFFFF"/>
        </w:rPr>
        <w:t xml:space="preserve">TRF4, AC </w:t>
      </w:r>
      <w:hyperlink r:id="rId10" w:history="1">
        <w:r w:rsidRPr="00A24F26">
          <w:rPr>
            <w:rStyle w:val="Hyperlink"/>
            <w:rFonts w:ascii="Arial" w:hAnsi="Arial" w:cs="Arial"/>
            <w:bCs/>
            <w:sz w:val="20"/>
            <w:szCs w:val="20"/>
            <w:shd w:val="clear" w:color="auto" w:fill="FFFFFF"/>
          </w:rPr>
          <w:t>5000162-46.2015.4.04.7206</w:t>
        </w:r>
      </w:hyperlink>
      <w:r w:rsidRPr="00A24F26">
        <w:rPr>
          <w:rFonts w:ascii="Arial" w:hAnsi="Arial" w:cs="Arial"/>
          <w:bCs/>
          <w:color w:val="000000"/>
          <w:sz w:val="20"/>
          <w:szCs w:val="20"/>
          <w:shd w:val="clear" w:color="auto" w:fill="FFFFFF"/>
        </w:rPr>
        <w:t>, QUARTA TURMA, Relatora MARIA ISABEL PEZZI KLEIN, juntado aos autos em 30/01/2020</w:t>
      </w:r>
    </w:p>
    <w:p w:rsidR="002A365A" w:rsidRPr="00A24F26" w:rsidRDefault="002A365A" w:rsidP="00FC7478">
      <w:pPr>
        <w:spacing w:after="0"/>
        <w:jc w:val="both"/>
        <w:rPr>
          <w:rStyle w:val="Hyperlink"/>
          <w:rFonts w:ascii="Arial" w:hAnsi="Arial" w:cs="Arial"/>
          <w:b/>
          <w:color w:val="auto"/>
          <w:sz w:val="20"/>
          <w:szCs w:val="20"/>
          <w:u w:val="none"/>
        </w:rPr>
      </w:pPr>
    </w:p>
    <w:p w:rsidR="00B34863" w:rsidRPr="00A24F26" w:rsidRDefault="00B34863" w:rsidP="00B34863">
      <w:pPr>
        <w:shd w:val="pct10" w:color="auto" w:fill="auto"/>
        <w:spacing w:after="0"/>
        <w:jc w:val="center"/>
        <w:rPr>
          <w:rFonts w:ascii="Arial" w:hAnsi="Arial" w:cs="Arial"/>
          <w:b/>
          <w:sz w:val="20"/>
          <w:szCs w:val="20"/>
        </w:rPr>
      </w:pPr>
      <w:r w:rsidRPr="00A24F26">
        <w:rPr>
          <w:rFonts w:ascii="Arial" w:hAnsi="Arial" w:cs="Arial"/>
          <w:b/>
          <w:sz w:val="20"/>
          <w:szCs w:val="20"/>
        </w:rPr>
        <w:t xml:space="preserve">SUPERIOR TRIBUNAL DE JUSTIÇA </w:t>
      </w:r>
    </w:p>
    <w:p w:rsidR="009149FD" w:rsidRPr="00A24F26" w:rsidRDefault="009149FD" w:rsidP="00B34863">
      <w:pPr>
        <w:spacing w:after="0"/>
        <w:jc w:val="both"/>
        <w:rPr>
          <w:rFonts w:ascii="Arial" w:hAnsi="Arial" w:cs="Arial"/>
          <w:b/>
          <w:color w:val="000000"/>
          <w:sz w:val="20"/>
          <w:szCs w:val="20"/>
          <w:shd w:val="clear" w:color="auto" w:fill="FFFFFF"/>
        </w:rPr>
      </w:pPr>
    </w:p>
    <w:p w:rsidR="00211579" w:rsidRPr="00A24F26" w:rsidRDefault="006422A6" w:rsidP="00211579">
      <w:pPr>
        <w:pStyle w:val="Pr-formataoHTML"/>
        <w:shd w:val="clear" w:color="auto" w:fill="FFFFFF"/>
        <w:jc w:val="both"/>
        <w:rPr>
          <w:rFonts w:ascii="Arial" w:hAnsi="Arial" w:cs="Arial"/>
          <w:b/>
          <w:bCs/>
          <w:color w:val="000000" w:themeColor="text1"/>
        </w:rPr>
      </w:pPr>
      <w:r w:rsidRPr="00A24F26">
        <w:rPr>
          <w:rFonts w:ascii="Arial" w:hAnsi="Arial" w:cs="Arial"/>
          <w:b/>
          <w:bCs/>
          <w:color w:val="000000" w:themeColor="text1"/>
        </w:rPr>
        <w:t xml:space="preserve">4. </w:t>
      </w:r>
      <w:r w:rsidR="009435E6" w:rsidRPr="00A24F26">
        <w:rPr>
          <w:rFonts w:ascii="Arial" w:hAnsi="Arial" w:cs="Arial"/>
          <w:b/>
          <w:bCs/>
          <w:color w:val="000000" w:themeColor="text1"/>
        </w:rPr>
        <w:t xml:space="preserve">Recursos especiais. Ação civil pública. Direito ambiental. Construção e instalação de usina hidrelétrica de salto grande do chopim/pr. Código de processo civil de 1973. Aplicabilidade. Violação ao art. 535 do código de processo civil. Não conhecimento da alegação formulada pela união. Ausência da ofensa suscitada pelo IBAMA. Realização de obra potencialmente causadora de danos ambientais. Elaboração de prévio estudo de impacto ambiental. Necessidade. Atuação do IBAMA e da agência reguladora de energia elétrica. Cabimento. Extensão territorial para a realização do estudo de impacto ambiental. Toda a bacia hidrográfica. Arguição de ausência de previsão legal para atuação do IBAMA em razão de repercussão social do empreendimento. Razões dissociadas. Aplicação das súmulas </w:t>
      </w:r>
      <w:proofErr w:type="spellStart"/>
      <w:r w:rsidR="009435E6" w:rsidRPr="00A24F26">
        <w:rPr>
          <w:rFonts w:ascii="Arial" w:hAnsi="Arial" w:cs="Arial"/>
          <w:b/>
          <w:bCs/>
          <w:color w:val="000000" w:themeColor="text1"/>
        </w:rPr>
        <w:t>ns</w:t>
      </w:r>
      <w:proofErr w:type="spellEnd"/>
      <w:r w:rsidR="009435E6" w:rsidRPr="00A24F26">
        <w:rPr>
          <w:rFonts w:ascii="Arial" w:hAnsi="Arial" w:cs="Arial"/>
          <w:b/>
          <w:bCs/>
          <w:color w:val="000000" w:themeColor="text1"/>
        </w:rPr>
        <w:t>. 283 e 284 do STF. Conhecido em parte dos recursos especiais e negado provimento.</w:t>
      </w:r>
    </w:p>
    <w:p w:rsidR="00211579" w:rsidRPr="00A24F26" w:rsidRDefault="00211579" w:rsidP="00211579">
      <w:pPr>
        <w:pStyle w:val="Pr-formataoHTML"/>
        <w:shd w:val="clear" w:color="auto" w:fill="FFFFFF"/>
        <w:jc w:val="both"/>
        <w:rPr>
          <w:rFonts w:ascii="Arial" w:hAnsi="Arial" w:cs="Arial"/>
          <w:color w:val="000000" w:themeColor="text1"/>
        </w:rPr>
      </w:pPr>
    </w:p>
    <w:p w:rsidR="00211579" w:rsidRPr="00A24F26" w:rsidRDefault="00211579" w:rsidP="00211579">
      <w:pPr>
        <w:pStyle w:val="Pr-formataoHTML"/>
        <w:shd w:val="clear" w:color="auto" w:fill="FFFFFF"/>
        <w:jc w:val="both"/>
        <w:rPr>
          <w:rFonts w:ascii="Arial" w:hAnsi="Arial" w:cs="Arial"/>
          <w:color w:val="000000" w:themeColor="text1"/>
        </w:rPr>
      </w:pPr>
      <w:r w:rsidRPr="00A24F26">
        <w:rPr>
          <w:rFonts w:ascii="Arial" w:hAnsi="Arial" w:cs="Arial"/>
          <w:color w:val="000000" w:themeColor="text1"/>
        </w:rPr>
        <w:lastRenderedPageBreak/>
        <w:t xml:space="preserve">I - Consoante o decidido pelo Plenário desta Corte na sessão realizada em 09.03.2016, o regime recursal será determinado pela data da publicação do provimento jurisdicional impugnado. In </w:t>
      </w:r>
      <w:proofErr w:type="spellStart"/>
      <w:r w:rsidRPr="00A24F26">
        <w:rPr>
          <w:rFonts w:ascii="Arial" w:hAnsi="Arial" w:cs="Arial"/>
          <w:color w:val="000000" w:themeColor="text1"/>
        </w:rPr>
        <w:t>casu</w:t>
      </w:r>
      <w:proofErr w:type="spellEnd"/>
      <w:r w:rsidRPr="00A24F26">
        <w:rPr>
          <w:rFonts w:ascii="Arial" w:hAnsi="Arial" w:cs="Arial"/>
          <w:color w:val="000000" w:themeColor="text1"/>
        </w:rPr>
        <w:t>, aplica-se o Código de Processo Civil de 1973.</w:t>
      </w:r>
    </w:p>
    <w:p w:rsidR="00211579" w:rsidRPr="00A24F26" w:rsidRDefault="00211579" w:rsidP="00211579">
      <w:pPr>
        <w:pStyle w:val="Pr-formataoHTML"/>
        <w:shd w:val="clear" w:color="auto" w:fill="FFFFFF"/>
        <w:jc w:val="both"/>
        <w:rPr>
          <w:rFonts w:ascii="Arial" w:hAnsi="Arial" w:cs="Arial"/>
          <w:color w:val="000000" w:themeColor="text1"/>
        </w:rPr>
      </w:pPr>
      <w:r w:rsidRPr="00A24F26">
        <w:rPr>
          <w:rFonts w:ascii="Arial" w:hAnsi="Arial" w:cs="Arial"/>
          <w:color w:val="000000" w:themeColor="text1"/>
        </w:rPr>
        <w:t>II - A jurisprudência deste tribunal considera que, quando a arguição de ofensa ao dispositivo de lei federal é genérica, sem demonstração efetiva da contrariedade, aplica-se, por analogia, o entendimento da Súmula n. 284, do Supremo Tribunal Federal à alegada ofensa ao art. 535 do Código de Processo Civil formulada pela União.</w:t>
      </w:r>
    </w:p>
    <w:p w:rsidR="00211579" w:rsidRPr="00A24F26" w:rsidRDefault="00211579" w:rsidP="00211579">
      <w:pPr>
        <w:pStyle w:val="Pr-formataoHTML"/>
        <w:shd w:val="clear" w:color="auto" w:fill="FFFFFF"/>
        <w:jc w:val="both"/>
        <w:rPr>
          <w:rFonts w:ascii="Arial" w:hAnsi="Arial" w:cs="Arial"/>
          <w:color w:val="000000" w:themeColor="text1"/>
        </w:rPr>
      </w:pPr>
      <w:r w:rsidRPr="00A24F26">
        <w:rPr>
          <w:rFonts w:ascii="Arial" w:hAnsi="Arial" w:cs="Arial"/>
          <w:color w:val="000000" w:themeColor="text1"/>
        </w:rPr>
        <w:t>III - É omisso o acórdão que deixa de manifestar-se sobre questões relevantes, oportunamente suscitadas e que poderiam levar o julgamento a um resultado diverso do proclamado, e não quando os argumentos invocados não restarem estampados na ementa do julgado.</w:t>
      </w:r>
    </w:p>
    <w:p w:rsidR="00211579" w:rsidRPr="00A24F26" w:rsidRDefault="00211579" w:rsidP="00211579">
      <w:pPr>
        <w:pStyle w:val="Pr-formataoHTML"/>
        <w:shd w:val="clear" w:color="auto" w:fill="FFFFFF"/>
        <w:jc w:val="both"/>
        <w:rPr>
          <w:rFonts w:ascii="Arial" w:hAnsi="Arial" w:cs="Arial"/>
          <w:color w:val="000000" w:themeColor="text1"/>
        </w:rPr>
      </w:pPr>
      <w:r w:rsidRPr="00A24F26">
        <w:rPr>
          <w:rFonts w:ascii="Arial" w:hAnsi="Arial" w:cs="Arial"/>
          <w:color w:val="000000" w:themeColor="text1"/>
        </w:rPr>
        <w:t>IV - O Estudo de Impacto Ambiental tem como objetivo avaliar, previamente, os danos advindos de obra potencialmente causadora de considerável degradação, motivo pelo qual a respectiva concessão de licença ambiental fica condicionada à sua realização.</w:t>
      </w:r>
    </w:p>
    <w:p w:rsidR="00211579" w:rsidRPr="00A24F26" w:rsidRDefault="00211579" w:rsidP="00211579">
      <w:pPr>
        <w:pStyle w:val="Pr-formataoHTML"/>
        <w:shd w:val="clear" w:color="auto" w:fill="FFFFFF"/>
        <w:jc w:val="both"/>
        <w:rPr>
          <w:rFonts w:ascii="Arial" w:hAnsi="Arial" w:cs="Arial"/>
          <w:color w:val="000000" w:themeColor="text1"/>
        </w:rPr>
      </w:pPr>
      <w:r w:rsidRPr="00A24F26">
        <w:rPr>
          <w:rFonts w:ascii="Arial" w:hAnsi="Arial" w:cs="Arial"/>
          <w:color w:val="000000" w:themeColor="text1"/>
        </w:rPr>
        <w:t>V - É firme a orientação desta Corte no sentido de ser supletiva a competência do Ibama para o licenciamento ambiental. Precedentes.</w:t>
      </w:r>
    </w:p>
    <w:p w:rsidR="00211579" w:rsidRPr="00A24F26" w:rsidRDefault="00211579" w:rsidP="00211579">
      <w:pPr>
        <w:pStyle w:val="Pr-formataoHTML"/>
        <w:shd w:val="clear" w:color="auto" w:fill="FFFFFF"/>
        <w:jc w:val="both"/>
        <w:rPr>
          <w:rFonts w:ascii="Arial" w:hAnsi="Arial" w:cs="Arial"/>
          <w:color w:val="000000" w:themeColor="text1"/>
        </w:rPr>
      </w:pPr>
      <w:r w:rsidRPr="00A24F26">
        <w:rPr>
          <w:rFonts w:ascii="Arial" w:hAnsi="Arial" w:cs="Arial"/>
          <w:color w:val="000000" w:themeColor="text1"/>
        </w:rPr>
        <w:t>VI - O titular do serviço de geração ou exploração de energia hidrelétrica, ou a autarquia à qual foi concedida tal atividade, tem o dever de tomar as providências necessárias a fim de garantir que o Estudo de Impacto Ambiental seja realizado antes da concessão de licença para instalação da usina hidrelétrica, independentemente de a Bacia Hidrográfica na qual será construído o empreendimento estar restrita aos limites territoriais de um único Estado-membro.</w:t>
      </w:r>
    </w:p>
    <w:p w:rsidR="00211579" w:rsidRPr="00A24F26" w:rsidRDefault="00211579" w:rsidP="00211579">
      <w:pPr>
        <w:pStyle w:val="Pr-formataoHTML"/>
        <w:shd w:val="clear" w:color="auto" w:fill="FFFFFF"/>
        <w:jc w:val="both"/>
        <w:rPr>
          <w:rFonts w:ascii="Arial" w:hAnsi="Arial" w:cs="Arial"/>
          <w:color w:val="000000" w:themeColor="text1"/>
        </w:rPr>
      </w:pPr>
      <w:r w:rsidRPr="00A24F26">
        <w:rPr>
          <w:rFonts w:ascii="Arial" w:hAnsi="Arial" w:cs="Arial"/>
          <w:color w:val="000000" w:themeColor="text1"/>
        </w:rPr>
        <w:t>VII - Para a definição da abrangência territorial do Estudo de Impacto Ambiental, deve-se levar em consideração os possíveis danos diretos advindos do empreendimento, compreendidos esses pela Área Diretamente Afetada (ADA), Área de Influência Direta (AID) e Área de Influência Indireta (AII). No caso concreto, a Corte local, ao determinar que seja levada em consideração toda a Bacia Hidrográfica para a realização do estudo, observou os requisitos para tal.</w:t>
      </w:r>
    </w:p>
    <w:p w:rsidR="00211579" w:rsidRPr="00A24F26" w:rsidRDefault="00211579" w:rsidP="00211579">
      <w:pPr>
        <w:pStyle w:val="Pr-formataoHTML"/>
        <w:shd w:val="clear" w:color="auto" w:fill="FFFFFF"/>
        <w:jc w:val="both"/>
        <w:rPr>
          <w:rFonts w:ascii="Arial" w:hAnsi="Arial" w:cs="Arial"/>
          <w:color w:val="000000" w:themeColor="text1"/>
        </w:rPr>
      </w:pPr>
      <w:r w:rsidRPr="00A24F26">
        <w:rPr>
          <w:rFonts w:ascii="Arial" w:hAnsi="Arial" w:cs="Arial"/>
          <w:color w:val="000000" w:themeColor="text1"/>
        </w:rPr>
        <w:t xml:space="preserve">VIII - No que diz respeito à alegação de ausência de previsão legal para a atuação do Ibama na elaboração do Estudo de Impacto Ambiental em razão de possíveis repercussões sociais da obra, verifica-se que as razões recursais apresentadas se encontram dissociadas daquilo que restou decidido pelo tribunal de origem, o que atrai, por analogia, os óbices das Súmulas </w:t>
      </w:r>
      <w:proofErr w:type="spellStart"/>
      <w:r w:rsidRPr="00A24F26">
        <w:rPr>
          <w:rFonts w:ascii="Arial" w:hAnsi="Arial" w:cs="Arial"/>
          <w:color w:val="000000" w:themeColor="text1"/>
        </w:rPr>
        <w:t>ns</w:t>
      </w:r>
      <w:proofErr w:type="spellEnd"/>
      <w:r w:rsidRPr="00A24F26">
        <w:rPr>
          <w:rFonts w:ascii="Arial" w:hAnsi="Arial" w:cs="Arial"/>
          <w:color w:val="000000" w:themeColor="text1"/>
        </w:rPr>
        <w:t>. 283 e 284 do STF.</w:t>
      </w:r>
    </w:p>
    <w:p w:rsidR="00211579" w:rsidRPr="00A24F26" w:rsidRDefault="00211579" w:rsidP="00211579">
      <w:pPr>
        <w:pStyle w:val="Pr-formataoHTML"/>
        <w:shd w:val="clear" w:color="auto" w:fill="FFFFFF"/>
        <w:jc w:val="both"/>
        <w:rPr>
          <w:rFonts w:ascii="Arial" w:hAnsi="Arial" w:cs="Arial"/>
          <w:color w:val="000000" w:themeColor="text1"/>
        </w:rPr>
      </w:pPr>
      <w:r w:rsidRPr="00A24F26">
        <w:rPr>
          <w:rFonts w:ascii="Arial" w:hAnsi="Arial" w:cs="Arial"/>
          <w:color w:val="000000" w:themeColor="text1"/>
        </w:rPr>
        <w:t>IX - Conhecido em parte do</w:t>
      </w:r>
      <w:r w:rsidR="009435E6" w:rsidRPr="00A24F26">
        <w:rPr>
          <w:rFonts w:ascii="Arial" w:hAnsi="Arial" w:cs="Arial"/>
          <w:color w:val="000000" w:themeColor="text1"/>
        </w:rPr>
        <w:t>s</w:t>
      </w:r>
      <w:r w:rsidRPr="00A24F26">
        <w:rPr>
          <w:rFonts w:ascii="Arial" w:hAnsi="Arial" w:cs="Arial"/>
          <w:color w:val="000000" w:themeColor="text1"/>
        </w:rPr>
        <w:t xml:space="preserve"> recursos especiais e negado provimento.</w:t>
      </w:r>
    </w:p>
    <w:p w:rsidR="00211579" w:rsidRPr="00A24F26" w:rsidRDefault="00211579" w:rsidP="00211579">
      <w:pPr>
        <w:pStyle w:val="Pr-formataoHTML"/>
        <w:shd w:val="clear" w:color="auto" w:fill="FFFFFF"/>
        <w:jc w:val="both"/>
        <w:rPr>
          <w:rFonts w:ascii="Arial" w:hAnsi="Arial" w:cs="Arial"/>
          <w:color w:val="000000" w:themeColor="text1"/>
        </w:rPr>
      </w:pPr>
    </w:p>
    <w:p w:rsidR="00211579" w:rsidRPr="00A24F26" w:rsidRDefault="00211579" w:rsidP="00211579">
      <w:pPr>
        <w:pStyle w:val="Pr-formataoHTML"/>
        <w:shd w:val="clear" w:color="auto" w:fill="FFFFFF"/>
        <w:jc w:val="both"/>
        <w:rPr>
          <w:rFonts w:ascii="Arial" w:hAnsi="Arial" w:cs="Arial"/>
          <w:color w:val="000000" w:themeColor="text1"/>
        </w:rPr>
      </w:pPr>
      <w:r w:rsidRPr="00A24F26">
        <w:rPr>
          <w:rFonts w:ascii="Arial" w:hAnsi="Arial" w:cs="Arial"/>
          <w:color w:val="000000" w:themeColor="text1"/>
        </w:rPr>
        <w:t>(</w:t>
      </w:r>
      <w:proofErr w:type="spellStart"/>
      <w:r w:rsidRPr="00A24F26">
        <w:rPr>
          <w:rFonts w:ascii="Arial" w:hAnsi="Arial" w:cs="Arial"/>
          <w:color w:val="000000" w:themeColor="text1"/>
        </w:rPr>
        <w:t>REsp</w:t>
      </w:r>
      <w:proofErr w:type="spellEnd"/>
      <w:r w:rsidRPr="00A24F26">
        <w:rPr>
          <w:rFonts w:ascii="Arial" w:hAnsi="Arial" w:cs="Arial"/>
          <w:color w:val="000000" w:themeColor="text1"/>
        </w:rPr>
        <w:t xml:space="preserve"> </w:t>
      </w:r>
      <w:hyperlink r:id="rId11" w:history="1">
        <w:r w:rsidRPr="00A24F26">
          <w:rPr>
            <w:rStyle w:val="Hyperlink"/>
            <w:rFonts w:ascii="Arial" w:hAnsi="Arial" w:cs="Arial"/>
          </w:rPr>
          <w:t>1216188/PR</w:t>
        </w:r>
      </w:hyperlink>
      <w:r w:rsidRPr="00A24F26">
        <w:rPr>
          <w:rFonts w:ascii="Arial" w:hAnsi="Arial" w:cs="Arial"/>
          <w:color w:val="000000" w:themeColor="text1"/>
        </w:rPr>
        <w:t xml:space="preserve">, Rel. Ministra REGINA HELENA COSTA, PRIMEIRA TURMA, julgado em 17/12/2019, </w:t>
      </w:r>
      <w:proofErr w:type="spellStart"/>
      <w:r w:rsidRPr="00A24F26">
        <w:rPr>
          <w:rFonts w:ascii="Arial" w:hAnsi="Arial" w:cs="Arial"/>
          <w:color w:val="000000" w:themeColor="text1"/>
        </w:rPr>
        <w:t>DJe</w:t>
      </w:r>
      <w:proofErr w:type="spellEnd"/>
      <w:r w:rsidRPr="00A24F26">
        <w:rPr>
          <w:rFonts w:ascii="Arial" w:hAnsi="Arial" w:cs="Arial"/>
          <w:color w:val="000000" w:themeColor="text1"/>
        </w:rPr>
        <w:t xml:space="preserve"> 19/12/2019)</w:t>
      </w:r>
    </w:p>
    <w:p w:rsidR="00A5080A" w:rsidRPr="00A24F26" w:rsidRDefault="00A5080A" w:rsidP="00047709">
      <w:pPr>
        <w:pStyle w:val="Pr-formataoHTML"/>
        <w:shd w:val="clear" w:color="auto" w:fill="FFFFFF"/>
        <w:spacing w:line="276" w:lineRule="auto"/>
        <w:jc w:val="both"/>
        <w:rPr>
          <w:rFonts w:ascii="Arial" w:hAnsi="Arial" w:cs="Arial"/>
          <w:color w:val="000000" w:themeColor="text1"/>
        </w:rPr>
      </w:pPr>
    </w:p>
    <w:p w:rsidR="00A5080A" w:rsidRPr="00A24F26" w:rsidRDefault="00A5080A" w:rsidP="00047709">
      <w:pPr>
        <w:pStyle w:val="Pr-formataoHTML"/>
        <w:shd w:val="clear" w:color="auto" w:fill="FFFFFF"/>
        <w:spacing w:line="276" w:lineRule="auto"/>
        <w:jc w:val="both"/>
        <w:rPr>
          <w:rFonts w:ascii="Arial" w:hAnsi="Arial" w:cs="Arial"/>
          <w:color w:val="575756"/>
        </w:rPr>
      </w:pPr>
    </w:p>
    <w:p w:rsidR="00E8762F" w:rsidRPr="00A24F26" w:rsidRDefault="00E8762F" w:rsidP="00047709">
      <w:pPr>
        <w:pStyle w:val="Pr-formataoHTML"/>
        <w:shd w:val="clear" w:color="auto" w:fill="FFFFFF"/>
        <w:spacing w:line="276" w:lineRule="auto"/>
        <w:jc w:val="both"/>
        <w:rPr>
          <w:rFonts w:ascii="Arial" w:hAnsi="Arial" w:cs="Arial"/>
        </w:rPr>
      </w:pPr>
      <w:r w:rsidRPr="00A24F26">
        <w:rPr>
          <w:rFonts w:ascii="Arial" w:hAnsi="Arial" w:cs="Arial"/>
        </w:rPr>
        <w:t xml:space="preserve">Observações: </w:t>
      </w:r>
    </w:p>
    <w:p w:rsidR="005C4DB7" w:rsidRPr="00A24F26" w:rsidRDefault="00E4415D" w:rsidP="00816942">
      <w:pPr>
        <w:spacing w:after="0"/>
        <w:rPr>
          <w:rFonts w:ascii="Arial" w:hAnsi="Arial" w:cs="Arial"/>
          <w:b/>
          <w:color w:val="000000"/>
          <w:sz w:val="20"/>
          <w:szCs w:val="20"/>
        </w:rPr>
      </w:pPr>
      <w:r w:rsidRPr="00A24F26">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A24F26" w:rsidRDefault="0026477F" w:rsidP="00816942">
      <w:pPr>
        <w:spacing w:after="0"/>
        <w:rPr>
          <w:rFonts w:ascii="Arial" w:hAnsi="Arial" w:cs="Arial"/>
          <w:color w:val="000000"/>
          <w:sz w:val="20"/>
          <w:szCs w:val="20"/>
        </w:rPr>
      </w:pPr>
      <w:r w:rsidRPr="00A24F26">
        <w:rPr>
          <w:rFonts w:ascii="Arial" w:hAnsi="Arial" w:cs="Arial"/>
          <w:color w:val="000000"/>
          <w:sz w:val="20"/>
          <w:szCs w:val="20"/>
        </w:rPr>
        <w:t>Ju</w:t>
      </w:r>
      <w:r w:rsidR="00AD528F" w:rsidRPr="00A24F26">
        <w:rPr>
          <w:rFonts w:ascii="Arial" w:hAnsi="Arial" w:cs="Arial"/>
          <w:color w:val="000000"/>
          <w:sz w:val="20"/>
          <w:szCs w:val="20"/>
        </w:rPr>
        <w:t xml:space="preserve">risprudência Selecionada: </w:t>
      </w:r>
    </w:p>
    <w:p w:rsidR="00D9046A" w:rsidRPr="00A24F26" w:rsidRDefault="00D9046A" w:rsidP="00816942">
      <w:pPr>
        <w:spacing w:after="0"/>
        <w:rPr>
          <w:rFonts w:ascii="Arial" w:hAnsi="Arial" w:cs="Arial"/>
          <w:color w:val="000000"/>
          <w:sz w:val="20"/>
          <w:szCs w:val="20"/>
        </w:rPr>
      </w:pPr>
    </w:p>
    <w:p w:rsidR="00543DF0" w:rsidRPr="00A24F26" w:rsidRDefault="00543DF0" w:rsidP="00543DF0">
      <w:pPr>
        <w:pStyle w:val="Default"/>
        <w:spacing w:after="200" w:line="276" w:lineRule="auto"/>
        <w:jc w:val="both"/>
        <w:rPr>
          <w:b/>
          <w:sz w:val="20"/>
          <w:szCs w:val="20"/>
        </w:rPr>
      </w:pPr>
      <w:r w:rsidRPr="00A24F26">
        <w:rPr>
          <w:b/>
          <w:sz w:val="20"/>
          <w:szCs w:val="20"/>
        </w:rPr>
        <w:t xml:space="preserve">Acesse também: </w:t>
      </w:r>
    </w:p>
    <w:p w:rsidR="0002789E" w:rsidRPr="00A24F26" w:rsidRDefault="00A24F26" w:rsidP="0002789E">
      <w:pPr>
        <w:pStyle w:val="Default"/>
        <w:spacing w:line="276" w:lineRule="auto"/>
        <w:jc w:val="center"/>
        <w:rPr>
          <w:rStyle w:val="Hyperlink"/>
          <w:sz w:val="20"/>
          <w:szCs w:val="20"/>
        </w:rPr>
      </w:pPr>
      <w:hyperlink r:id="rId12" w:history="1">
        <w:r w:rsidR="0002789E" w:rsidRPr="00A24F26">
          <w:rPr>
            <w:rStyle w:val="Hyperlink"/>
            <w:b/>
            <w:sz w:val="20"/>
            <w:szCs w:val="20"/>
          </w:rPr>
          <w:t>Pesquisas Prontas</w:t>
        </w:r>
      </w:hyperlink>
    </w:p>
    <w:p w:rsidR="0002789E" w:rsidRPr="00A24F26" w:rsidRDefault="0002789E" w:rsidP="0002789E">
      <w:pPr>
        <w:pStyle w:val="Default"/>
        <w:spacing w:line="276" w:lineRule="auto"/>
        <w:jc w:val="center"/>
        <w:rPr>
          <w:rStyle w:val="Hyperlink"/>
          <w:b/>
          <w:sz w:val="20"/>
          <w:szCs w:val="20"/>
        </w:rPr>
      </w:pPr>
    </w:p>
    <w:p w:rsidR="0002789E" w:rsidRPr="00A24F26" w:rsidRDefault="00A24F26" w:rsidP="0002789E">
      <w:pPr>
        <w:pStyle w:val="Default"/>
        <w:spacing w:line="276" w:lineRule="auto"/>
        <w:jc w:val="center"/>
        <w:rPr>
          <w:rStyle w:val="Hyperlink"/>
          <w:b/>
          <w:sz w:val="20"/>
          <w:szCs w:val="20"/>
        </w:rPr>
      </w:pPr>
      <w:hyperlink r:id="rId13" w:history="1">
        <w:r w:rsidR="0002789E" w:rsidRPr="00A24F26">
          <w:rPr>
            <w:rStyle w:val="Hyperlink"/>
            <w:b/>
            <w:sz w:val="20"/>
            <w:szCs w:val="20"/>
          </w:rPr>
          <w:t>Boletim Informativo de Jurisprudência</w:t>
        </w:r>
      </w:hyperlink>
    </w:p>
    <w:p w:rsidR="0002789E" w:rsidRPr="00A24F26" w:rsidRDefault="0002789E" w:rsidP="0002789E">
      <w:pPr>
        <w:pStyle w:val="Default"/>
        <w:spacing w:line="276" w:lineRule="auto"/>
        <w:jc w:val="center"/>
        <w:rPr>
          <w:rStyle w:val="Hyperlink"/>
          <w:b/>
          <w:sz w:val="20"/>
          <w:szCs w:val="20"/>
        </w:rPr>
      </w:pPr>
    </w:p>
    <w:p w:rsidR="0002789E" w:rsidRPr="00A24F26" w:rsidRDefault="00A24F26" w:rsidP="0002789E">
      <w:pPr>
        <w:pStyle w:val="Default"/>
        <w:spacing w:line="276" w:lineRule="auto"/>
        <w:jc w:val="center"/>
        <w:rPr>
          <w:sz w:val="20"/>
          <w:szCs w:val="20"/>
        </w:rPr>
      </w:pPr>
      <w:hyperlink r:id="rId14" w:history="1">
        <w:proofErr w:type="spellStart"/>
        <w:r w:rsidR="0002789E" w:rsidRPr="00A24F26">
          <w:rPr>
            <w:rStyle w:val="Hyperlink"/>
            <w:b/>
            <w:sz w:val="20"/>
            <w:szCs w:val="20"/>
          </w:rPr>
          <w:t>Interjuris</w:t>
        </w:r>
        <w:proofErr w:type="spellEnd"/>
      </w:hyperlink>
    </w:p>
    <w:p w:rsidR="0002789E" w:rsidRPr="00A24F26" w:rsidRDefault="0002789E" w:rsidP="0002789E">
      <w:pPr>
        <w:pStyle w:val="Default"/>
        <w:spacing w:line="276" w:lineRule="auto"/>
        <w:jc w:val="center"/>
        <w:rPr>
          <w:sz w:val="20"/>
          <w:szCs w:val="20"/>
        </w:rPr>
      </w:pPr>
    </w:p>
    <w:p w:rsidR="0002789E" w:rsidRPr="00A24F26" w:rsidRDefault="00A24F26" w:rsidP="0002789E">
      <w:pPr>
        <w:pStyle w:val="Default"/>
        <w:spacing w:line="276" w:lineRule="auto"/>
        <w:jc w:val="center"/>
        <w:rPr>
          <w:rStyle w:val="Hyperlink"/>
          <w:b/>
          <w:sz w:val="20"/>
          <w:szCs w:val="20"/>
        </w:rPr>
      </w:pPr>
      <w:hyperlink r:id="rId15" w:history="1">
        <w:r w:rsidR="0002789E" w:rsidRPr="00A24F26">
          <w:rPr>
            <w:rStyle w:val="Hyperlink"/>
            <w:b/>
            <w:sz w:val="20"/>
            <w:szCs w:val="20"/>
          </w:rPr>
          <w:t>Repercussão Geral do Supremo Tribunal Federal - STF e os Tribunais de Contas</w:t>
        </w:r>
      </w:hyperlink>
    </w:p>
    <w:p w:rsidR="0002789E" w:rsidRPr="00A24F26" w:rsidRDefault="0002789E" w:rsidP="0002789E">
      <w:pPr>
        <w:pStyle w:val="Default"/>
        <w:spacing w:line="276" w:lineRule="auto"/>
        <w:jc w:val="center"/>
        <w:rPr>
          <w:rStyle w:val="Hyperlink"/>
          <w:b/>
          <w:sz w:val="20"/>
          <w:szCs w:val="20"/>
        </w:rPr>
      </w:pPr>
    </w:p>
    <w:p w:rsidR="0002789E" w:rsidRPr="00A24F26" w:rsidRDefault="00A24F26" w:rsidP="0002789E">
      <w:pPr>
        <w:pStyle w:val="Default"/>
        <w:spacing w:line="276" w:lineRule="auto"/>
        <w:jc w:val="center"/>
        <w:rPr>
          <w:rStyle w:val="Hyperlink"/>
          <w:b/>
          <w:sz w:val="20"/>
          <w:szCs w:val="20"/>
        </w:rPr>
      </w:pPr>
      <w:hyperlink r:id="rId16" w:history="1">
        <w:r w:rsidR="0002789E" w:rsidRPr="00A24F26">
          <w:rPr>
            <w:rStyle w:val="Hyperlink"/>
            <w:b/>
            <w:sz w:val="20"/>
            <w:szCs w:val="20"/>
          </w:rPr>
          <w:t>Súmulas Selecionadas</w:t>
        </w:r>
      </w:hyperlink>
    </w:p>
    <w:p w:rsidR="00270E2F" w:rsidRPr="00A24F26" w:rsidRDefault="00270E2F" w:rsidP="00270E2F">
      <w:pPr>
        <w:pStyle w:val="TCU-Epgrafe"/>
        <w:spacing w:line="276" w:lineRule="auto"/>
        <w:ind w:left="0"/>
        <w:rPr>
          <w:rFonts w:ascii="Arial" w:hAnsi="Arial" w:cs="Arial"/>
          <w:sz w:val="20"/>
        </w:rPr>
      </w:pPr>
      <w:r w:rsidRPr="00A24F26">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Pr="00A24F26" w:rsidRDefault="00984E8B" w:rsidP="00DB558E">
      <w:pPr>
        <w:spacing w:after="0"/>
        <w:jc w:val="center"/>
        <w:rPr>
          <w:rStyle w:val="Hyperlink"/>
          <w:rFonts w:ascii="Arial" w:hAnsi="Arial" w:cs="Arial"/>
          <w:i/>
          <w:color w:val="000000" w:themeColor="text1"/>
          <w:sz w:val="20"/>
          <w:szCs w:val="20"/>
          <w:u w:val="none"/>
        </w:rPr>
      </w:pPr>
    </w:p>
    <w:p w:rsidR="00DB558E" w:rsidRPr="00A24F26" w:rsidRDefault="00DB558E" w:rsidP="00DB558E">
      <w:pPr>
        <w:spacing w:after="0"/>
        <w:jc w:val="center"/>
        <w:rPr>
          <w:rFonts w:ascii="Arial" w:hAnsi="Arial" w:cs="Arial"/>
          <w:b/>
          <w:sz w:val="20"/>
          <w:szCs w:val="20"/>
        </w:rPr>
      </w:pPr>
      <w:r w:rsidRPr="00A24F26">
        <w:rPr>
          <w:rStyle w:val="Hyperlink"/>
          <w:rFonts w:ascii="Arial" w:hAnsi="Arial" w:cs="Arial"/>
          <w:i/>
          <w:color w:val="000000" w:themeColor="text1"/>
          <w:sz w:val="20"/>
          <w:szCs w:val="20"/>
          <w:u w:val="none"/>
        </w:rPr>
        <w:t>Elaboração: Escola de Gestão Pública - Jurisprudência</w:t>
      </w:r>
    </w:p>
    <w:sectPr w:rsidR="00DB558E" w:rsidRPr="00A24F26">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F03" w:rsidRDefault="007C0F03" w:rsidP="00350CC2">
      <w:pPr>
        <w:spacing w:after="0" w:line="240" w:lineRule="auto"/>
      </w:pPr>
      <w:r>
        <w:separator/>
      </w:r>
    </w:p>
  </w:endnote>
  <w:endnote w:type="continuationSeparator" w:id="0">
    <w:p w:rsidR="007C0F03" w:rsidRDefault="007C0F03"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A24F26">
      <w:rPr>
        <w:noProof/>
        <w:sz w:val="16"/>
        <w:szCs w:val="16"/>
      </w:rPr>
      <w:t>6</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F03" w:rsidRDefault="007C0F03" w:rsidP="00350CC2">
      <w:pPr>
        <w:spacing w:after="0" w:line="240" w:lineRule="auto"/>
      </w:pPr>
      <w:r>
        <w:separator/>
      </w:r>
    </w:p>
  </w:footnote>
  <w:footnote w:type="continuationSeparator" w:id="0">
    <w:p w:rsidR="007C0F03" w:rsidRDefault="007C0F03" w:rsidP="00350C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r w:rsidR="00F076FF">
      <w:rPr>
        <w:noProof/>
        <w:lang w:eastAsia="pt-BR"/>
      </w:rPr>
      <w:drawing>
        <wp:inline distT="0" distB="0" distL="0" distR="0" wp14:anchorId="6AF28236" wp14:editId="12CA2C34">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587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73074B"/>
    <w:multiLevelType w:val="multilevel"/>
    <w:tmpl w:val="E104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60B5D"/>
    <w:multiLevelType w:val="multilevel"/>
    <w:tmpl w:val="621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857408"/>
    <w:multiLevelType w:val="multilevel"/>
    <w:tmpl w:val="6966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4301F2C"/>
    <w:multiLevelType w:val="multilevel"/>
    <w:tmpl w:val="2D76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44EA1"/>
    <w:multiLevelType w:val="multilevel"/>
    <w:tmpl w:val="7EEE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D384D"/>
    <w:multiLevelType w:val="multilevel"/>
    <w:tmpl w:val="60FC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A01705C"/>
    <w:multiLevelType w:val="multilevel"/>
    <w:tmpl w:val="8C0A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DC523F"/>
    <w:multiLevelType w:val="multilevel"/>
    <w:tmpl w:val="EECC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4995A12"/>
    <w:multiLevelType w:val="multilevel"/>
    <w:tmpl w:val="8016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78E48BB"/>
    <w:multiLevelType w:val="multilevel"/>
    <w:tmpl w:val="FC8E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835A9E"/>
    <w:multiLevelType w:val="multilevel"/>
    <w:tmpl w:val="363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4E5F26"/>
    <w:multiLevelType w:val="multilevel"/>
    <w:tmpl w:val="E5E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2"/>
  </w:num>
  <w:num w:numId="3">
    <w:abstractNumId w:val="21"/>
  </w:num>
  <w:num w:numId="4">
    <w:abstractNumId w:val="22"/>
  </w:num>
  <w:num w:numId="5">
    <w:abstractNumId w:val="23"/>
  </w:num>
  <w:num w:numId="6">
    <w:abstractNumId w:val="17"/>
  </w:num>
  <w:num w:numId="7">
    <w:abstractNumId w:val="0"/>
  </w:num>
  <w:num w:numId="8">
    <w:abstractNumId w:val="3"/>
  </w:num>
  <w:num w:numId="9">
    <w:abstractNumId w:val="11"/>
  </w:num>
  <w:num w:numId="10">
    <w:abstractNumId w:val="5"/>
  </w:num>
  <w:num w:numId="11">
    <w:abstractNumId w:val="6"/>
  </w:num>
  <w:num w:numId="12">
    <w:abstractNumId w:val="15"/>
  </w:num>
  <w:num w:numId="13">
    <w:abstractNumId w:val="4"/>
  </w:num>
  <w:num w:numId="14">
    <w:abstractNumId w:val="8"/>
  </w:num>
  <w:num w:numId="15">
    <w:abstractNumId w:val="16"/>
  </w:num>
  <w:num w:numId="16">
    <w:abstractNumId w:val="19"/>
  </w:num>
  <w:num w:numId="17">
    <w:abstractNumId w:val="9"/>
  </w:num>
  <w:num w:numId="18">
    <w:abstractNumId w:val="1"/>
  </w:num>
  <w:num w:numId="19">
    <w:abstractNumId w:val="14"/>
  </w:num>
  <w:num w:numId="20">
    <w:abstractNumId w:val="18"/>
  </w:num>
  <w:num w:numId="21">
    <w:abstractNumId w:val="10"/>
  </w:num>
  <w:num w:numId="22">
    <w:abstractNumId w:val="20"/>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91"/>
    <w:rsid w:val="00001F0E"/>
    <w:rsid w:val="00003020"/>
    <w:rsid w:val="00003C03"/>
    <w:rsid w:val="0000505F"/>
    <w:rsid w:val="000078B5"/>
    <w:rsid w:val="00007F7A"/>
    <w:rsid w:val="00007FD0"/>
    <w:rsid w:val="00010B69"/>
    <w:rsid w:val="00010F88"/>
    <w:rsid w:val="0001200F"/>
    <w:rsid w:val="000126A0"/>
    <w:rsid w:val="00012CBB"/>
    <w:rsid w:val="00013691"/>
    <w:rsid w:val="00013840"/>
    <w:rsid w:val="00015B58"/>
    <w:rsid w:val="00015FB0"/>
    <w:rsid w:val="00017EBA"/>
    <w:rsid w:val="00021B0A"/>
    <w:rsid w:val="00022D68"/>
    <w:rsid w:val="00025971"/>
    <w:rsid w:val="00025E26"/>
    <w:rsid w:val="000262AD"/>
    <w:rsid w:val="0002789E"/>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709"/>
    <w:rsid w:val="00047EF1"/>
    <w:rsid w:val="00052862"/>
    <w:rsid w:val="00053B72"/>
    <w:rsid w:val="00056686"/>
    <w:rsid w:val="00056E6F"/>
    <w:rsid w:val="000572CE"/>
    <w:rsid w:val="000617CF"/>
    <w:rsid w:val="00062737"/>
    <w:rsid w:val="0006663D"/>
    <w:rsid w:val="00067E01"/>
    <w:rsid w:val="00070009"/>
    <w:rsid w:val="0007075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5C5"/>
    <w:rsid w:val="000A06BE"/>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D67"/>
    <w:rsid w:val="000D2D5B"/>
    <w:rsid w:val="000D357D"/>
    <w:rsid w:val="000D4DE6"/>
    <w:rsid w:val="000D560C"/>
    <w:rsid w:val="000D6D01"/>
    <w:rsid w:val="000E1F93"/>
    <w:rsid w:val="000E300B"/>
    <w:rsid w:val="000E3ACE"/>
    <w:rsid w:val="000E3FC6"/>
    <w:rsid w:val="000E464B"/>
    <w:rsid w:val="000E485E"/>
    <w:rsid w:val="000E5AC8"/>
    <w:rsid w:val="000F04ED"/>
    <w:rsid w:val="000F18DA"/>
    <w:rsid w:val="000F1FFA"/>
    <w:rsid w:val="000F314C"/>
    <w:rsid w:val="000F639D"/>
    <w:rsid w:val="000F7C1B"/>
    <w:rsid w:val="00100B9C"/>
    <w:rsid w:val="00106AA9"/>
    <w:rsid w:val="00106B27"/>
    <w:rsid w:val="00110517"/>
    <w:rsid w:val="00110BD6"/>
    <w:rsid w:val="001119DC"/>
    <w:rsid w:val="00111B86"/>
    <w:rsid w:val="00111C26"/>
    <w:rsid w:val="00112B60"/>
    <w:rsid w:val="0011394D"/>
    <w:rsid w:val="00113EF1"/>
    <w:rsid w:val="00114B62"/>
    <w:rsid w:val="001159C9"/>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29D8"/>
    <w:rsid w:val="00154F83"/>
    <w:rsid w:val="00155E99"/>
    <w:rsid w:val="00156185"/>
    <w:rsid w:val="00156F74"/>
    <w:rsid w:val="00157806"/>
    <w:rsid w:val="00157D64"/>
    <w:rsid w:val="0016028F"/>
    <w:rsid w:val="00161AA2"/>
    <w:rsid w:val="0016670D"/>
    <w:rsid w:val="00166A96"/>
    <w:rsid w:val="00170F9D"/>
    <w:rsid w:val="00171401"/>
    <w:rsid w:val="001720EB"/>
    <w:rsid w:val="00172248"/>
    <w:rsid w:val="0017455D"/>
    <w:rsid w:val="001770AF"/>
    <w:rsid w:val="001800A9"/>
    <w:rsid w:val="001823E7"/>
    <w:rsid w:val="0018272D"/>
    <w:rsid w:val="0018361F"/>
    <w:rsid w:val="00190B94"/>
    <w:rsid w:val="001927A5"/>
    <w:rsid w:val="00192E77"/>
    <w:rsid w:val="001930D1"/>
    <w:rsid w:val="001942C5"/>
    <w:rsid w:val="00196437"/>
    <w:rsid w:val="001975AB"/>
    <w:rsid w:val="001A16DE"/>
    <w:rsid w:val="001A1F53"/>
    <w:rsid w:val="001A5D2D"/>
    <w:rsid w:val="001A73A2"/>
    <w:rsid w:val="001B096B"/>
    <w:rsid w:val="001B5B65"/>
    <w:rsid w:val="001B5F7A"/>
    <w:rsid w:val="001B6E08"/>
    <w:rsid w:val="001C0F23"/>
    <w:rsid w:val="001C46A8"/>
    <w:rsid w:val="001D0693"/>
    <w:rsid w:val="001D0DD1"/>
    <w:rsid w:val="001D4D9A"/>
    <w:rsid w:val="001D51BD"/>
    <w:rsid w:val="001D6665"/>
    <w:rsid w:val="001D684B"/>
    <w:rsid w:val="001D6ADC"/>
    <w:rsid w:val="001D7E4B"/>
    <w:rsid w:val="001E1817"/>
    <w:rsid w:val="001E2E5A"/>
    <w:rsid w:val="001E38CC"/>
    <w:rsid w:val="001E5F2E"/>
    <w:rsid w:val="001E6CAA"/>
    <w:rsid w:val="001E73FF"/>
    <w:rsid w:val="001E75A7"/>
    <w:rsid w:val="001F0424"/>
    <w:rsid w:val="001F7A25"/>
    <w:rsid w:val="002013D1"/>
    <w:rsid w:val="0020195B"/>
    <w:rsid w:val="00202E6D"/>
    <w:rsid w:val="00202F4B"/>
    <w:rsid w:val="002036C8"/>
    <w:rsid w:val="002100EE"/>
    <w:rsid w:val="00211579"/>
    <w:rsid w:val="00211A49"/>
    <w:rsid w:val="0021353A"/>
    <w:rsid w:val="00213BD0"/>
    <w:rsid w:val="002147AC"/>
    <w:rsid w:val="00215BFE"/>
    <w:rsid w:val="00215EF3"/>
    <w:rsid w:val="0022060B"/>
    <w:rsid w:val="00220BB1"/>
    <w:rsid w:val="00221D15"/>
    <w:rsid w:val="00223A59"/>
    <w:rsid w:val="00223F1C"/>
    <w:rsid w:val="002245DE"/>
    <w:rsid w:val="00224904"/>
    <w:rsid w:val="002313A0"/>
    <w:rsid w:val="00232878"/>
    <w:rsid w:val="0023318C"/>
    <w:rsid w:val="00234AE0"/>
    <w:rsid w:val="00235F82"/>
    <w:rsid w:val="00236689"/>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2C30"/>
    <w:rsid w:val="0026477F"/>
    <w:rsid w:val="00264F10"/>
    <w:rsid w:val="0026510B"/>
    <w:rsid w:val="002659BA"/>
    <w:rsid w:val="0026729F"/>
    <w:rsid w:val="00270E2F"/>
    <w:rsid w:val="00271154"/>
    <w:rsid w:val="00271655"/>
    <w:rsid w:val="002805F1"/>
    <w:rsid w:val="00282C4C"/>
    <w:rsid w:val="00286595"/>
    <w:rsid w:val="00286EB4"/>
    <w:rsid w:val="002874A2"/>
    <w:rsid w:val="002921E2"/>
    <w:rsid w:val="0029566D"/>
    <w:rsid w:val="00295F4B"/>
    <w:rsid w:val="002A00AC"/>
    <w:rsid w:val="002A00E8"/>
    <w:rsid w:val="002A0792"/>
    <w:rsid w:val="002A1D5F"/>
    <w:rsid w:val="002A2E6C"/>
    <w:rsid w:val="002A365A"/>
    <w:rsid w:val="002B070A"/>
    <w:rsid w:val="002B0F20"/>
    <w:rsid w:val="002B14B7"/>
    <w:rsid w:val="002B297F"/>
    <w:rsid w:val="002B38A8"/>
    <w:rsid w:val="002B5E9F"/>
    <w:rsid w:val="002B69CC"/>
    <w:rsid w:val="002B6BA0"/>
    <w:rsid w:val="002C05FF"/>
    <w:rsid w:val="002C19EA"/>
    <w:rsid w:val="002C3EA5"/>
    <w:rsid w:val="002C480F"/>
    <w:rsid w:val="002C56C9"/>
    <w:rsid w:val="002C7487"/>
    <w:rsid w:val="002D1923"/>
    <w:rsid w:val="002D48D1"/>
    <w:rsid w:val="002D5B56"/>
    <w:rsid w:val="002D6612"/>
    <w:rsid w:val="002D7650"/>
    <w:rsid w:val="002E09B1"/>
    <w:rsid w:val="002E0A60"/>
    <w:rsid w:val="002E4277"/>
    <w:rsid w:val="002E5303"/>
    <w:rsid w:val="002E6626"/>
    <w:rsid w:val="002E72FA"/>
    <w:rsid w:val="002E7DFF"/>
    <w:rsid w:val="002F0BE9"/>
    <w:rsid w:val="002F0E1D"/>
    <w:rsid w:val="002F13A0"/>
    <w:rsid w:val="002F1634"/>
    <w:rsid w:val="002F1848"/>
    <w:rsid w:val="002F1D70"/>
    <w:rsid w:val="002F22FA"/>
    <w:rsid w:val="002F73BA"/>
    <w:rsid w:val="002F7BA5"/>
    <w:rsid w:val="003005B3"/>
    <w:rsid w:val="0030165B"/>
    <w:rsid w:val="00302340"/>
    <w:rsid w:val="00303C9C"/>
    <w:rsid w:val="00305A67"/>
    <w:rsid w:val="00306B80"/>
    <w:rsid w:val="00307038"/>
    <w:rsid w:val="00313238"/>
    <w:rsid w:val="003132BE"/>
    <w:rsid w:val="00313733"/>
    <w:rsid w:val="00320577"/>
    <w:rsid w:val="0032266D"/>
    <w:rsid w:val="00325E2F"/>
    <w:rsid w:val="003263D3"/>
    <w:rsid w:val="003265DB"/>
    <w:rsid w:val="003269A9"/>
    <w:rsid w:val="00327DF9"/>
    <w:rsid w:val="0033073E"/>
    <w:rsid w:val="00331533"/>
    <w:rsid w:val="0033240F"/>
    <w:rsid w:val="0033270E"/>
    <w:rsid w:val="00333875"/>
    <w:rsid w:val="0033604C"/>
    <w:rsid w:val="003407F0"/>
    <w:rsid w:val="00342B5C"/>
    <w:rsid w:val="00343C28"/>
    <w:rsid w:val="00344A3D"/>
    <w:rsid w:val="00344A41"/>
    <w:rsid w:val="0034575E"/>
    <w:rsid w:val="00345C65"/>
    <w:rsid w:val="0035048F"/>
    <w:rsid w:val="00350CC2"/>
    <w:rsid w:val="00351206"/>
    <w:rsid w:val="0035203F"/>
    <w:rsid w:val="003528A1"/>
    <w:rsid w:val="00352A72"/>
    <w:rsid w:val="0035371B"/>
    <w:rsid w:val="00353FEB"/>
    <w:rsid w:val="00356987"/>
    <w:rsid w:val="00356FB0"/>
    <w:rsid w:val="00360429"/>
    <w:rsid w:val="00361DA5"/>
    <w:rsid w:val="00361F1D"/>
    <w:rsid w:val="00362451"/>
    <w:rsid w:val="00364392"/>
    <w:rsid w:val="00365E61"/>
    <w:rsid w:val="00365EFF"/>
    <w:rsid w:val="00365F51"/>
    <w:rsid w:val="00373E05"/>
    <w:rsid w:val="00375692"/>
    <w:rsid w:val="00375DB6"/>
    <w:rsid w:val="0038012F"/>
    <w:rsid w:val="00380BAB"/>
    <w:rsid w:val="00381783"/>
    <w:rsid w:val="00381A0E"/>
    <w:rsid w:val="003854BD"/>
    <w:rsid w:val="0038751C"/>
    <w:rsid w:val="0038778B"/>
    <w:rsid w:val="00394451"/>
    <w:rsid w:val="0039584A"/>
    <w:rsid w:val="0039625A"/>
    <w:rsid w:val="00396E93"/>
    <w:rsid w:val="003A4828"/>
    <w:rsid w:val="003A64CB"/>
    <w:rsid w:val="003A6622"/>
    <w:rsid w:val="003A673F"/>
    <w:rsid w:val="003B145D"/>
    <w:rsid w:val="003B4678"/>
    <w:rsid w:val="003B4F77"/>
    <w:rsid w:val="003B502C"/>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4E19"/>
    <w:rsid w:val="00405A6A"/>
    <w:rsid w:val="00406D2C"/>
    <w:rsid w:val="0041120A"/>
    <w:rsid w:val="00411935"/>
    <w:rsid w:val="0041337A"/>
    <w:rsid w:val="00416A72"/>
    <w:rsid w:val="00420AE1"/>
    <w:rsid w:val="00424D0F"/>
    <w:rsid w:val="0042728A"/>
    <w:rsid w:val="0042758E"/>
    <w:rsid w:val="004276DC"/>
    <w:rsid w:val="0042779B"/>
    <w:rsid w:val="00427BD4"/>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1CA"/>
    <w:rsid w:val="00462460"/>
    <w:rsid w:val="004624E9"/>
    <w:rsid w:val="00462A13"/>
    <w:rsid w:val="00462F2A"/>
    <w:rsid w:val="00463986"/>
    <w:rsid w:val="00463AC5"/>
    <w:rsid w:val="00463BA8"/>
    <w:rsid w:val="004641AA"/>
    <w:rsid w:val="00464835"/>
    <w:rsid w:val="004654D3"/>
    <w:rsid w:val="00466E74"/>
    <w:rsid w:val="00470218"/>
    <w:rsid w:val="00471B9D"/>
    <w:rsid w:val="0047206A"/>
    <w:rsid w:val="00474978"/>
    <w:rsid w:val="0047499A"/>
    <w:rsid w:val="00474C78"/>
    <w:rsid w:val="004758AD"/>
    <w:rsid w:val="00475AAE"/>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5C3"/>
    <w:rsid w:val="00497639"/>
    <w:rsid w:val="004A0574"/>
    <w:rsid w:val="004A0A41"/>
    <w:rsid w:val="004A22CF"/>
    <w:rsid w:val="004A5199"/>
    <w:rsid w:val="004A5804"/>
    <w:rsid w:val="004A794E"/>
    <w:rsid w:val="004B142E"/>
    <w:rsid w:val="004B1C0F"/>
    <w:rsid w:val="004B25CD"/>
    <w:rsid w:val="004B3D26"/>
    <w:rsid w:val="004B44C1"/>
    <w:rsid w:val="004B623F"/>
    <w:rsid w:val="004B6EA7"/>
    <w:rsid w:val="004C11DE"/>
    <w:rsid w:val="004C13DB"/>
    <w:rsid w:val="004C2577"/>
    <w:rsid w:val="004C4CD8"/>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2F8"/>
    <w:rsid w:val="00525F8B"/>
    <w:rsid w:val="0052651B"/>
    <w:rsid w:val="00530F1E"/>
    <w:rsid w:val="00532F0D"/>
    <w:rsid w:val="00533C06"/>
    <w:rsid w:val="00533E30"/>
    <w:rsid w:val="0053401E"/>
    <w:rsid w:val="00535AAB"/>
    <w:rsid w:val="00540B8E"/>
    <w:rsid w:val="00542636"/>
    <w:rsid w:val="00543DF0"/>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76390"/>
    <w:rsid w:val="005819D2"/>
    <w:rsid w:val="00582374"/>
    <w:rsid w:val="00582DF8"/>
    <w:rsid w:val="00583800"/>
    <w:rsid w:val="00584BC6"/>
    <w:rsid w:val="0058559D"/>
    <w:rsid w:val="005856F2"/>
    <w:rsid w:val="00585A3B"/>
    <w:rsid w:val="00586D7A"/>
    <w:rsid w:val="0059070B"/>
    <w:rsid w:val="00590FA0"/>
    <w:rsid w:val="00593EFC"/>
    <w:rsid w:val="00594F73"/>
    <w:rsid w:val="00595336"/>
    <w:rsid w:val="0059537A"/>
    <w:rsid w:val="005957D1"/>
    <w:rsid w:val="00597215"/>
    <w:rsid w:val="005A0FD0"/>
    <w:rsid w:val="005A1468"/>
    <w:rsid w:val="005A4536"/>
    <w:rsid w:val="005A5AF2"/>
    <w:rsid w:val="005A742F"/>
    <w:rsid w:val="005A7C78"/>
    <w:rsid w:val="005B4F6C"/>
    <w:rsid w:val="005B5AA9"/>
    <w:rsid w:val="005B7055"/>
    <w:rsid w:val="005B7626"/>
    <w:rsid w:val="005C4763"/>
    <w:rsid w:val="005C4DB7"/>
    <w:rsid w:val="005C5DC8"/>
    <w:rsid w:val="005C661E"/>
    <w:rsid w:val="005C7258"/>
    <w:rsid w:val="005D1E9E"/>
    <w:rsid w:val="005D48C8"/>
    <w:rsid w:val="005D58CE"/>
    <w:rsid w:val="005D6DB4"/>
    <w:rsid w:val="005D7445"/>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7DEC"/>
    <w:rsid w:val="005F7E35"/>
    <w:rsid w:val="006009F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59FD"/>
    <w:rsid w:val="006361F0"/>
    <w:rsid w:val="00636F1C"/>
    <w:rsid w:val="006372A4"/>
    <w:rsid w:val="006375ED"/>
    <w:rsid w:val="0064029E"/>
    <w:rsid w:val="00640861"/>
    <w:rsid w:val="00640A36"/>
    <w:rsid w:val="00640BDC"/>
    <w:rsid w:val="0064171C"/>
    <w:rsid w:val="006422A6"/>
    <w:rsid w:val="00644710"/>
    <w:rsid w:val="00646004"/>
    <w:rsid w:val="00646AD1"/>
    <w:rsid w:val="006473BA"/>
    <w:rsid w:val="00650E4E"/>
    <w:rsid w:val="00654D9D"/>
    <w:rsid w:val="00660C02"/>
    <w:rsid w:val="0066104E"/>
    <w:rsid w:val="0066130F"/>
    <w:rsid w:val="006641F4"/>
    <w:rsid w:val="006645D9"/>
    <w:rsid w:val="00665EBC"/>
    <w:rsid w:val="00667637"/>
    <w:rsid w:val="00667BE8"/>
    <w:rsid w:val="0067150D"/>
    <w:rsid w:val="00673A29"/>
    <w:rsid w:val="00673AD9"/>
    <w:rsid w:val="006766F4"/>
    <w:rsid w:val="006777B6"/>
    <w:rsid w:val="00681341"/>
    <w:rsid w:val="00681787"/>
    <w:rsid w:val="00681EC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3252"/>
    <w:rsid w:val="006C3AF0"/>
    <w:rsid w:val="006C7A04"/>
    <w:rsid w:val="006D14C7"/>
    <w:rsid w:val="006D158F"/>
    <w:rsid w:val="006D1B83"/>
    <w:rsid w:val="006D1BE7"/>
    <w:rsid w:val="006D3590"/>
    <w:rsid w:val="006D5C98"/>
    <w:rsid w:val="006D6FCC"/>
    <w:rsid w:val="006E0A9F"/>
    <w:rsid w:val="006E12D5"/>
    <w:rsid w:val="006E1EDC"/>
    <w:rsid w:val="006E26E8"/>
    <w:rsid w:val="006E4493"/>
    <w:rsid w:val="006E76B0"/>
    <w:rsid w:val="006F08D4"/>
    <w:rsid w:val="006F3318"/>
    <w:rsid w:val="006F39CF"/>
    <w:rsid w:val="006F4894"/>
    <w:rsid w:val="006F58F5"/>
    <w:rsid w:val="006F676D"/>
    <w:rsid w:val="00700672"/>
    <w:rsid w:val="00701319"/>
    <w:rsid w:val="00701A9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2C34"/>
    <w:rsid w:val="00753BFA"/>
    <w:rsid w:val="00754C7E"/>
    <w:rsid w:val="007557BC"/>
    <w:rsid w:val="007608F0"/>
    <w:rsid w:val="00762976"/>
    <w:rsid w:val="00766752"/>
    <w:rsid w:val="00766834"/>
    <w:rsid w:val="00766EC7"/>
    <w:rsid w:val="0077082D"/>
    <w:rsid w:val="00770CD7"/>
    <w:rsid w:val="0077181C"/>
    <w:rsid w:val="00771AF0"/>
    <w:rsid w:val="00771C97"/>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0F03"/>
    <w:rsid w:val="007C10CC"/>
    <w:rsid w:val="007C250E"/>
    <w:rsid w:val="007C2CD7"/>
    <w:rsid w:val="007D009C"/>
    <w:rsid w:val="007D2162"/>
    <w:rsid w:val="007D2855"/>
    <w:rsid w:val="007D5A53"/>
    <w:rsid w:val="007D62D9"/>
    <w:rsid w:val="007D6A5B"/>
    <w:rsid w:val="007D73C9"/>
    <w:rsid w:val="007D79DF"/>
    <w:rsid w:val="007E1FB4"/>
    <w:rsid w:val="007E28C1"/>
    <w:rsid w:val="007E786E"/>
    <w:rsid w:val="007F0840"/>
    <w:rsid w:val="007F2086"/>
    <w:rsid w:val="007F67A7"/>
    <w:rsid w:val="007F6F0A"/>
    <w:rsid w:val="00800773"/>
    <w:rsid w:val="00801004"/>
    <w:rsid w:val="0080111C"/>
    <w:rsid w:val="00801EFD"/>
    <w:rsid w:val="008058BC"/>
    <w:rsid w:val="00806D7C"/>
    <w:rsid w:val="00807854"/>
    <w:rsid w:val="00811012"/>
    <w:rsid w:val="00811A90"/>
    <w:rsid w:val="00813846"/>
    <w:rsid w:val="00814325"/>
    <w:rsid w:val="00815C4F"/>
    <w:rsid w:val="008161C2"/>
    <w:rsid w:val="00816767"/>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64F9"/>
    <w:rsid w:val="00847302"/>
    <w:rsid w:val="00847BF3"/>
    <w:rsid w:val="00850474"/>
    <w:rsid w:val="00852A15"/>
    <w:rsid w:val="00853D0B"/>
    <w:rsid w:val="00854B16"/>
    <w:rsid w:val="00854BCA"/>
    <w:rsid w:val="00855A43"/>
    <w:rsid w:val="0085605F"/>
    <w:rsid w:val="008561BF"/>
    <w:rsid w:val="00861DB4"/>
    <w:rsid w:val="00861E25"/>
    <w:rsid w:val="008633B6"/>
    <w:rsid w:val="0086402F"/>
    <w:rsid w:val="00866481"/>
    <w:rsid w:val="0087076A"/>
    <w:rsid w:val="00870853"/>
    <w:rsid w:val="008726DE"/>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1517"/>
    <w:rsid w:val="008A2307"/>
    <w:rsid w:val="008A2B8F"/>
    <w:rsid w:val="008A2BB7"/>
    <w:rsid w:val="008A4000"/>
    <w:rsid w:val="008A4A65"/>
    <w:rsid w:val="008A6621"/>
    <w:rsid w:val="008A70A5"/>
    <w:rsid w:val="008B0E08"/>
    <w:rsid w:val="008B201B"/>
    <w:rsid w:val="008B222E"/>
    <w:rsid w:val="008B2D64"/>
    <w:rsid w:val="008B368E"/>
    <w:rsid w:val="008B38A4"/>
    <w:rsid w:val="008B38EE"/>
    <w:rsid w:val="008B3E8F"/>
    <w:rsid w:val="008B407A"/>
    <w:rsid w:val="008B4B67"/>
    <w:rsid w:val="008B4F2F"/>
    <w:rsid w:val="008B55B4"/>
    <w:rsid w:val="008B6A00"/>
    <w:rsid w:val="008B7AA1"/>
    <w:rsid w:val="008C0269"/>
    <w:rsid w:val="008C076F"/>
    <w:rsid w:val="008C257C"/>
    <w:rsid w:val="008C7CFC"/>
    <w:rsid w:val="008D0FDE"/>
    <w:rsid w:val="008D1051"/>
    <w:rsid w:val="008D22BE"/>
    <w:rsid w:val="008D7542"/>
    <w:rsid w:val="008D7F7C"/>
    <w:rsid w:val="008E0835"/>
    <w:rsid w:val="008E16ED"/>
    <w:rsid w:val="008E280E"/>
    <w:rsid w:val="008E2BA7"/>
    <w:rsid w:val="008E5642"/>
    <w:rsid w:val="008E5CC2"/>
    <w:rsid w:val="008F2E20"/>
    <w:rsid w:val="00900BC5"/>
    <w:rsid w:val="00901036"/>
    <w:rsid w:val="00904136"/>
    <w:rsid w:val="00904309"/>
    <w:rsid w:val="0090479F"/>
    <w:rsid w:val="00904BFC"/>
    <w:rsid w:val="00906692"/>
    <w:rsid w:val="00906853"/>
    <w:rsid w:val="00906CF8"/>
    <w:rsid w:val="009073CB"/>
    <w:rsid w:val="0090752A"/>
    <w:rsid w:val="00910805"/>
    <w:rsid w:val="00910DFE"/>
    <w:rsid w:val="00911A42"/>
    <w:rsid w:val="00912D60"/>
    <w:rsid w:val="009140A2"/>
    <w:rsid w:val="009141D0"/>
    <w:rsid w:val="009149FD"/>
    <w:rsid w:val="00920480"/>
    <w:rsid w:val="00920D01"/>
    <w:rsid w:val="00923B20"/>
    <w:rsid w:val="009263DF"/>
    <w:rsid w:val="00926E84"/>
    <w:rsid w:val="00927338"/>
    <w:rsid w:val="0093018E"/>
    <w:rsid w:val="0093167C"/>
    <w:rsid w:val="00932A3A"/>
    <w:rsid w:val="00934143"/>
    <w:rsid w:val="00934679"/>
    <w:rsid w:val="00935444"/>
    <w:rsid w:val="009378F0"/>
    <w:rsid w:val="00942696"/>
    <w:rsid w:val="00942EB6"/>
    <w:rsid w:val="0094307C"/>
    <w:rsid w:val="009435E6"/>
    <w:rsid w:val="00944802"/>
    <w:rsid w:val="0094577A"/>
    <w:rsid w:val="009470DD"/>
    <w:rsid w:val="009518D9"/>
    <w:rsid w:val="0095236F"/>
    <w:rsid w:val="00952404"/>
    <w:rsid w:val="00953350"/>
    <w:rsid w:val="00955BDA"/>
    <w:rsid w:val="0096328F"/>
    <w:rsid w:val="00965F52"/>
    <w:rsid w:val="0096737A"/>
    <w:rsid w:val="009674C6"/>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5BE"/>
    <w:rsid w:val="009C29C5"/>
    <w:rsid w:val="009C5C75"/>
    <w:rsid w:val="009C72F1"/>
    <w:rsid w:val="009D1C23"/>
    <w:rsid w:val="009D2A29"/>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3BF"/>
    <w:rsid w:val="00A01C9B"/>
    <w:rsid w:val="00A065F5"/>
    <w:rsid w:val="00A10857"/>
    <w:rsid w:val="00A10C1E"/>
    <w:rsid w:val="00A1221A"/>
    <w:rsid w:val="00A1269B"/>
    <w:rsid w:val="00A130F9"/>
    <w:rsid w:val="00A1585F"/>
    <w:rsid w:val="00A16000"/>
    <w:rsid w:val="00A16398"/>
    <w:rsid w:val="00A20EBA"/>
    <w:rsid w:val="00A20F2F"/>
    <w:rsid w:val="00A211A3"/>
    <w:rsid w:val="00A21641"/>
    <w:rsid w:val="00A2357E"/>
    <w:rsid w:val="00A24629"/>
    <w:rsid w:val="00A24F26"/>
    <w:rsid w:val="00A25A27"/>
    <w:rsid w:val="00A27485"/>
    <w:rsid w:val="00A30038"/>
    <w:rsid w:val="00A309E8"/>
    <w:rsid w:val="00A3514D"/>
    <w:rsid w:val="00A35318"/>
    <w:rsid w:val="00A40F98"/>
    <w:rsid w:val="00A41EF2"/>
    <w:rsid w:val="00A4241A"/>
    <w:rsid w:val="00A42619"/>
    <w:rsid w:val="00A4267D"/>
    <w:rsid w:val="00A427B2"/>
    <w:rsid w:val="00A43DEB"/>
    <w:rsid w:val="00A44DDA"/>
    <w:rsid w:val="00A47D62"/>
    <w:rsid w:val="00A5080A"/>
    <w:rsid w:val="00A53CDD"/>
    <w:rsid w:val="00A53EE6"/>
    <w:rsid w:val="00A5538A"/>
    <w:rsid w:val="00A564AE"/>
    <w:rsid w:val="00A5710E"/>
    <w:rsid w:val="00A57A4A"/>
    <w:rsid w:val="00A57C0E"/>
    <w:rsid w:val="00A60380"/>
    <w:rsid w:val="00A614EB"/>
    <w:rsid w:val="00A62886"/>
    <w:rsid w:val="00A63E79"/>
    <w:rsid w:val="00A6719E"/>
    <w:rsid w:val="00A672B2"/>
    <w:rsid w:val="00A67DB2"/>
    <w:rsid w:val="00A74C51"/>
    <w:rsid w:val="00A77682"/>
    <w:rsid w:val="00A80C19"/>
    <w:rsid w:val="00A82972"/>
    <w:rsid w:val="00A83279"/>
    <w:rsid w:val="00A83750"/>
    <w:rsid w:val="00A84631"/>
    <w:rsid w:val="00A86040"/>
    <w:rsid w:val="00A86498"/>
    <w:rsid w:val="00A86A0A"/>
    <w:rsid w:val="00A9067C"/>
    <w:rsid w:val="00A90A24"/>
    <w:rsid w:val="00A90BD3"/>
    <w:rsid w:val="00A91402"/>
    <w:rsid w:val="00A92FBB"/>
    <w:rsid w:val="00A93C1C"/>
    <w:rsid w:val="00A94ED2"/>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B4C59"/>
    <w:rsid w:val="00AB79DB"/>
    <w:rsid w:val="00AC06B6"/>
    <w:rsid w:val="00AC1A7F"/>
    <w:rsid w:val="00AC7830"/>
    <w:rsid w:val="00AD0466"/>
    <w:rsid w:val="00AD1557"/>
    <w:rsid w:val="00AD30BD"/>
    <w:rsid w:val="00AD35F3"/>
    <w:rsid w:val="00AD44E9"/>
    <w:rsid w:val="00AD4CAC"/>
    <w:rsid w:val="00AD528F"/>
    <w:rsid w:val="00AD6760"/>
    <w:rsid w:val="00AD6EB3"/>
    <w:rsid w:val="00AD741D"/>
    <w:rsid w:val="00AD751D"/>
    <w:rsid w:val="00AD791C"/>
    <w:rsid w:val="00AE1C60"/>
    <w:rsid w:val="00AE4F42"/>
    <w:rsid w:val="00AE728D"/>
    <w:rsid w:val="00AE7589"/>
    <w:rsid w:val="00AE798E"/>
    <w:rsid w:val="00AF1805"/>
    <w:rsid w:val="00AF2833"/>
    <w:rsid w:val="00AF3716"/>
    <w:rsid w:val="00AF3C46"/>
    <w:rsid w:val="00AF43E1"/>
    <w:rsid w:val="00AF4D71"/>
    <w:rsid w:val="00AF5921"/>
    <w:rsid w:val="00B0092E"/>
    <w:rsid w:val="00B018B2"/>
    <w:rsid w:val="00B018E8"/>
    <w:rsid w:val="00B036BD"/>
    <w:rsid w:val="00B03BF6"/>
    <w:rsid w:val="00B03CDF"/>
    <w:rsid w:val="00B040B7"/>
    <w:rsid w:val="00B04A55"/>
    <w:rsid w:val="00B04D46"/>
    <w:rsid w:val="00B104C5"/>
    <w:rsid w:val="00B10F47"/>
    <w:rsid w:val="00B1385B"/>
    <w:rsid w:val="00B13B1B"/>
    <w:rsid w:val="00B15DBF"/>
    <w:rsid w:val="00B165C9"/>
    <w:rsid w:val="00B179FD"/>
    <w:rsid w:val="00B17D70"/>
    <w:rsid w:val="00B22AD7"/>
    <w:rsid w:val="00B22D31"/>
    <w:rsid w:val="00B22E46"/>
    <w:rsid w:val="00B27853"/>
    <w:rsid w:val="00B30291"/>
    <w:rsid w:val="00B306F7"/>
    <w:rsid w:val="00B30BB8"/>
    <w:rsid w:val="00B30FE2"/>
    <w:rsid w:val="00B3272E"/>
    <w:rsid w:val="00B32C71"/>
    <w:rsid w:val="00B330C4"/>
    <w:rsid w:val="00B33356"/>
    <w:rsid w:val="00B34863"/>
    <w:rsid w:val="00B37580"/>
    <w:rsid w:val="00B4137A"/>
    <w:rsid w:val="00B43DA3"/>
    <w:rsid w:val="00B50B77"/>
    <w:rsid w:val="00B51290"/>
    <w:rsid w:val="00B51769"/>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669D"/>
    <w:rsid w:val="00B766D9"/>
    <w:rsid w:val="00B80A28"/>
    <w:rsid w:val="00B82D73"/>
    <w:rsid w:val="00B84A2C"/>
    <w:rsid w:val="00B871D6"/>
    <w:rsid w:val="00B87A02"/>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8E1"/>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717E"/>
    <w:rsid w:val="00BE7E27"/>
    <w:rsid w:val="00BF183C"/>
    <w:rsid w:val="00BF4C15"/>
    <w:rsid w:val="00C0277D"/>
    <w:rsid w:val="00C0782F"/>
    <w:rsid w:val="00C11F50"/>
    <w:rsid w:val="00C12603"/>
    <w:rsid w:val="00C12C7C"/>
    <w:rsid w:val="00C131FD"/>
    <w:rsid w:val="00C15322"/>
    <w:rsid w:val="00C16DA8"/>
    <w:rsid w:val="00C17352"/>
    <w:rsid w:val="00C21959"/>
    <w:rsid w:val="00C30A7D"/>
    <w:rsid w:val="00C31169"/>
    <w:rsid w:val="00C3169F"/>
    <w:rsid w:val="00C318F6"/>
    <w:rsid w:val="00C35E72"/>
    <w:rsid w:val="00C37522"/>
    <w:rsid w:val="00C42EFD"/>
    <w:rsid w:val="00C4357B"/>
    <w:rsid w:val="00C43D8B"/>
    <w:rsid w:val="00C44042"/>
    <w:rsid w:val="00C46AF0"/>
    <w:rsid w:val="00C525F2"/>
    <w:rsid w:val="00C52956"/>
    <w:rsid w:val="00C53AE1"/>
    <w:rsid w:val="00C53CAD"/>
    <w:rsid w:val="00C54893"/>
    <w:rsid w:val="00C560A1"/>
    <w:rsid w:val="00C56E9E"/>
    <w:rsid w:val="00C56EB6"/>
    <w:rsid w:val="00C571E2"/>
    <w:rsid w:val="00C63FC8"/>
    <w:rsid w:val="00C64F57"/>
    <w:rsid w:val="00C65D21"/>
    <w:rsid w:val="00C66E11"/>
    <w:rsid w:val="00C6789D"/>
    <w:rsid w:val="00C70215"/>
    <w:rsid w:val="00C71A97"/>
    <w:rsid w:val="00C72FFE"/>
    <w:rsid w:val="00C73FFD"/>
    <w:rsid w:val="00C74512"/>
    <w:rsid w:val="00C75071"/>
    <w:rsid w:val="00C84F07"/>
    <w:rsid w:val="00C851A6"/>
    <w:rsid w:val="00C855D4"/>
    <w:rsid w:val="00C87639"/>
    <w:rsid w:val="00C90685"/>
    <w:rsid w:val="00C9099A"/>
    <w:rsid w:val="00C90D4D"/>
    <w:rsid w:val="00C9240A"/>
    <w:rsid w:val="00C93D5B"/>
    <w:rsid w:val="00C9442C"/>
    <w:rsid w:val="00C9532C"/>
    <w:rsid w:val="00C95613"/>
    <w:rsid w:val="00C95BCF"/>
    <w:rsid w:val="00C95D16"/>
    <w:rsid w:val="00C95DCF"/>
    <w:rsid w:val="00CA14B2"/>
    <w:rsid w:val="00CA184E"/>
    <w:rsid w:val="00CA23C4"/>
    <w:rsid w:val="00CA575F"/>
    <w:rsid w:val="00CA5AEC"/>
    <w:rsid w:val="00CA6114"/>
    <w:rsid w:val="00CA704A"/>
    <w:rsid w:val="00CA7D59"/>
    <w:rsid w:val="00CB0797"/>
    <w:rsid w:val="00CB21FF"/>
    <w:rsid w:val="00CB5CAE"/>
    <w:rsid w:val="00CB644C"/>
    <w:rsid w:val="00CB78ED"/>
    <w:rsid w:val="00CC0004"/>
    <w:rsid w:val="00CC4E55"/>
    <w:rsid w:val="00CC550E"/>
    <w:rsid w:val="00CC5AC6"/>
    <w:rsid w:val="00CD0DCE"/>
    <w:rsid w:val="00CD1628"/>
    <w:rsid w:val="00CD1D27"/>
    <w:rsid w:val="00CD27B7"/>
    <w:rsid w:val="00CD37A1"/>
    <w:rsid w:val="00CD3807"/>
    <w:rsid w:val="00CD3AE7"/>
    <w:rsid w:val="00CD3C10"/>
    <w:rsid w:val="00CD5194"/>
    <w:rsid w:val="00CD5981"/>
    <w:rsid w:val="00CD5D25"/>
    <w:rsid w:val="00CD79FA"/>
    <w:rsid w:val="00CE10E6"/>
    <w:rsid w:val="00CE59A8"/>
    <w:rsid w:val="00CE657B"/>
    <w:rsid w:val="00CF0873"/>
    <w:rsid w:val="00CF237E"/>
    <w:rsid w:val="00CF3FB0"/>
    <w:rsid w:val="00CF515D"/>
    <w:rsid w:val="00CF53F5"/>
    <w:rsid w:val="00CF6B3F"/>
    <w:rsid w:val="00D002B4"/>
    <w:rsid w:val="00D01404"/>
    <w:rsid w:val="00D02C52"/>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3DE4"/>
    <w:rsid w:val="00D23F50"/>
    <w:rsid w:val="00D24867"/>
    <w:rsid w:val="00D318E3"/>
    <w:rsid w:val="00D323A7"/>
    <w:rsid w:val="00D346BF"/>
    <w:rsid w:val="00D34A4B"/>
    <w:rsid w:val="00D416EB"/>
    <w:rsid w:val="00D41B20"/>
    <w:rsid w:val="00D44615"/>
    <w:rsid w:val="00D45321"/>
    <w:rsid w:val="00D50324"/>
    <w:rsid w:val="00D5202B"/>
    <w:rsid w:val="00D55A28"/>
    <w:rsid w:val="00D5605F"/>
    <w:rsid w:val="00D57BC9"/>
    <w:rsid w:val="00D61FBD"/>
    <w:rsid w:val="00D62519"/>
    <w:rsid w:val="00D625AA"/>
    <w:rsid w:val="00D63CBD"/>
    <w:rsid w:val="00D6500C"/>
    <w:rsid w:val="00D66392"/>
    <w:rsid w:val="00D66959"/>
    <w:rsid w:val="00D70661"/>
    <w:rsid w:val="00D70A39"/>
    <w:rsid w:val="00D71A7E"/>
    <w:rsid w:val="00D7643D"/>
    <w:rsid w:val="00D76DE0"/>
    <w:rsid w:val="00D80DF0"/>
    <w:rsid w:val="00D83ED5"/>
    <w:rsid w:val="00D86043"/>
    <w:rsid w:val="00D870D4"/>
    <w:rsid w:val="00D9046A"/>
    <w:rsid w:val="00D9398E"/>
    <w:rsid w:val="00D94150"/>
    <w:rsid w:val="00D9464E"/>
    <w:rsid w:val="00D954E0"/>
    <w:rsid w:val="00D95DD3"/>
    <w:rsid w:val="00D97059"/>
    <w:rsid w:val="00D97A1D"/>
    <w:rsid w:val="00DA0181"/>
    <w:rsid w:val="00DA2411"/>
    <w:rsid w:val="00DA2C81"/>
    <w:rsid w:val="00DA65C4"/>
    <w:rsid w:val="00DA7899"/>
    <w:rsid w:val="00DB0923"/>
    <w:rsid w:val="00DB29CA"/>
    <w:rsid w:val="00DB30C8"/>
    <w:rsid w:val="00DB558E"/>
    <w:rsid w:val="00DB5F2B"/>
    <w:rsid w:val="00DB721B"/>
    <w:rsid w:val="00DB74AF"/>
    <w:rsid w:val="00DC1AB8"/>
    <w:rsid w:val="00DC527B"/>
    <w:rsid w:val="00DC5C19"/>
    <w:rsid w:val="00DC7068"/>
    <w:rsid w:val="00DD0411"/>
    <w:rsid w:val="00DD265A"/>
    <w:rsid w:val="00DD6B9B"/>
    <w:rsid w:val="00DD6CE2"/>
    <w:rsid w:val="00DE07A1"/>
    <w:rsid w:val="00DE21A2"/>
    <w:rsid w:val="00DE2776"/>
    <w:rsid w:val="00DE3B11"/>
    <w:rsid w:val="00DE6E4E"/>
    <w:rsid w:val="00DE7183"/>
    <w:rsid w:val="00DF1DAC"/>
    <w:rsid w:val="00DF2165"/>
    <w:rsid w:val="00DF5A24"/>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E9F"/>
    <w:rsid w:val="00E2658F"/>
    <w:rsid w:val="00E27565"/>
    <w:rsid w:val="00E30DE6"/>
    <w:rsid w:val="00E31944"/>
    <w:rsid w:val="00E32395"/>
    <w:rsid w:val="00E32E0D"/>
    <w:rsid w:val="00E332E3"/>
    <w:rsid w:val="00E35435"/>
    <w:rsid w:val="00E37194"/>
    <w:rsid w:val="00E3788B"/>
    <w:rsid w:val="00E40C6A"/>
    <w:rsid w:val="00E410B7"/>
    <w:rsid w:val="00E43977"/>
    <w:rsid w:val="00E4415D"/>
    <w:rsid w:val="00E44AB1"/>
    <w:rsid w:val="00E44AB8"/>
    <w:rsid w:val="00E47BD8"/>
    <w:rsid w:val="00E50D3F"/>
    <w:rsid w:val="00E520BE"/>
    <w:rsid w:val="00E5484A"/>
    <w:rsid w:val="00E54E17"/>
    <w:rsid w:val="00E56542"/>
    <w:rsid w:val="00E56A7A"/>
    <w:rsid w:val="00E60419"/>
    <w:rsid w:val="00E60E01"/>
    <w:rsid w:val="00E617D3"/>
    <w:rsid w:val="00E61E36"/>
    <w:rsid w:val="00E633C1"/>
    <w:rsid w:val="00E65C68"/>
    <w:rsid w:val="00E667B0"/>
    <w:rsid w:val="00E67390"/>
    <w:rsid w:val="00E71365"/>
    <w:rsid w:val="00E74904"/>
    <w:rsid w:val="00E770A4"/>
    <w:rsid w:val="00E8097A"/>
    <w:rsid w:val="00E81192"/>
    <w:rsid w:val="00E83B51"/>
    <w:rsid w:val="00E8626C"/>
    <w:rsid w:val="00E8663B"/>
    <w:rsid w:val="00E86BDE"/>
    <w:rsid w:val="00E8762F"/>
    <w:rsid w:val="00E90AB8"/>
    <w:rsid w:val="00E919D9"/>
    <w:rsid w:val="00E921C1"/>
    <w:rsid w:val="00E93C8B"/>
    <w:rsid w:val="00E93D8F"/>
    <w:rsid w:val="00E94D1A"/>
    <w:rsid w:val="00E9531E"/>
    <w:rsid w:val="00E95A8E"/>
    <w:rsid w:val="00E95E41"/>
    <w:rsid w:val="00E95E4C"/>
    <w:rsid w:val="00E977CE"/>
    <w:rsid w:val="00E97E05"/>
    <w:rsid w:val="00EA1370"/>
    <w:rsid w:val="00EA198C"/>
    <w:rsid w:val="00EA34E2"/>
    <w:rsid w:val="00EA52D1"/>
    <w:rsid w:val="00EA703E"/>
    <w:rsid w:val="00EA791F"/>
    <w:rsid w:val="00EB671F"/>
    <w:rsid w:val="00EB6D0B"/>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4FBF"/>
    <w:rsid w:val="00EF518E"/>
    <w:rsid w:val="00EF5DF0"/>
    <w:rsid w:val="00EF69AE"/>
    <w:rsid w:val="00EF69EF"/>
    <w:rsid w:val="00EF6E2C"/>
    <w:rsid w:val="00EF7106"/>
    <w:rsid w:val="00F001A6"/>
    <w:rsid w:val="00F00253"/>
    <w:rsid w:val="00F0070A"/>
    <w:rsid w:val="00F01660"/>
    <w:rsid w:val="00F01C16"/>
    <w:rsid w:val="00F076FF"/>
    <w:rsid w:val="00F0782D"/>
    <w:rsid w:val="00F10B74"/>
    <w:rsid w:val="00F11EB3"/>
    <w:rsid w:val="00F13F39"/>
    <w:rsid w:val="00F14B9B"/>
    <w:rsid w:val="00F14CCC"/>
    <w:rsid w:val="00F1764B"/>
    <w:rsid w:val="00F17988"/>
    <w:rsid w:val="00F20C09"/>
    <w:rsid w:val="00F217DF"/>
    <w:rsid w:val="00F21CAE"/>
    <w:rsid w:val="00F22AE0"/>
    <w:rsid w:val="00F24372"/>
    <w:rsid w:val="00F2601A"/>
    <w:rsid w:val="00F26701"/>
    <w:rsid w:val="00F310D7"/>
    <w:rsid w:val="00F368B9"/>
    <w:rsid w:val="00F3739F"/>
    <w:rsid w:val="00F374C1"/>
    <w:rsid w:val="00F37B34"/>
    <w:rsid w:val="00F41C34"/>
    <w:rsid w:val="00F4212F"/>
    <w:rsid w:val="00F447DB"/>
    <w:rsid w:val="00F447FA"/>
    <w:rsid w:val="00F45FE6"/>
    <w:rsid w:val="00F469B9"/>
    <w:rsid w:val="00F46C32"/>
    <w:rsid w:val="00F46CAF"/>
    <w:rsid w:val="00F46ECB"/>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222A"/>
    <w:rsid w:val="00F922EA"/>
    <w:rsid w:val="00F923CE"/>
    <w:rsid w:val="00F92927"/>
    <w:rsid w:val="00F949E0"/>
    <w:rsid w:val="00F94F0F"/>
    <w:rsid w:val="00F979B3"/>
    <w:rsid w:val="00F97CCD"/>
    <w:rsid w:val="00FA320D"/>
    <w:rsid w:val="00FA35D6"/>
    <w:rsid w:val="00FA362B"/>
    <w:rsid w:val="00FA53E9"/>
    <w:rsid w:val="00FA60EC"/>
    <w:rsid w:val="00FB04E9"/>
    <w:rsid w:val="00FB1179"/>
    <w:rsid w:val="00FB1C6B"/>
    <w:rsid w:val="00FB3361"/>
    <w:rsid w:val="00FB42B4"/>
    <w:rsid w:val="00FB4841"/>
    <w:rsid w:val="00FB6C94"/>
    <w:rsid w:val="00FB7F8B"/>
    <w:rsid w:val="00FC015C"/>
    <w:rsid w:val="00FC22F5"/>
    <w:rsid w:val="00FC3753"/>
    <w:rsid w:val="00FC5170"/>
    <w:rsid w:val="00FC5743"/>
    <w:rsid w:val="00FC6240"/>
    <w:rsid w:val="00FC7478"/>
    <w:rsid w:val="00FD118C"/>
    <w:rsid w:val="00FD2A7C"/>
    <w:rsid w:val="00FD332F"/>
    <w:rsid w:val="00FD7395"/>
    <w:rsid w:val="00FE1CC1"/>
    <w:rsid w:val="00FE385E"/>
    <w:rsid w:val="00FE3CE2"/>
    <w:rsid w:val="00FE542E"/>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paragraph" w:styleId="Ttulo3">
    <w:name w:val="heading 3"/>
    <w:basedOn w:val="Normal"/>
    <w:next w:val="Normal"/>
    <w:link w:val="Ttulo3Char"/>
    <w:uiPriority w:val="9"/>
    <w:semiHidden/>
    <w:unhideWhenUsed/>
    <w:qFormat/>
    <w:rsid w:val="007D28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35048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tion">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UnresolvedMention">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table" w:styleId="Tabelacomgrade">
    <w:name w:val="Table Grid"/>
    <w:basedOn w:val="Tabelanormal"/>
    <w:uiPriority w:val="59"/>
    <w:rsid w:val="00A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nfase1">
    <w:name w:val="Grid Table 2 Accent 1"/>
    <w:basedOn w:val="Tabelanormal"/>
    <w:uiPriority w:val="47"/>
    <w:rsid w:val="00A216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sid w:val="007D2855"/>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rsid w:val="00332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3270E"/>
    <w:rPr>
      <w:rFonts w:ascii="Courier New" w:eastAsia="Times New Roman" w:hAnsi="Courier New" w:cs="Courier New"/>
      <w:sz w:val="20"/>
      <w:szCs w:val="20"/>
      <w:lang w:eastAsia="pt-BR"/>
    </w:rPr>
  </w:style>
  <w:style w:type="character" w:customStyle="1" w:styleId="highlightbrs">
    <w:name w:val="highlightbrs"/>
    <w:basedOn w:val="Fontepargpadro"/>
    <w:rsid w:val="00FA35D6"/>
  </w:style>
  <w:style w:type="character" w:customStyle="1" w:styleId="Ttulo4Char">
    <w:name w:val="Título 4 Char"/>
    <w:basedOn w:val="Fontepargpadro"/>
    <w:link w:val="Ttulo4"/>
    <w:uiPriority w:val="9"/>
    <w:semiHidden/>
    <w:rsid w:val="0035048F"/>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rsid w:val="0035048F"/>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lista-resultadotitulo">
    <w:name w:val="lista-resultado__titulo"/>
    <w:basedOn w:val="Fontepargpadro"/>
    <w:rsid w:val="00861DB4"/>
  </w:style>
  <w:style w:type="paragraph" w:customStyle="1" w:styleId="col-lg-2">
    <w:name w:val="col-lg-2"/>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l-lg-10">
    <w:name w:val="col-lg-10"/>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l-lg-12">
    <w:name w:val="col-lg-12"/>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blue-info">
    <w:name w:val="blue-info"/>
    <w:basedOn w:val="Fontepargpadro"/>
    <w:rsid w:val="006C3AF0"/>
  </w:style>
  <w:style w:type="character" w:customStyle="1" w:styleId="notification">
    <w:name w:val="notification"/>
    <w:basedOn w:val="Fontepargpadro"/>
    <w:rsid w:val="00CA1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55456606">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20869238">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49142278">
      <w:bodyDiv w:val="1"/>
      <w:marLeft w:val="0"/>
      <w:marRight w:val="0"/>
      <w:marTop w:val="0"/>
      <w:marBottom w:val="0"/>
      <w:divBdr>
        <w:top w:val="none" w:sz="0" w:space="0" w:color="auto"/>
        <w:left w:val="none" w:sz="0" w:space="0" w:color="auto"/>
        <w:bottom w:val="none" w:sz="0" w:space="0" w:color="auto"/>
        <w:right w:val="none" w:sz="0" w:space="0" w:color="auto"/>
      </w:divBdr>
    </w:div>
    <w:div w:id="382489259">
      <w:bodyDiv w:val="1"/>
      <w:marLeft w:val="0"/>
      <w:marRight w:val="0"/>
      <w:marTop w:val="0"/>
      <w:marBottom w:val="0"/>
      <w:divBdr>
        <w:top w:val="none" w:sz="0" w:space="0" w:color="auto"/>
        <w:left w:val="none" w:sz="0" w:space="0" w:color="auto"/>
        <w:bottom w:val="none" w:sz="0" w:space="0" w:color="auto"/>
        <w:right w:val="none" w:sz="0" w:space="0" w:color="auto"/>
      </w:divBdr>
      <w:divsChild>
        <w:div w:id="586770373">
          <w:marLeft w:val="0"/>
          <w:marRight w:val="0"/>
          <w:marTop w:val="0"/>
          <w:marBottom w:val="0"/>
          <w:divBdr>
            <w:top w:val="none" w:sz="0" w:space="0" w:color="auto"/>
            <w:left w:val="none" w:sz="0" w:space="0" w:color="auto"/>
            <w:bottom w:val="none" w:sz="0" w:space="0" w:color="auto"/>
            <w:right w:val="none" w:sz="0" w:space="0" w:color="auto"/>
          </w:divBdr>
          <w:divsChild>
            <w:div w:id="630328158">
              <w:marLeft w:val="0"/>
              <w:marRight w:val="0"/>
              <w:marTop w:val="0"/>
              <w:marBottom w:val="0"/>
              <w:divBdr>
                <w:top w:val="none" w:sz="0" w:space="0" w:color="auto"/>
                <w:left w:val="none" w:sz="0" w:space="0" w:color="auto"/>
                <w:bottom w:val="none" w:sz="0" w:space="0" w:color="auto"/>
                <w:right w:val="none" w:sz="0" w:space="0" w:color="auto"/>
              </w:divBdr>
              <w:divsChild>
                <w:div w:id="18631386">
                  <w:marLeft w:val="0"/>
                  <w:marRight w:val="0"/>
                  <w:marTop w:val="0"/>
                  <w:marBottom w:val="0"/>
                  <w:divBdr>
                    <w:top w:val="none" w:sz="0" w:space="0" w:color="auto"/>
                    <w:left w:val="none" w:sz="0" w:space="0" w:color="auto"/>
                    <w:bottom w:val="none" w:sz="0" w:space="0" w:color="auto"/>
                    <w:right w:val="none" w:sz="0" w:space="0" w:color="auto"/>
                  </w:divBdr>
                  <w:divsChild>
                    <w:div w:id="1701511415">
                      <w:marLeft w:val="-180"/>
                      <w:marRight w:val="-180"/>
                      <w:marTop w:val="0"/>
                      <w:marBottom w:val="0"/>
                      <w:divBdr>
                        <w:top w:val="none" w:sz="0" w:space="0" w:color="auto"/>
                        <w:left w:val="none" w:sz="0" w:space="0" w:color="auto"/>
                        <w:bottom w:val="none" w:sz="0" w:space="0" w:color="auto"/>
                        <w:right w:val="none" w:sz="0" w:space="0" w:color="auto"/>
                      </w:divBdr>
                      <w:divsChild>
                        <w:div w:id="477527952">
                          <w:marLeft w:val="0"/>
                          <w:marRight w:val="0"/>
                          <w:marTop w:val="0"/>
                          <w:marBottom w:val="0"/>
                          <w:divBdr>
                            <w:top w:val="none" w:sz="0" w:space="0" w:color="auto"/>
                            <w:left w:val="none" w:sz="0" w:space="0" w:color="auto"/>
                            <w:bottom w:val="none" w:sz="0" w:space="0" w:color="auto"/>
                            <w:right w:val="none" w:sz="0" w:space="0" w:color="auto"/>
                          </w:divBdr>
                          <w:divsChild>
                            <w:div w:id="402874896">
                              <w:marLeft w:val="0"/>
                              <w:marRight w:val="0"/>
                              <w:marTop w:val="0"/>
                              <w:marBottom w:val="0"/>
                              <w:divBdr>
                                <w:top w:val="none" w:sz="0" w:space="0" w:color="auto"/>
                                <w:left w:val="none" w:sz="0" w:space="0" w:color="auto"/>
                                <w:bottom w:val="none" w:sz="0" w:space="0" w:color="auto"/>
                                <w:right w:val="none" w:sz="0" w:space="0" w:color="auto"/>
                              </w:divBdr>
                              <w:divsChild>
                                <w:div w:id="1735083257">
                                  <w:marLeft w:val="0"/>
                                  <w:marRight w:val="0"/>
                                  <w:marTop w:val="0"/>
                                  <w:marBottom w:val="0"/>
                                  <w:divBdr>
                                    <w:top w:val="none" w:sz="0" w:space="0" w:color="auto"/>
                                    <w:left w:val="none" w:sz="0" w:space="0" w:color="auto"/>
                                    <w:bottom w:val="none" w:sz="0" w:space="0" w:color="auto"/>
                                    <w:right w:val="none" w:sz="0" w:space="0" w:color="auto"/>
                                  </w:divBdr>
                                  <w:divsChild>
                                    <w:div w:id="1108937765">
                                      <w:marLeft w:val="0"/>
                                      <w:marRight w:val="0"/>
                                      <w:marTop w:val="0"/>
                                      <w:marBottom w:val="0"/>
                                      <w:divBdr>
                                        <w:top w:val="none" w:sz="0" w:space="0" w:color="auto"/>
                                        <w:left w:val="none" w:sz="0" w:space="0" w:color="auto"/>
                                        <w:bottom w:val="none" w:sz="0" w:space="0" w:color="auto"/>
                                        <w:right w:val="none" w:sz="0" w:space="0" w:color="auto"/>
                                      </w:divBdr>
                                      <w:divsChild>
                                        <w:div w:id="1839274448">
                                          <w:marLeft w:val="0"/>
                                          <w:marRight w:val="0"/>
                                          <w:marTop w:val="0"/>
                                          <w:marBottom w:val="0"/>
                                          <w:divBdr>
                                            <w:top w:val="none" w:sz="0" w:space="0" w:color="auto"/>
                                            <w:left w:val="none" w:sz="0" w:space="0" w:color="auto"/>
                                            <w:bottom w:val="none" w:sz="0" w:space="0" w:color="auto"/>
                                            <w:right w:val="none" w:sz="0" w:space="0" w:color="auto"/>
                                          </w:divBdr>
                                          <w:divsChild>
                                            <w:div w:id="1748531054">
                                              <w:marLeft w:val="0"/>
                                              <w:marRight w:val="0"/>
                                              <w:marTop w:val="0"/>
                                              <w:marBottom w:val="0"/>
                                              <w:divBdr>
                                                <w:top w:val="none" w:sz="0" w:space="0" w:color="auto"/>
                                                <w:left w:val="none" w:sz="0" w:space="0" w:color="auto"/>
                                                <w:bottom w:val="none" w:sz="0" w:space="0" w:color="auto"/>
                                                <w:right w:val="none" w:sz="0" w:space="0" w:color="auto"/>
                                              </w:divBdr>
                                              <w:divsChild>
                                                <w:div w:id="1905293246">
                                                  <w:marLeft w:val="0"/>
                                                  <w:marRight w:val="0"/>
                                                  <w:marTop w:val="0"/>
                                                  <w:marBottom w:val="0"/>
                                                  <w:divBdr>
                                                    <w:top w:val="none" w:sz="0" w:space="0" w:color="auto"/>
                                                    <w:left w:val="none" w:sz="0" w:space="0" w:color="auto"/>
                                                    <w:bottom w:val="none" w:sz="0" w:space="0" w:color="auto"/>
                                                    <w:right w:val="none" w:sz="0" w:space="0" w:color="auto"/>
                                                  </w:divBdr>
                                                  <w:divsChild>
                                                    <w:div w:id="759372206">
                                                      <w:marLeft w:val="0"/>
                                                      <w:marRight w:val="0"/>
                                                      <w:marTop w:val="0"/>
                                                      <w:marBottom w:val="0"/>
                                                      <w:divBdr>
                                                        <w:top w:val="none" w:sz="0" w:space="0" w:color="auto"/>
                                                        <w:left w:val="none" w:sz="0" w:space="0" w:color="auto"/>
                                                        <w:bottom w:val="none" w:sz="0" w:space="0" w:color="auto"/>
                                                        <w:right w:val="none" w:sz="0" w:space="0" w:color="auto"/>
                                                      </w:divBdr>
                                                    </w:div>
                                                    <w:div w:id="818493712">
                                                      <w:marLeft w:val="0"/>
                                                      <w:marRight w:val="0"/>
                                                      <w:marTop w:val="0"/>
                                                      <w:marBottom w:val="0"/>
                                                      <w:divBdr>
                                                        <w:top w:val="none" w:sz="0" w:space="0" w:color="auto"/>
                                                        <w:left w:val="none" w:sz="0" w:space="0" w:color="auto"/>
                                                        <w:bottom w:val="none" w:sz="0" w:space="0" w:color="auto"/>
                                                        <w:right w:val="none" w:sz="0" w:space="0" w:color="auto"/>
                                                      </w:divBdr>
                                                    </w:div>
                                                    <w:div w:id="2051492535">
                                                      <w:marLeft w:val="0"/>
                                                      <w:marRight w:val="0"/>
                                                      <w:marTop w:val="0"/>
                                                      <w:marBottom w:val="0"/>
                                                      <w:divBdr>
                                                        <w:top w:val="none" w:sz="0" w:space="0" w:color="auto"/>
                                                        <w:left w:val="none" w:sz="0" w:space="0" w:color="auto"/>
                                                        <w:bottom w:val="none" w:sz="0" w:space="0" w:color="auto"/>
                                                        <w:right w:val="none" w:sz="0" w:space="0" w:color="auto"/>
                                                      </w:divBdr>
                                                      <w:divsChild>
                                                        <w:div w:id="1078138444">
                                                          <w:marLeft w:val="0"/>
                                                          <w:marRight w:val="0"/>
                                                          <w:marTop w:val="0"/>
                                                          <w:marBottom w:val="0"/>
                                                          <w:divBdr>
                                                            <w:top w:val="none" w:sz="0" w:space="0" w:color="auto"/>
                                                            <w:left w:val="none" w:sz="0" w:space="0" w:color="auto"/>
                                                            <w:bottom w:val="none" w:sz="0" w:space="0" w:color="auto"/>
                                                            <w:right w:val="none" w:sz="0" w:space="0" w:color="auto"/>
                                                          </w:divBdr>
                                                        </w:div>
                                                      </w:divsChild>
                                                    </w:div>
                                                    <w:div w:id="179635343">
                                                      <w:marLeft w:val="0"/>
                                                      <w:marRight w:val="0"/>
                                                      <w:marTop w:val="0"/>
                                                      <w:marBottom w:val="0"/>
                                                      <w:divBdr>
                                                        <w:top w:val="none" w:sz="0" w:space="0" w:color="auto"/>
                                                        <w:left w:val="none" w:sz="0" w:space="0" w:color="auto"/>
                                                        <w:bottom w:val="none" w:sz="0" w:space="0" w:color="auto"/>
                                                        <w:right w:val="none" w:sz="0" w:space="0" w:color="auto"/>
                                                      </w:divBdr>
                                                      <w:divsChild>
                                                        <w:div w:id="1603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12512069">
      <w:bodyDiv w:val="1"/>
      <w:marLeft w:val="0"/>
      <w:marRight w:val="0"/>
      <w:marTop w:val="0"/>
      <w:marBottom w:val="0"/>
      <w:divBdr>
        <w:top w:val="none" w:sz="0" w:space="0" w:color="auto"/>
        <w:left w:val="none" w:sz="0" w:space="0" w:color="auto"/>
        <w:bottom w:val="none" w:sz="0" w:space="0" w:color="auto"/>
        <w:right w:val="none" w:sz="0" w:space="0" w:color="auto"/>
      </w:divBdr>
      <w:divsChild>
        <w:div w:id="1953239796">
          <w:marLeft w:val="0"/>
          <w:marRight w:val="0"/>
          <w:marTop w:val="0"/>
          <w:marBottom w:val="0"/>
          <w:divBdr>
            <w:top w:val="none" w:sz="0" w:space="0" w:color="auto"/>
            <w:left w:val="none" w:sz="0" w:space="0" w:color="auto"/>
            <w:bottom w:val="none" w:sz="0" w:space="0" w:color="auto"/>
            <w:right w:val="none" w:sz="0" w:space="0" w:color="auto"/>
          </w:divBdr>
          <w:divsChild>
            <w:div w:id="1807165939">
              <w:marLeft w:val="0"/>
              <w:marRight w:val="0"/>
              <w:marTop w:val="0"/>
              <w:marBottom w:val="0"/>
              <w:divBdr>
                <w:top w:val="none" w:sz="0" w:space="0" w:color="auto"/>
                <w:left w:val="none" w:sz="0" w:space="0" w:color="auto"/>
                <w:bottom w:val="none" w:sz="0" w:space="0" w:color="auto"/>
                <w:right w:val="none" w:sz="0" w:space="0" w:color="auto"/>
              </w:divBdr>
              <w:divsChild>
                <w:div w:id="1533611739">
                  <w:marLeft w:val="0"/>
                  <w:marRight w:val="0"/>
                  <w:marTop w:val="0"/>
                  <w:marBottom w:val="0"/>
                  <w:divBdr>
                    <w:top w:val="none" w:sz="0" w:space="0" w:color="auto"/>
                    <w:left w:val="none" w:sz="0" w:space="0" w:color="auto"/>
                    <w:bottom w:val="none" w:sz="0" w:space="0" w:color="auto"/>
                    <w:right w:val="none" w:sz="0" w:space="0" w:color="auto"/>
                  </w:divBdr>
                  <w:divsChild>
                    <w:div w:id="1677728715">
                      <w:marLeft w:val="-180"/>
                      <w:marRight w:val="-180"/>
                      <w:marTop w:val="0"/>
                      <w:marBottom w:val="0"/>
                      <w:divBdr>
                        <w:top w:val="none" w:sz="0" w:space="0" w:color="auto"/>
                        <w:left w:val="none" w:sz="0" w:space="0" w:color="auto"/>
                        <w:bottom w:val="none" w:sz="0" w:space="0" w:color="auto"/>
                        <w:right w:val="none" w:sz="0" w:space="0" w:color="auto"/>
                      </w:divBdr>
                      <w:divsChild>
                        <w:div w:id="496385157">
                          <w:marLeft w:val="0"/>
                          <w:marRight w:val="0"/>
                          <w:marTop w:val="0"/>
                          <w:marBottom w:val="0"/>
                          <w:divBdr>
                            <w:top w:val="none" w:sz="0" w:space="0" w:color="auto"/>
                            <w:left w:val="none" w:sz="0" w:space="0" w:color="auto"/>
                            <w:bottom w:val="none" w:sz="0" w:space="0" w:color="auto"/>
                            <w:right w:val="none" w:sz="0" w:space="0" w:color="auto"/>
                          </w:divBdr>
                          <w:divsChild>
                            <w:div w:id="141391194">
                              <w:marLeft w:val="0"/>
                              <w:marRight w:val="0"/>
                              <w:marTop w:val="0"/>
                              <w:marBottom w:val="0"/>
                              <w:divBdr>
                                <w:top w:val="none" w:sz="0" w:space="0" w:color="auto"/>
                                <w:left w:val="none" w:sz="0" w:space="0" w:color="auto"/>
                                <w:bottom w:val="none" w:sz="0" w:space="0" w:color="auto"/>
                                <w:right w:val="none" w:sz="0" w:space="0" w:color="auto"/>
                              </w:divBdr>
                              <w:divsChild>
                                <w:div w:id="159974621">
                                  <w:marLeft w:val="0"/>
                                  <w:marRight w:val="0"/>
                                  <w:marTop w:val="0"/>
                                  <w:marBottom w:val="0"/>
                                  <w:divBdr>
                                    <w:top w:val="none" w:sz="0" w:space="0" w:color="auto"/>
                                    <w:left w:val="none" w:sz="0" w:space="0" w:color="auto"/>
                                    <w:bottom w:val="none" w:sz="0" w:space="0" w:color="auto"/>
                                    <w:right w:val="none" w:sz="0" w:space="0" w:color="auto"/>
                                  </w:divBdr>
                                  <w:divsChild>
                                    <w:div w:id="1365056457">
                                      <w:marLeft w:val="0"/>
                                      <w:marRight w:val="0"/>
                                      <w:marTop w:val="0"/>
                                      <w:marBottom w:val="0"/>
                                      <w:divBdr>
                                        <w:top w:val="none" w:sz="0" w:space="0" w:color="auto"/>
                                        <w:left w:val="none" w:sz="0" w:space="0" w:color="auto"/>
                                        <w:bottom w:val="none" w:sz="0" w:space="0" w:color="auto"/>
                                        <w:right w:val="none" w:sz="0" w:space="0" w:color="auto"/>
                                      </w:divBdr>
                                      <w:divsChild>
                                        <w:div w:id="997341170">
                                          <w:marLeft w:val="0"/>
                                          <w:marRight w:val="0"/>
                                          <w:marTop w:val="0"/>
                                          <w:marBottom w:val="0"/>
                                          <w:divBdr>
                                            <w:top w:val="none" w:sz="0" w:space="0" w:color="auto"/>
                                            <w:left w:val="none" w:sz="0" w:space="0" w:color="auto"/>
                                            <w:bottom w:val="none" w:sz="0" w:space="0" w:color="auto"/>
                                            <w:right w:val="none" w:sz="0" w:space="0" w:color="auto"/>
                                          </w:divBdr>
                                          <w:divsChild>
                                            <w:div w:id="1064180022">
                                              <w:marLeft w:val="0"/>
                                              <w:marRight w:val="0"/>
                                              <w:marTop w:val="0"/>
                                              <w:marBottom w:val="0"/>
                                              <w:divBdr>
                                                <w:top w:val="none" w:sz="0" w:space="0" w:color="auto"/>
                                                <w:left w:val="none" w:sz="0" w:space="0" w:color="auto"/>
                                                <w:bottom w:val="none" w:sz="0" w:space="0" w:color="auto"/>
                                                <w:right w:val="none" w:sz="0" w:space="0" w:color="auto"/>
                                              </w:divBdr>
                                              <w:divsChild>
                                                <w:div w:id="1307272561">
                                                  <w:marLeft w:val="0"/>
                                                  <w:marRight w:val="0"/>
                                                  <w:marTop w:val="0"/>
                                                  <w:marBottom w:val="0"/>
                                                  <w:divBdr>
                                                    <w:top w:val="none" w:sz="0" w:space="0" w:color="auto"/>
                                                    <w:left w:val="none" w:sz="0" w:space="0" w:color="auto"/>
                                                    <w:bottom w:val="none" w:sz="0" w:space="0" w:color="auto"/>
                                                    <w:right w:val="none" w:sz="0" w:space="0" w:color="auto"/>
                                                  </w:divBdr>
                                                  <w:divsChild>
                                                    <w:div w:id="360785217">
                                                      <w:marLeft w:val="0"/>
                                                      <w:marRight w:val="0"/>
                                                      <w:marTop w:val="0"/>
                                                      <w:marBottom w:val="0"/>
                                                      <w:divBdr>
                                                        <w:top w:val="none" w:sz="0" w:space="0" w:color="auto"/>
                                                        <w:left w:val="none" w:sz="0" w:space="0" w:color="auto"/>
                                                        <w:bottom w:val="none" w:sz="0" w:space="0" w:color="auto"/>
                                                        <w:right w:val="none" w:sz="0" w:space="0" w:color="auto"/>
                                                      </w:divBdr>
                                                    </w:div>
                                                    <w:div w:id="1121993872">
                                                      <w:marLeft w:val="0"/>
                                                      <w:marRight w:val="0"/>
                                                      <w:marTop w:val="0"/>
                                                      <w:marBottom w:val="0"/>
                                                      <w:divBdr>
                                                        <w:top w:val="none" w:sz="0" w:space="0" w:color="auto"/>
                                                        <w:left w:val="none" w:sz="0" w:space="0" w:color="auto"/>
                                                        <w:bottom w:val="none" w:sz="0" w:space="0" w:color="auto"/>
                                                        <w:right w:val="none" w:sz="0" w:space="0" w:color="auto"/>
                                                      </w:divBdr>
                                                    </w:div>
                                                    <w:div w:id="389577161">
                                                      <w:marLeft w:val="0"/>
                                                      <w:marRight w:val="0"/>
                                                      <w:marTop w:val="0"/>
                                                      <w:marBottom w:val="0"/>
                                                      <w:divBdr>
                                                        <w:top w:val="none" w:sz="0" w:space="0" w:color="auto"/>
                                                        <w:left w:val="none" w:sz="0" w:space="0" w:color="auto"/>
                                                        <w:bottom w:val="none" w:sz="0" w:space="0" w:color="auto"/>
                                                        <w:right w:val="none" w:sz="0" w:space="0" w:color="auto"/>
                                                      </w:divBdr>
                                                      <w:divsChild>
                                                        <w:div w:id="1851598044">
                                                          <w:marLeft w:val="0"/>
                                                          <w:marRight w:val="0"/>
                                                          <w:marTop w:val="0"/>
                                                          <w:marBottom w:val="0"/>
                                                          <w:divBdr>
                                                            <w:top w:val="none" w:sz="0" w:space="0" w:color="auto"/>
                                                            <w:left w:val="none" w:sz="0" w:space="0" w:color="auto"/>
                                                            <w:bottom w:val="none" w:sz="0" w:space="0" w:color="auto"/>
                                                            <w:right w:val="none" w:sz="0" w:space="0" w:color="auto"/>
                                                          </w:divBdr>
                                                        </w:div>
                                                      </w:divsChild>
                                                    </w:div>
                                                    <w:div w:id="1105267294">
                                                      <w:marLeft w:val="0"/>
                                                      <w:marRight w:val="0"/>
                                                      <w:marTop w:val="0"/>
                                                      <w:marBottom w:val="0"/>
                                                      <w:divBdr>
                                                        <w:top w:val="none" w:sz="0" w:space="0" w:color="auto"/>
                                                        <w:left w:val="none" w:sz="0" w:space="0" w:color="auto"/>
                                                        <w:bottom w:val="none" w:sz="0" w:space="0" w:color="auto"/>
                                                        <w:right w:val="none" w:sz="0" w:space="0" w:color="auto"/>
                                                      </w:divBdr>
                                                      <w:divsChild>
                                                        <w:div w:id="12012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7119256">
      <w:bodyDiv w:val="1"/>
      <w:marLeft w:val="0"/>
      <w:marRight w:val="0"/>
      <w:marTop w:val="0"/>
      <w:marBottom w:val="0"/>
      <w:divBdr>
        <w:top w:val="none" w:sz="0" w:space="0" w:color="auto"/>
        <w:left w:val="none" w:sz="0" w:space="0" w:color="auto"/>
        <w:bottom w:val="none" w:sz="0" w:space="0" w:color="auto"/>
        <w:right w:val="none" w:sz="0" w:space="0" w:color="auto"/>
      </w:divBdr>
      <w:divsChild>
        <w:div w:id="1194995630">
          <w:marLeft w:val="-225"/>
          <w:marRight w:val="-225"/>
          <w:marTop w:val="0"/>
          <w:marBottom w:val="0"/>
          <w:divBdr>
            <w:top w:val="none" w:sz="0" w:space="0" w:color="auto"/>
            <w:left w:val="none" w:sz="0" w:space="0" w:color="auto"/>
            <w:bottom w:val="none" w:sz="0" w:space="0" w:color="auto"/>
            <w:right w:val="none" w:sz="0" w:space="0" w:color="auto"/>
          </w:divBdr>
          <w:divsChild>
            <w:div w:id="687145774">
              <w:marLeft w:val="0"/>
              <w:marRight w:val="0"/>
              <w:marTop w:val="0"/>
              <w:marBottom w:val="0"/>
              <w:divBdr>
                <w:top w:val="none" w:sz="0" w:space="0" w:color="auto"/>
                <w:left w:val="none" w:sz="0" w:space="0" w:color="auto"/>
                <w:bottom w:val="none" w:sz="0" w:space="0" w:color="auto"/>
                <w:right w:val="none" w:sz="0" w:space="0" w:color="auto"/>
              </w:divBdr>
              <w:divsChild>
                <w:div w:id="852691139">
                  <w:marLeft w:val="0"/>
                  <w:marRight w:val="0"/>
                  <w:marTop w:val="0"/>
                  <w:marBottom w:val="0"/>
                  <w:divBdr>
                    <w:top w:val="none" w:sz="0" w:space="0" w:color="auto"/>
                    <w:left w:val="none" w:sz="0" w:space="0" w:color="auto"/>
                    <w:bottom w:val="none" w:sz="0" w:space="0" w:color="auto"/>
                    <w:right w:val="none" w:sz="0" w:space="0" w:color="auto"/>
                  </w:divBdr>
                  <w:divsChild>
                    <w:div w:id="19075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787">
              <w:marLeft w:val="0"/>
              <w:marRight w:val="0"/>
              <w:marTop w:val="0"/>
              <w:marBottom w:val="0"/>
              <w:divBdr>
                <w:top w:val="none" w:sz="0" w:space="0" w:color="auto"/>
                <w:left w:val="none" w:sz="0" w:space="0" w:color="auto"/>
                <w:bottom w:val="none" w:sz="0" w:space="0" w:color="auto"/>
                <w:right w:val="none" w:sz="0" w:space="0" w:color="auto"/>
              </w:divBdr>
              <w:divsChild>
                <w:div w:id="325205890">
                  <w:marLeft w:val="0"/>
                  <w:marRight w:val="0"/>
                  <w:marTop w:val="0"/>
                  <w:marBottom w:val="0"/>
                  <w:divBdr>
                    <w:top w:val="none" w:sz="0" w:space="0" w:color="auto"/>
                    <w:left w:val="none" w:sz="0" w:space="0" w:color="auto"/>
                    <w:bottom w:val="none" w:sz="0" w:space="0" w:color="auto"/>
                    <w:right w:val="none" w:sz="0" w:space="0" w:color="auto"/>
                  </w:divBdr>
                </w:div>
              </w:divsChild>
            </w:div>
            <w:div w:id="877813949">
              <w:marLeft w:val="0"/>
              <w:marRight w:val="0"/>
              <w:marTop w:val="0"/>
              <w:marBottom w:val="0"/>
              <w:divBdr>
                <w:top w:val="none" w:sz="0" w:space="0" w:color="auto"/>
                <w:left w:val="none" w:sz="0" w:space="0" w:color="auto"/>
                <w:bottom w:val="none" w:sz="0" w:space="0" w:color="auto"/>
                <w:right w:val="none" w:sz="0" w:space="0" w:color="auto"/>
              </w:divBdr>
              <w:divsChild>
                <w:div w:id="16690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2745">
          <w:marLeft w:val="-225"/>
          <w:marRight w:val="-225"/>
          <w:marTop w:val="0"/>
          <w:marBottom w:val="0"/>
          <w:divBdr>
            <w:top w:val="none" w:sz="0" w:space="0" w:color="auto"/>
            <w:left w:val="none" w:sz="0" w:space="0" w:color="auto"/>
            <w:bottom w:val="none" w:sz="0" w:space="0" w:color="auto"/>
            <w:right w:val="none" w:sz="0" w:space="0" w:color="auto"/>
          </w:divBdr>
          <w:divsChild>
            <w:div w:id="1609041924">
              <w:marLeft w:val="0"/>
              <w:marRight w:val="0"/>
              <w:marTop w:val="0"/>
              <w:marBottom w:val="0"/>
              <w:divBdr>
                <w:top w:val="none" w:sz="0" w:space="0" w:color="auto"/>
                <w:left w:val="none" w:sz="0" w:space="0" w:color="auto"/>
                <w:bottom w:val="none" w:sz="0" w:space="0" w:color="auto"/>
                <w:right w:val="none" w:sz="0" w:space="0" w:color="auto"/>
              </w:divBdr>
              <w:divsChild>
                <w:div w:id="1197932743">
                  <w:marLeft w:val="0"/>
                  <w:marRight w:val="0"/>
                  <w:marTop w:val="0"/>
                  <w:marBottom w:val="0"/>
                  <w:divBdr>
                    <w:top w:val="none" w:sz="0" w:space="0" w:color="auto"/>
                    <w:left w:val="none" w:sz="0" w:space="0" w:color="auto"/>
                    <w:bottom w:val="none" w:sz="0" w:space="0" w:color="auto"/>
                    <w:right w:val="none" w:sz="0" w:space="0" w:color="auto"/>
                  </w:divBdr>
                </w:div>
              </w:divsChild>
            </w:div>
            <w:div w:id="637150890">
              <w:marLeft w:val="0"/>
              <w:marRight w:val="0"/>
              <w:marTop w:val="0"/>
              <w:marBottom w:val="0"/>
              <w:divBdr>
                <w:top w:val="none" w:sz="0" w:space="0" w:color="auto"/>
                <w:left w:val="none" w:sz="0" w:space="0" w:color="auto"/>
                <w:bottom w:val="none" w:sz="0" w:space="0" w:color="auto"/>
                <w:right w:val="none" w:sz="0" w:space="0" w:color="auto"/>
              </w:divBdr>
              <w:divsChild>
                <w:div w:id="54358705">
                  <w:marLeft w:val="0"/>
                  <w:marRight w:val="0"/>
                  <w:marTop w:val="0"/>
                  <w:marBottom w:val="0"/>
                  <w:divBdr>
                    <w:top w:val="none" w:sz="0" w:space="0" w:color="auto"/>
                    <w:left w:val="none" w:sz="0" w:space="0" w:color="auto"/>
                    <w:bottom w:val="none" w:sz="0" w:space="0" w:color="auto"/>
                    <w:right w:val="none" w:sz="0" w:space="0" w:color="auto"/>
                  </w:divBdr>
                </w:div>
              </w:divsChild>
            </w:div>
            <w:div w:id="1089892323">
              <w:marLeft w:val="0"/>
              <w:marRight w:val="0"/>
              <w:marTop w:val="0"/>
              <w:marBottom w:val="0"/>
              <w:divBdr>
                <w:top w:val="none" w:sz="0" w:space="0" w:color="auto"/>
                <w:left w:val="none" w:sz="0" w:space="0" w:color="auto"/>
                <w:bottom w:val="none" w:sz="0" w:space="0" w:color="auto"/>
                <w:right w:val="none" w:sz="0" w:space="0" w:color="auto"/>
              </w:divBdr>
              <w:divsChild>
                <w:div w:id="17114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8770">
          <w:marLeft w:val="-225"/>
          <w:marRight w:val="-225"/>
          <w:marTop w:val="0"/>
          <w:marBottom w:val="0"/>
          <w:divBdr>
            <w:top w:val="none" w:sz="0" w:space="0" w:color="auto"/>
            <w:left w:val="none" w:sz="0" w:space="0" w:color="auto"/>
            <w:bottom w:val="none" w:sz="0" w:space="0" w:color="auto"/>
            <w:right w:val="none" w:sz="0" w:space="0" w:color="auto"/>
          </w:divBdr>
          <w:divsChild>
            <w:div w:id="627860526">
              <w:marLeft w:val="0"/>
              <w:marRight w:val="0"/>
              <w:marTop w:val="0"/>
              <w:marBottom w:val="0"/>
              <w:divBdr>
                <w:top w:val="none" w:sz="0" w:space="0" w:color="auto"/>
                <w:left w:val="none" w:sz="0" w:space="0" w:color="auto"/>
                <w:bottom w:val="none" w:sz="0" w:space="0" w:color="auto"/>
                <w:right w:val="none" w:sz="0" w:space="0" w:color="auto"/>
              </w:divBdr>
            </w:div>
            <w:div w:id="1348797734">
              <w:marLeft w:val="0"/>
              <w:marRight w:val="0"/>
              <w:marTop w:val="0"/>
              <w:marBottom w:val="0"/>
              <w:divBdr>
                <w:top w:val="none" w:sz="0" w:space="0" w:color="auto"/>
                <w:left w:val="none" w:sz="0" w:space="0" w:color="auto"/>
                <w:bottom w:val="none" w:sz="0" w:space="0" w:color="auto"/>
                <w:right w:val="none" w:sz="0" w:space="0" w:color="auto"/>
              </w:divBdr>
            </w:div>
            <w:div w:id="21193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1262528">
      <w:bodyDiv w:val="1"/>
      <w:marLeft w:val="0"/>
      <w:marRight w:val="0"/>
      <w:marTop w:val="0"/>
      <w:marBottom w:val="0"/>
      <w:divBdr>
        <w:top w:val="none" w:sz="0" w:space="0" w:color="auto"/>
        <w:left w:val="none" w:sz="0" w:space="0" w:color="auto"/>
        <w:bottom w:val="none" w:sz="0" w:space="0" w:color="auto"/>
        <w:right w:val="none" w:sz="0" w:space="0" w:color="auto"/>
      </w:divBdr>
      <w:divsChild>
        <w:div w:id="604464660">
          <w:marLeft w:val="0"/>
          <w:marRight w:val="0"/>
          <w:marTop w:val="0"/>
          <w:marBottom w:val="0"/>
          <w:divBdr>
            <w:top w:val="none" w:sz="0" w:space="0" w:color="auto"/>
            <w:left w:val="none" w:sz="0" w:space="0" w:color="auto"/>
            <w:bottom w:val="none" w:sz="0" w:space="0" w:color="auto"/>
            <w:right w:val="none" w:sz="0" w:space="0" w:color="auto"/>
          </w:divBdr>
          <w:divsChild>
            <w:div w:id="1025978819">
              <w:marLeft w:val="0"/>
              <w:marRight w:val="0"/>
              <w:marTop w:val="0"/>
              <w:marBottom w:val="0"/>
              <w:divBdr>
                <w:top w:val="none" w:sz="0" w:space="0" w:color="auto"/>
                <w:left w:val="none" w:sz="0" w:space="0" w:color="auto"/>
                <w:bottom w:val="none" w:sz="0" w:space="0" w:color="auto"/>
                <w:right w:val="none" w:sz="0" w:space="0" w:color="auto"/>
              </w:divBdr>
              <w:divsChild>
                <w:div w:id="942372390">
                  <w:marLeft w:val="0"/>
                  <w:marRight w:val="0"/>
                  <w:marTop w:val="0"/>
                  <w:marBottom w:val="0"/>
                  <w:divBdr>
                    <w:top w:val="none" w:sz="0" w:space="0" w:color="auto"/>
                    <w:left w:val="none" w:sz="0" w:space="0" w:color="auto"/>
                    <w:bottom w:val="none" w:sz="0" w:space="0" w:color="auto"/>
                    <w:right w:val="none" w:sz="0" w:space="0" w:color="auto"/>
                  </w:divBdr>
                  <w:divsChild>
                    <w:div w:id="2127499266">
                      <w:marLeft w:val="0"/>
                      <w:marRight w:val="0"/>
                      <w:marTop w:val="0"/>
                      <w:marBottom w:val="0"/>
                      <w:divBdr>
                        <w:top w:val="none" w:sz="0" w:space="0" w:color="auto"/>
                        <w:left w:val="none" w:sz="0" w:space="0" w:color="auto"/>
                        <w:bottom w:val="none" w:sz="0" w:space="0" w:color="auto"/>
                        <w:right w:val="none" w:sz="0" w:space="0" w:color="auto"/>
                      </w:divBdr>
                      <w:divsChild>
                        <w:div w:id="550770172">
                          <w:marLeft w:val="0"/>
                          <w:marRight w:val="0"/>
                          <w:marTop w:val="0"/>
                          <w:marBottom w:val="0"/>
                          <w:divBdr>
                            <w:top w:val="none" w:sz="0" w:space="0" w:color="auto"/>
                            <w:left w:val="none" w:sz="0" w:space="0" w:color="auto"/>
                            <w:bottom w:val="none" w:sz="0" w:space="0" w:color="auto"/>
                            <w:right w:val="none" w:sz="0" w:space="0" w:color="auto"/>
                          </w:divBdr>
                          <w:divsChild>
                            <w:div w:id="324475303">
                              <w:marLeft w:val="0"/>
                              <w:marRight w:val="0"/>
                              <w:marTop w:val="0"/>
                              <w:marBottom w:val="0"/>
                              <w:divBdr>
                                <w:top w:val="none" w:sz="0" w:space="0" w:color="auto"/>
                                <w:left w:val="single" w:sz="6" w:space="0" w:color="E5E3E3"/>
                                <w:bottom w:val="none" w:sz="0" w:space="0" w:color="auto"/>
                                <w:right w:val="none" w:sz="0" w:space="0" w:color="auto"/>
                              </w:divBdr>
                              <w:divsChild>
                                <w:div w:id="2115175174">
                                  <w:marLeft w:val="0"/>
                                  <w:marRight w:val="0"/>
                                  <w:marTop w:val="0"/>
                                  <w:marBottom w:val="0"/>
                                  <w:divBdr>
                                    <w:top w:val="none" w:sz="0" w:space="0" w:color="auto"/>
                                    <w:left w:val="none" w:sz="0" w:space="0" w:color="auto"/>
                                    <w:bottom w:val="none" w:sz="0" w:space="0" w:color="auto"/>
                                    <w:right w:val="none" w:sz="0" w:space="0" w:color="auto"/>
                                  </w:divBdr>
                                  <w:divsChild>
                                    <w:div w:id="1299258176">
                                      <w:marLeft w:val="0"/>
                                      <w:marRight w:val="0"/>
                                      <w:marTop w:val="0"/>
                                      <w:marBottom w:val="0"/>
                                      <w:divBdr>
                                        <w:top w:val="none" w:sz="0" w:space="0" w:color="auto"/>
                                        <w:left w:val="none" w:sz="0" w:space="0" w:color="auto"/>
                                        <w:bottom w:val="none" w:sz="0" w:space="0" w:color="auto"/>
                                        <w:right w:val="none" w:sz="0" w:space="0" w:color="auto"/>
                                      </w:divBdr>
                                      <w:divsChild>
                                        <w:div w:id="1224557808">
                                          <w:marLeft w:val="0"/>
                                          <w:marRight w:val="0"/>
                                          <w:marTop w:val="0"/>
                                          <w:marBottom w:val="0"/>
                                          <w:divBdr>
                                            <w:top w:val="none" w:sz="0" w:space="0" w:color="auto"/>
                                            <w:left w:val="none" w:sz="0" w:space="0" w:color="auto"/>
                                            <w:bottom w:val="none" w:sz="0" w:space="0" w:color="auto"/>
                                            <w:right w:val="none" w:sz="0" w:space="0" w:color="auto"/>
                                          </w:divBdr>
                                          <w:divsChild>
                                            <w:div w:id="710306989">
                                              <w:marLeft w:val="0"/>
                                              <w:marRight w:val="0"/>
                                              <w:marTop w:val="0"/>
                                              <w:marBottom w:val="0"/>
                                              <w:divBdr>
                                                <w:top w:val="none" w:sz="0" w:space="0" w:color="auto"/>
                                                <w:left w:val="none" w:sz="0" w:space="0" w:color="auto"/>
                                                <w:bottom w:val="none" w:sz="0" w:space="0" w:color="auto"/>
                                                <w:right w:val="none" w:sz="0" w:space="0" w:color="auto"/>
                                              </w:divBdr>
                                              <w:divsChild>
                                                <w:div w:id="122963997">
                                                  <w:marLeft w:val="0"/>
                                                  <w:marRight w:val="0"/>
                                                  <w:marTop w:val="0"/>
                                                  <w:marBottom w:val="0"/>
                                                  <w:divBdr>
                                                    <w:top w:val="none" w:sz="0" w:space="0" w:color="auto"/>
                                                    <w:left w:val="none" w:sz="0" w:space="0" w:color="auto"/>
                                                    <w:bottom w:val="none" w:sz="0" w:space="0" w:color="auto"/>
                                                    <w:right w:val="none" w:sz="0" w:space="0" w:color="auto"/>
                                                  </w:divBdr>
                                                  <w:divsChild>
                                                    <w:div w:id="1755393337">
                                                      <w:marLeft w:val="0"/>
                                                      <w:marRight w:val="0"/>
                                                      <w:marTop w:val="0"/>
                                                      <w:marBottom w:val="0"/>
                                                      <w:divBdr>
                                                        <w:top w:val="none" w:sz="0" w:space="0" w:color="auto"/>
                                                        <w:left w:val="none" w:sz="0" w:space="0" w:color="auto"/>
                                                        <w:bottom w:val="none" w:sz="0" w:space="0" w:color="auto"/>
                                                        <w:right w:val="none" w:sz="0" w:space="0" w:color="auto"/>
                                                      </w:divBdr>
                                                      <w:divsChild>
                                                        <w:div w:id="1843659018">
                                                          <w:marLeft w:val="480"/>
                                                          <w:marRight w:val="0"/>
                                                          <w:marTop w:val="0"/>
                                                          <w:marBottom w:val="0"/>
                                                          <w:divBdr>
                                                            <w:top w:val="none" w:sz="0" w:space="0" w:color="auto"/>
                                                            <w:left w:val="none" w:sz="0" w:space="0" w:color="auto"/>
                                                            <w:bottom w:val="none" w:sz="0" w:space="0" w:color="auto"/>
                                                            <w:right w:val="none" w:sz="0" w:space="0" w:color="auto"/>
                                                          </w:divBdr>
                                                          <w:divsChild>
                                                            <w:div w:id="1864787194">
                                                              <w:marLeft w:val="0"/>
                                                              <w:marRight w:val="0"/>
                                                              <w:marTop w:val="0"/>
                                                              <w:marBottom w:val="0"/>
                                                              <w:divBdr>
                                                                <w:top w:val="none" w:sz="0" w:space="0" w:color="auto"/>
                                                                <w:left w:val="none" w:sz="0" w:space="0" w:color="auto"/>
                                                                <w:bottom w:val="none" w:sz="0" w:space="0" w:color="auto"/>
                                                                <w:right w:val="none" w:sz="0" w:space="0" w:color="auto"/>
                                                              </w:divBdr>
                                                              <w:divsChild>
                                                                <w:div w:id="1915160332">
                                                                  <w:marLeft w:val="0"/>
                                                                  <w:marRight w:val="0"/>
                                                                  <w:marTop w:val="0"/>
                                                                  <w:marBottom w:val="0"/>
                                                                  <w:divBdr>
                                                                    <w:top w:val="none" w:sz="0" w:space="0" w:color="auto"/>
                                                                    <w:left w:val="none" w:sz="0" w:space="0" w:color="auto"/>
                                                                    <w:bottom w:val="none" w:sz="0" w:space="0" w:color="auto"/>
                                                                    <w:right w:val="none" w:sz="0" w:space="0" w:color="auto"/>
                                                                  </w:divBdr>
                                                                  <w:divsChild>
                                                                    <w:div w:id="53939764">
                                                                      <w:marLeft w:val="0"/>
                                                                      <w:marRight w:val="0"/>
                                                                      <w:marTop w:val="0"/>
                                                                      <w:marBottom w:val="0"/>
                                                                      <w:divBdr>
                                                                        <w:top w:val="none" w:sz="0" w:space="0" w:color="auto"/>
                                                                        <w:left w:val="none" w:sz="0" w:space="0" w:color="auto"/>
                                                                        <w:bottom w:val="none" w:sz="0" w:space="0" w:color="auto"/>
                                                                        <w:right w:val="none" w:sz="0" w:space="0" w:color="auto"/>
                                                                      </w:divBdr>
                                                                      <w:divsChild>
                                                                        <w:div w:id="1214658547">
                                                                          <w:marLeft w:val="0"/>
                                                                          <w:marRight w:val="0"/>
                                                                          <w:marTop w:val="0"/>
                                                                          <w:marBottom w:val="0"/>
                                                                          <w:divBdr>
                                                                            <w:top w:val="none" w:sz="0" w:space="0" w:color="auto"/>
                                                                            <w:left w:val="none" w:sz="0" w:space="0" w:color="auto"/>
                                                                            <w:bottom w:val="none" w:sz="0" w:space="0" w:color="auto"/>
                                                                            <w:right w:val="none" w:sz="0" w:space="0" w:color="auto"/>
                                                                          </w:divBdr>
                                                                          <w:divsChild>
                                                                            <w:div w:id="1351027384">
                                                                              <w:marLeft w:val="0"/>
                                                                              <w:marRight w:val="0"/>
                                                                              <w:marTop w:val="0"/>
                                                                              <w:marBottom w:val="0"/>
                                                                              <w:divBdr>
                                                                                <w:top w:val="none" w:sz="0" w:space="0" w:color="auto"/>
                                                                                <w:left w:val="none" w:sz="0" w:space="0" w:color="auto"/>
                                                                                <w:bottom w:val="none" w:sz="0" w:space="0" w:color="auto"/>
                                                                                <w:right w:val="none" w:sz="0" w:space="0" w:color="auto"/>
                                                                              </w:divBdr>
                                                                              <w:divsChild>
                                                                                <w:div w:id="1628319449">
                                                                                  <w:marLeft w:val="0"/>
                                                                                  <w:marRight w:val="0"/>
                                                                                  <w:marTop w:val="0"/>
                                                                                  <w:marBottom w:val="0"/>
                                                                                  <w:divBdr>
                                                                                    <w:top w:val="none" w:sz="0" w:space="0" w:color="auto"/>
                                                                                    <w:left w:val="none" w:sz="0" w:space="0" w:color="auto"/>
                                                                                    <w:bottom w:val="single" w:sz="6" w:space="23" w:color="auto"/>
                                                                                    <w:right w:val="none" w:sz="0" w:space="0" w:color="auto"/>
                                                                                  </w:divBdr>
                                                                                  <w:divsChild>
                                                                                    <w:div w:id="1643536940">
                                                                                      <w:marLeft w:val="0"/>
                                                                                      <w:marRight w:val="0"/>
                                                                                      <w:marTop w:val="0"/>
                                                                                      <w:marBottom w:val="0"/>
                                                                                      <w:divBdr>
                                                                                        <w:top w:val="none" w:sz="0" w:space="0" w:color="auto"/>
                                                                                        <w:left w:val="none" w:sz="0" w:space="0" w:color="auto"/>
                                                                                        <w:bottom w:val="none" w:sz="0" w:space="0" w:color="auto"/>
                                                                                        <w:right w:val="none" w:sz="0" w:space="0" w:color="auto"/>
                                                                                      </w:divBdr>
                                                                                      <w:divsChild>
                                                                                        <w:div w:id="734547823">
                                                                                          <w:marLeft w:val="0"/>
                                                                                          <w:marRight w:val="0"/>
                                                                                          <w:marTop w:val="0"/>
                                                                                          <w:marBottom w:val="0"/>
                                                                                          <w:divBdr>
                                                                                            <w:top w:val="none" w:sz="0" w:space="0" w:color="auto"/>
                                                                                            <w:left w:val="none" w:sz="0" w:space="0" w:color="auto"/>
                                                                                            <w:bottom w:val="none" w:sz="0" w:space="0" w:color="auto"/>
                                                                                            <w:right w:val="none" w:sz="0" w:space="0" w:color="auto"/>
                                                                                          </w:divBdr>
                                                                                          <w:divsChild>
                                                                                            <w:div w:id="1151021708">
                                                                                              <w:marLeft w:val="0"/>
                                                                                              <w:marRight w:val="0"/>
                                                                                              <w:marTop w:val="0"/>
                                                                                              <w:marBottom w:val="0"/>
                                                                                              <w:divBdr>
                                                                                                <w:top w:val="none" w:sz="0" w:space="0" w:color="auto"/>
                                                                                                <w:left w:val="none" w:sz="0" w:space="0" w:color="auto"/>
                                                                                                <w:bottom w:val="none" w:sz="0" w:space="0" w:color="auto"/>
                                                                                                <w:right w:val="none" w:sz="0" w:space="0" w:color="auto"/>
                                                                                              </w:divBdr>
                                                                                              <w:divsChild>
                                                                                                <w:div w:id="577910339">
                                                                                                  <w:marLeft w:val="0"/>
                                                                                                  <w:marRight w:val="0"/>
                                                                                                  <w:marTop w:val="0"/>
                                                                                                  <w:marBottom w:val="0"/>
                                                                                                  <w:divBdr>
                                                                                                    <w:top w:val="none" w:sz="0" w:space="0" w:color="auto"/>
                                                                                                    <w:left w:val="none" w:sz="0" w:space="0" w:color="auto"/>
                                                                                                    <w:bottom w:val="none" w:sz="0" w:space="0" w:color="auto"/>
                                                                                                    <w:right w:val="none" w:sz="0" w:space="0" w:color="auto"/>
                                                                                                  </w:divBdr>
                                                                                                  <w:divsChild>
                                                                                                    <w:div w:id="1319963346">
                                                                                                      <w:marLeft w:val="0"/>
                                                                                                      <w:marRight w:val="0"/>
                                                                                                      <w:marTop w:val="0"/>
                                                                                                      <w:marBottom w:val="0"/>
                                                                                                      <w:divBdr>
                                                                                                        <w:top w:val="none" w:sz="0" w:space="0" w:color="auto"/>
                                                                                                        <w:left w:val="none" w:sz="0" w:space="0" w:color="auto"/>
                                                                                                        <w:bottom w:val="none" w:sz="0" w:space="0" w:color="auto"/>
                                                                                                        <w:right w:val="none" w:sz="0" w:space="0" w:color="auto"/>
                                                                                                      </w:divBdr>
                                                                                                      <w:divsChild>
                                                                                                        <w:div w:id="1777478407">
                                                                                                          <w:marLeft w:val="0"/>
                                                                                                          <w:marRight w:val="0"/>
                                                                                                          <w:marTop w:val="0"/>
                                                                                                          <w:marBottom w:val="0"/>
                                                                                                          <w:divBdr>
                                                                                                            <w:top w:val="none" w:sz="0" w:space="0" w:color="auto"/>
                                                                                                            <w:left w:val="none" w:sz="0" w:space="0" w:color="auto"/>
                                                                                                            <w:bottom w:val="none" w:sz="0" w:space="0" w:color="auto"/>
                                                                                                            <w:right w:val="none" w:sz="0" w:space="0" w:color="auto"/>
                                                                                                          </w:divBdr>
                                                                                                          <w:divsChild>
                                                                                                            <w:div w:id="16514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597635673">
      <w:bodyDiv w:val="1"/>
      <w:marLeft w:val="0"/>
      <w:marRight w:val="0"/>
      <w:marTop w:val="0"/>
      <w:marBottom w:val="0"/>
      <w:divBdr>
        <w:top w:val="none" w:sz="0" w:space="0" w:color="auto"/>
        <w:left w:val="none" w:sz="0" w:space="0" w:color="auto"/>
        <w:bottom w:val="none" w:sz="0" w:space="0" w:color="auto"/>
        <w:right w:val="none" w:sz="0" w:space="0" w:color="auto"/>
      </w:divBdr>
    </w:div>
    <w:div w:id="618876771">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04468007">
      <w:bodyDiv w:val="1"/>
      <w:marLeft w:val="0"/>
      <w:marRight w:val="0"/>
      <w:marTop w:val="0"/>
      <w:marBottom w:val="0"/>
      <w:divBdr>
        <w:top w:val="none" w:sz="0" w:space="0" w:color="auto"/>
        <w:left w:val="none" w:sz="0" w:space="0" w:color="auto"/>
        <w:bottom w:val="none" w:sz="0" w:space="0" w:color="auto"/>
        <w:right w:val="none" w:sz="0" w:space="0" w:color="auto"/>
      </w:divBdr>
      <w:divsChild>
        <w:div w:id="729422477">
          <w:marLeft w:val="0"/>
          <w:marRight w:val="0"/>
          <w:marTop w:val="0"/>
          <w:marBottom w:val="0"/>
          <w:divBdr>
            <w:top w:val="none" w:sz="0" w:space="0" w:color="auto"/>
            <w:left w:val="none" w:sz="0" w:space="0" w:color="auto"/>
            <w:bottom w:val="none" w:sz="0" w:space="0" w:color="auto"/>
            <w:right w:val="none" w:sz="0" w:space="0" w:color="auto"/>
          </w:divBdr>
          <w:divsChild>
            <w:div w:id="1791973637">
              <w:marLeft w:val="0"/>
              <w:marRight w:val="0"/>
              <w:marTop w:val="0"/>
              <w:marBottom w:val="0"/>
              <w:divBdr>
                <w:top w:val="none" w:sz="0" w:space="0" w:color="auto"/>
                <w:left w:val="none" w:sz="0" w:space="0" w:color="auto"/>
                <w:bottom w:val="none" w:sz="0" w:space="0" w:color="auto"/>
                <w:right w:val="none" w:sz="0" w:space="0" w:color="auto"/>
              </w:divBdr>
              <w:divsChild>
                <w:div w:id="895043391">
                  <w:marLeft w:val="0"/>
                  <w:marRight w:val="0"/>
                  <w:marTop w:val="0"/>
                  <w:marBottom w:val="0"/>
                  <w:divBdr>
                    <w:top w:val="none" w:sz="0" w:space="0" w:color="auto"/>
                    <w:left w:val="none" w:sz="0" w:space="0" w:color="auto"/>
                    <w:bottom w:val="none" w:sz="0" w:space="0" w:color="auto"/>
                    <w:right w:val="none" w:sz="0" w:space="0" w:color="auto"/>
                  </w:divBdr>
                  <w:divsChild>
                    <w:div w:id="1555847362">
                      <w:marLeft w:val="0"/>
                      <w:marRight w:val="0"/>
                      <w:marTop w:val="0"/>
                      <w:marBottom w:val="0"/>
                      <w:divBdr>
                        <w:top w:val="none" w:sz="0" w:space="0" w:color="auto"/>
                        <w:left w:val="none" w:sz="0" w:space="0" w:color="auto"/>
                        <w:bottom w:val="none" w:sz="0" w:space="0" w:color="auto"/>
                        <w:right w:val="none" w:sz="0" w:space="0" w:color="auto"/>
                      </w:divBdr>
                      <w:divsChild>
                        <w:div w:id="2037609582">
                          <w:marLeft w:val="0"/>
                          <w:marRight w:val="0"/>
                          <w:marTop w:val="0"/>
                          <w:marBottom w:val="0"/>
                          <w:divBdr>
                            <w:top w:val="none" w:sz="0" w:space="0" w:color="auto"/>
                            <w:left w:val="none" w:sz="0" w:space="0" w:color="auto"/>
                            <w:bottom w:val="none" w:sz="0" w:space="0" w:color="auto"/>
                            <w:right w:val="none" w:sz="0" w:space="0" w:color="auto"/>
                          </w:divBdr>
                          <w:divsChild>
                            <w:div w:id="903876135">
                              <w:marLeft w:val="6"/>
                              <w:marRight w:val="6"/>
                              <w:marTop w:val="0"/>
                              <w:marBottom w:val="2"/>
                              <w:divBdr>
                                <w:top w:val="none" w:sz="0" w:space="0" w:color="auto"/>
                                <w:left w:val="none" w:sz="0" w:space="0" w:color="auto"/>
                                <w:bottom w:val="none" w:sz="0" w:space="0" w:color="auto"/>
                                <w:right w:val="none" w:sz="0" w:space="0" w:color="auto"/>
                              </w:divBdr>
                              <w:divsChild>
                                <w:div w:id="1486162502">
                                  <w:marLeft w:val="0"/>
                                  <w:marRight w:val="0"/>
                                  <w:marTop w:val="0"/>
                                  <w:marBottom w:val="0"/>
                                  <w:divBdr>
                                    <w:top w:val="none" w:sz="0" w:space="0" w:color="auto"/>
                                    <w:left w:val="none" w:sz="0" w:space="0" w:color="auto"/>
                                    <w:bottom w:val="none" w:sz="0" w:space="0" w:color="auto"/>
                                    <w:right w:val="none" w:sz="0" w:space="0" w:color="auto"/>
                                  </w:divBdr>
                                  <w:divsChild>
                                    <w:div w:id="294406195">
                                      <w:marLeft w:val="0"/>
                                      <w:marRight w:val="0"/>
                                      <w:marTop w:val="0"/>
                                      <w:marBottom w:val="0"/>
                                      <w:divBdr>
                                        <w:top w:val="none" w:sz="0" w:space="0" w:color="auto"/>
                                        <w:left w:val="none" w:sz="0" w:space="0" w:color="auto"/>
                                        <w:bottom w:val="none" w:sz="0" w:space="0" w:color="auto"/>
                                        <w:right w:val="none" w:sz="0" w:space="0" w:color="auto"/>
                                      </w:divBdr>
                                      <w:divsChild>
                                        <w:div w:id="1953171824">
                                          <w:marLeft w:val="0"/>
                                          <w:marRight w:val="0"/>
                                          <w:marTop w:val="0"/>
                                          <w:marBottom w:val="450"/>
                                          <w:divBdr>
                                            <w:top w:val="none" w:sz="0" w:space="0" w:color="auto"/>
                                            <w:left w:val="none" w:sz="0" w:space="0" w:color="auto"/>
                                            <w:bottom w:val="none" w:sz="0" w:space="0" w:color="auto"/>
                                            <w:right w:val="none" w:sz="0" w:space="0" w:color="auto"/>
                                          </w:divBdr>
                                          <w:divsChild>
                                            <w:div w:id="1220937705">
                                              <w:marLeft w:val="0"/>
                                              <w:marRight w:val="0"/>
                                              <w:marTop w:val="150"/>
                                              <w:marBottom w:val="150"/>
                                              <w:divBdr>
                                                <w:top w:val="none" w:sz="0" w:space="0" w:color="auto"/>
                                                <w:left w:val="none" w:sz="0" w:space="0" w:color="auto"/>
                                                <w:bottom w:val="none" w:sz="0" w:space="0" w:color="auto"/>
                                                <w:right w:val="none" w:sz="0" w:space="0" w:color="auto"/>
                                              </w:divBdr>
                                              <w:divsChild>
                                                <w:div w:id="607465951">
                                                  <w:marLeft w:val="0"/>
                                                  <w:marRight w:val="0"/>
                                                  <w:marTop w:val="0"/>
                                                  <w:marBottom w:val="0"/>
                                                  <w:divBdr>
                                                    <w:top w:val="none" w:sz="0" w:space="0" w:color="auto"/>
                                                    <w:left w:val="none" w:sz="0" w:space="0" w:color="auto"/>
                                                    <w:bottom w:val="none" w:sz="0" w:space="0" w:color="auto"/>
                                                    <w:right w:val="none" w:sz="0" w:space="0" w:color="auto"/>
                                                  </w:divBdr>
                                                  <w:divsChild>
                                                    <w:div w:id="12645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46360675">
      <w:bodyDiv w:val="1"/>
      <w:marLeft w:val="0"/>
      <w:marRight w:val="0"/>
      <w:marTop w:val="0"/>
      <w:marBottom w:val="0"/>
      <w:divBdr>
        <w:top w:val="none" w:sz="0" w:space="0" w:color="auto"/>
        <w:left w:val="none" w:sz="0" w:space="0" w:color="auto"/>
        <w:bottom w:val="none" w:sz="0" w:space="0" w:color="auto"/>
        <w:right w:val="none" w:sz="0" w:space="0" w:color="auto"/>
      </w:divBdr>
      <w:divsChild>
        <w:div w:id="509686563">
          <w:marLeft w:val="-225"/>
          <w:marRight w:val="-225"/>
          <w:marTop w:val="0"/>
          <w:marBottom w:val="0"/>
          <w:divBdr>
            <w:top w:val="none" w:sz="0" w:space="0" w:color="auto"/>
            <w:left w:val="none" w:sz="0" w:space="0" w:color="auto"/>
            <w:bottom w:val="none" w:sz="0" w:space="0" w:color="auto"/>
            <w:right w:val="none" w:sz="0" w:space="0" w:color="auto"/>
          </w:divBdr>
          <w:divsChild>
            <w:div w:id="530647182">
              <w:marLeft w:val="0"/>
              <w:marRight w:val="0"/>
              <w:marTop w:val="0"/>
              <w:marBottom w:val="0"/>
              <w:divBdr>
                <w:top w:val="none" w:sz="0" w:space="0" w:color="auto"/>
                <w:left w:val="none" w:sz="0" w:space="0" w:color="auto"/>
                <w:bottom w:val="none" w:sz="0" w:space="0" w:color="auto"/>
                <w:right w:val="none" w:sz="0" w:space="0" w:color="auto"/>
              </w:divBdr>
              <w:divsChild>
                <w:div w:id="14962995">
                  <w:marLeft w:val="0"/>
                  <w:marRight w:val="0"/>
                  <w:marTop w:val="0"/>
                  <w:marBottom w:val="0"/>
                  <w:divBdr>
                    <w:top w:val="none" w:sz="0" w:space="0" w:color="auto"/>
                    <w:left w:val="none" w:sz="0" w:space="0" w:color="auto"/>
                    <w:bottom w:val="none" w:sz="0" w:space="0" w:color="auto"/>
                    <w:right w:val="none" w:sz="0" w:space="0" w:color="auto"/>
                  </w:divBdr>
                  <w:divsChild>
                    <w:div w:id="12970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5706">
              <w:marLeft w:val="0"/>
              <w:marRight w:val="0"/>
              <w:marTop w:val="0"/>
              <w:marBottom w:val="0"/>
              <w:divBdr>
                <w:top w:val="none" w:sz="0" w:space="0" w:color="auto"/>
                <w:left w:val="none" w:sz="0" w:space="0" w:color="auto"/>
                <w:bottom w:val="none" w:sz="0" w:space="0" w:color="auto"/>
                <w:right w:val="none" w:sz="0" w:space="0" w:color="auto"/>
              </w:divBdr>
              <w:divsChild>
                <w:div w:id="934628930">
                  <w:marLeft w:val="0"/>
                  <w:marRight w:val="0"/>
                  <w:marTop w:val="0"/>
                  <w:marBottom w:val="0"/>
                  <w:divBdr>
                    <w:top w:val="none" w:sz="0" w:space="0" w:color="auto"/>
                    <w:left w:val="none" w:sz="0" w:space="0" w:color="auto"/>
                    <w:bottom w:val="none" w:sz="0" w:space="0" w:color="auto"/>
                    <w:right w:val="none" w:sz="0" w:space="0" w:color="auto"/>
                  </w:divBdr>
                </w:div>
              </w:divsChild>
            </w:div>
            <w:div w:id="642582803">
              <w:marLeft w:val="0"/>
              <w:marRight w:val="0"/>
              <w:marTop w:val="0"/>
              <w:marBottom w:val="0"/>
              <w:divBdr>
                <w:top w:val="none" w:sz="0" w:space="0" w:color="auto"/>
                <w:left w:val="none" w:sz="0" w:space="0" w:color="auto"/>
                <w:bottom w:val="none" w:sz="0" w:space="0" w:color="auto"/>
                <w:right w:val="none" w:sz="0" w:space="0" w:color="auto"/>
              </w:divBdr>
              <w:divsChild>
                <w:div w:id="16293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8462">
          <w:marLeft w:val="-225"/>
          <w:marRight w:val="-225"/>
          <w:marTop w:val="0"/>
          <w:marBottom w:val="0"/>
          <w:divBdr>
            <w:top w:val="none" w:sz="0" w:space="0" w:color="auto"/>
            <w:left w:val="none" w:sz="0" w:space="0" w:color="auto"/>
            <w:bottom w:val="none" w:sz="0" w:space="0" w:color="auto"/>
            <w:right w:val="none" w:sz="0" w:space="0" w:color="auto"/>
          </w:divBdr>
          <w:divsChild>
            <w:div w:id="892930610">
              <w:marLeft w:val="0"/>
              <w:marRight w:val="0"/>
              <w:marTop w:val="0"/>
              <w:marBottom w:val="0"/>
              <w:divBdr>
                <w:top w:val="none" w:sz="0" w:space="0" w:color="auto"/>
                <w:left w:val="none" w:sz="0" w:space="0" w:color="auto"/>
                <w:bottom w:val="none" w:sz="0" w:space="0" w:color="auto"/>
                <w:right w:val="none" w:sz="0" w:space="0" w:color="auto"/>
              </w:divBdr>
              <w:divsChild>
                <w:div w:id="1524441308">
                  <w:marLeft w:val="0"/>
                  <w:marRight w:val="0"/>
                  <w:marTop w:val="0"/>
                  <w:marBottom w:val="0"/>
                  <w:divBdr>
                    <w:top w:val="none" w:sz="0" w:space="0" w:color="auto"/>
                    <w:left w:val="none" w:sz="0" w:space="0" w:color="auto"/>
                    <w:bottom w:val="none" w:sz="0" w:space="0" w:color="auto"/>
                    <w:right w:val="none" w:sz="0" w:space="0" w:color="auto"/>
                  </w:divBdr>
                </w:div>
              </w:divsChild>
            </w:div>
            <w:div w:id="128977879">
              <w:marLeft w:val="0"/>
              <w:marRight w:val="0"/>
              <w:marTop w:val="0"/>
              <w:marBottom w:val="0"/>
              <w:divBdr>
                <w:top w:val="none" w:sz="0" w:space="0" w:color="auto"/>
                <w:left w:val="none" w:sz="0" w:space="0" w:color="auto"/>
                <w:bottom w:val="none" w:sz="0" w:space="0" w:color="auto"/>
                <w:right w:val="none" w:sz="0" w:space="0" w:color="auto"/>
              </w:divBdr>
              <w:divsChild>
                <w:div w:id="652491794">
                  <w:marLeft w:val="0"/>
                  <w:marRight w:val="0"/>
                  <w:marTop w:val="0"/>
                  <w:marBottom w:val="0"/>
                  <w:divBdr>
                    <w:top w:val="none" w:sz="0" w:space="0" w:color="auto"/>
                    <w:left w:val="none" w:sz="0" w:space="0" w:color="auto"/>
                    <w:bottom w:val="none" w:sz="0" w:space="0" w:color="auto"/>
                    <w:right w:val="none" w:sz="0" w:space="0" w:color="auto"/>
                  </w:divBdr>
                </w:div>
              </w:divsChild>
            </w:div>
            <w:div w:id="200171856">
              <w:marLeft w:val="0"/>
              <w:marRight w:val="0"/>
              <w:marTop w:val="0"/>
              <w:marBottom w:val="0"/>
              <w:divBdr>
                <w:top w:val="none" w:sz="0" w:space="0" w:color="auto"/>
                <w:left w:val="none" w:sz="0" w:space="0" w:color="auto"/>
                <w:bottom w:val="none" w:sz="0" w:space="0" w:color="auto"/>
                <w:right w:val="none" w:sz="0" w:space="0" w:color="auto"/>
              </w:divBdr>
              <w:divsChild>
                <w:div w:id="11924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6564">
          <w:marLeft w:val="-225"/>
          <w:marRight w:val="-225"/>
          <w:marTop w:val="0"/>
          <w:marBottom w:val="0"/>
          <w:divBdr>
            <w:top w:val="none" w:sz="0" w:space="0" w:color="auto"/>
            <w:left w:val="none" w:sz="0" w:space="0" w:color="auto"/>
            <w:bottom w:val="none" w:sz="0" w:space="0" w:color="auto"/>
            <w:right w:val="none" w:sz="0" w:space="0" w:color="auto"/>
          </w:divBdr>
          <w:divsChild>
            <w:div w:id="1030952198">
              <w:marLeft w:val="0"/>
              <w:marRight w:val="0"/>
              <w:marTop w:val="0"/>
              <w:marBottom w:val="0"/>
              <w:divBdr>
                <w:top w:val="none" w:sz="0" w:space="0" w:color="auto"/>
                <w:left w:val="none" w:sz="0" w:space="0" w:color="auto"/>
                <w:bottom w:val="none" w:sz="0" w:space="0" w:color="auto"/>
                <w:right w:val="none" w:sz="0" w:space="0" w:color="auto"/>
              </w:divBdr>
            </w:div>
            <w:div w:id="198860030">
              <w:marLeft w:val="0"/>
              <w:marRight w:val="0"/>
              <w:marTop w:val="0"/>
              <w:marBottom w:val="0"/>
              <w:divBdr>
                <w:top w:val="none" w:sz="0" w:space="0" w:color="auto"/>
                <w:left w:val="none" w:sz="0" w:space="0" w:color="auto"/>
                <w:bottom w:val="none" w:sz="0" w:space="0" w:color="auto"/>
                <w:right w:val="none" w:sz="0" w:space="0" w:color="auto"/>
              </w:divBdr>
            </w:div>
            <w:div w:id="807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9047393">
      <w:bodyDiv w:val="1"/>
      <w:marLeft w:val="0"/>
      <w:marRight w:val="0"/>
      <w:marTop w:val="0"/>
      <w:marBottom w:val="0"/>
      <w:divBdr>
        <w:top w:val="none" w:sz="0" w:space="0" w:color="auto"/>
        <w:left w:val="none" w:sz="0" w:space="0" w:color="auto"/>
        <w:bottom w:val="none" w:sz="0" w:space="0" w:color="auto"/>
        <w:right w:val="none" w:sz="0" w:space="0" w:color="auto"/>
      </w:divBdr>
    </w:div>
    <w:div w:id="987058147">
      <w:bodyDiv w:val="1"/>
      <w:marLeft w:val="0"/>
      <w:marRight w:val="0"/>
      <w:marTop w:val="0"/>
      <w:marBottom w:val="0"/>
      <w:divBdr>
        <w:top w:val="none" w:sz="0" w:space="0" w:color="auto"/>
        <w:left w:val="none" w:sz="0" w:space="0" w:color="auto"/>
        <w:bottom w:val="none" w:sz="0" w:space="0" w:color="auto"/>
        <w:right w:val="none" w:sz="0" w:space="0" w:color="auto"/>
      </w:divBdr>
      <w:divsChild>
        <w:div w:id="718283893">
          <w:marLeft w:val="0"/>
          <w:marRight w:val="0"/>
          <w:marTop w:val="0"/>
          <w:marBottom w:val="0"/>
          <w:divBdr>
            <w:top w:val="none" w:sz="0" w:space="0" w:color="auto"/>
            <w:left w:val="none" w:sz="0" w:space="0" w:color="auto"/>
            <w:bottom w:val="none" w:sz="0" w:space="0" w:color="auto"/>
            <w:right w:val="none" w:sz="0" w:space="0" w:color="auto"/>
          </w:divBdr>
          <w:divsChild>
            <w:div w:id="602036154">
              <w:marLeft w:val="0"/>
              <w:marRight w:val="0"/>
              <w:marTop w:val="0"/>
              <w:marBottom w:val="0"/>
              <w:divBdr>
                <w:top w:val="none" w:sz="0" w:space="0" w:color="auto"/>
                <w:left w:val="none" w:sz="0" w:space="0" w:color="auto"/>
                <w:bottom w:val="none" w:sz="0" w:space="0" w:color="auto"/>
                <w:right w:val="none" w:sz="0" w:space="0" w:color="auto"/>
              </w:divBdr>
              <w:divsChild>
                <w:div w:id="1047679523">
                  <w:marLeft w:val="0"/>
                  <w:marRight w:val="0"/>
                  <w:marTop w:val="0"/>
                  <w:marBottom w:val="0"/>
                  <w:divBdr>
                    <w:top w:val="none" w:sz="0" w:space="0" w:color="auto"/>
                    <w:left w:val="none" w:sz="0" w:space="0" w:color="auto"/>
                    <w:bottom w:val="none" w:sz="0" w:space="0" w:color="auto"/>
                    <w:right w:val="none" w:sz="0" w:space="0" w:color="auto"/>
                  </w:divBdr>
                  <w:divsChild>
                    <w:div w:id="433986717">
                      <w:marLeft w:val="-180"/>
                      <w:marRight w:val="-180"/>
                      <w:marTop w:val="0"/>
                      <w:marBottom w:val="0"/>
                      <w:divBdr>
                        <w:top w:val="none" w:sz="0" w:space="0" w:color="auto"/>
                        <w:left w:val="none" w:sz="0" w:space="0" w:color="auto"/>
                        <w:bottom w:val="none" w:sz="0" w:space="0" w:color="auto"/>
                        <w:right w:val="none" w:sz="0" w:space="0" w:color="auto"/>
                      </w:divBdr>
                      <w:divsChild>
                        <w:div w:id="2121878834">
                          <w:marLeft w:val="0"/>
                          <w:marRight w:val="0"/>
                          <w:marTop w:val="0"/>
                          <w:marBottom w:val="0"/>
                          <w:divBdr>
                            <w:top w:val="none" w:sz="0" w:space="0" w:color="auto"/>
                            <w:left w:val="none" w:sz="0" w:space="0" w:color="auto"/>
                            <w:bottom w:val="none" w:sz="0" w:space="0" w:color="auto"/>
                            <w:right w:val="none" w:sz="0" w:space="0" w:color="auto"/>
                          </w:divBdr>
                          <w:divsChild>
                            <w:div w:id="853694246">
                              <w:marLeft w:val="0"/>
                              <w:marRight w:val="0"/>
                              <w:marTop w:val="0"/>
                              <w:marBottom w:val="0"/>
                              <w:divBdr>
                                <w:top w:val="none" w:sz="0" w:space="0" w:color="auto"/>
                                <w:left w:val="none" w:sz="0" w:space="0" w:color="auto"/>
                                <w:bottom w:val="none" w:sz="0" w:space="0" w:color="auto"/>
                                <w:right w:val="none" w:sz="0" w:space="0" w:color="auto"/>
                              </w:divBdr>
                              <w:divsChild>
                                <w:div w:id="16851084">
                                  <w:marLeft w:val="0"/>
                                  <w:marRight w:val="0"/>
                                  <w:marTop w:val="0"/>
                                  <w:marBottom w:val="0"/>
                                  <w:divBdr>
                                    <w:top w:val="none" w:sz="0" w:space="0" w:color="auto"/>
                                    <w:left w:val="none" w:sz="0" w:space="0" w:color="auto"/>
                                    <w:bottom w:val="none" w:sz="0" w:space="0" w:color="auto"/>
                                    <w:right w:val="none" w:sz="0" w:space="0" w:color="auto"/>
                                  </w:divBdr>
                                  <w:divsChild>
                                    <w:div w:id="294870179">
                                      <w:marLeft w:val="0"/>
                                      <w:marRight w:val="0"/>
                                      <w:marTop w:val="0"/>
                                      <w:marBottom w:val="0"/>
                                      <w:divBdr>
                                        <w:top w:val="none" w:sz="0" w:space="0" w:color="auto"/>
                                        <w:left w:val="none" w:sz="0" w:space="0" w:color="auto"/>
                                        <w:bottom w:val="none" w:sz="0" w:space="0" w:color="auto"/>
                                        <w:right w:val="none" w:sz="0" w:space="0" w:color="auto"/>
                                      </w:divBdr>
                                      <w:divsChild>
                                        <w:div w:id="773281939">
                                          <w:marLeft w:val="0"/>
                                          <w:marRight w:val="0"/>
                                          <w:marTop w:val="0"/>
                                          <w:marBottom w:val="0"/>
                                          <w:divBdr>
                                            <w:top w:val="none" w:sz="0" w:space="0" w:color="auto"/>
                                            <w:left w:val="none" w:sz="0" w:space="0" w:color="auto"/>
                                            <w:bottom w:val="none" w:sz="0" w:space="0" w:color="auto"/>
                                            <w:right w:val="none" w:sz="0" w:space="0" w:color="auto"/>
                                          </w:divBdr>
                                          <w:divsChild>
                                            <w:div w:id="1975676013">
                                              <w:marLeft w:val="0"/>
                                              <w:marRight w:val="0"/>
                                              <w:marTop w:val="0"/>
                                              <w:marBottom w:val="0"/>
                                              <w:divBdr>
                                                <w:top w:val="none" w:sz="0" w:space="0" w:color="auto"/>
                                                <w:left w:val="none" w:sz="0" w:space="0" w:color="auto"/>
                                                <w:bottom w:val="none" w:sz="0" w:space="0" w:color="auto"/>
                                                <w:right w:val="none" w:sz="0" w:space="0" w:color="auto"/>
                                              </w:divBdr>
                                              <w:divsChild>
                                                <w:div w:id="1910119325">
                                                  <w:marLeft w:val="0"/>
                                                  <w:marRight w:val="0"/>
                                                  <w:marTop w:val="0"/>
                                                  <w:marBottom w:val="0"/>
                                                  <w:divBdr>
                                                    <w:top w:val="none" w:sz="0" w:space="0" w:color="auto"/>
                                                    <w:left w:val="none" w:sz="0" w:space="0" w:color="auto"/>
                                                    <w:bottom w:val="none" w:sz="0" w:space="0" w:color="auto"/>
                                                    <w:right w:val="none" w:sz="0" w:space="0" w:color="auto"/>
                                                  </w:divBdr>
                                                  <w:divsChild>
                                                    <w:div w:id="573472223">
                                                      <w:marLeft w:val="0"/>
                                                      <w:marRight w:val="0"/>
                                                      <w:marTop w:val="0"/>
                                                      <w:marBottom w:val="0"/>
                                                      <w:divBdr>
                                                        <w:top w:val="none" w:sz="0" w:space="0" w:color="auto"/>
                                                        <w:left w:val="none" w:sz="0" w:space="0" w:color="auto"/>
                                                        <w:bottom w:val="none" w:sz="0" w:space="0" w:color="auto"/>
                                                        <w:right w:val="none" w:sz="0" w:space="0" w:color="auto"/>
                                                      </w:divBdr>
                                                      <w:divsChild>
                                                        <w:div w:id="716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763482">
      <w:bodyDiv w:val="1"/>
      <w:marLeft w:val="0"/>
      <w:marRight w:val="0"/>
      <w:marTop w:val="0"/>
      <w:marBottom w:val="0"/>
      <w:divBdr>
        <w:top w:val="none" w:sz="0" w:space="0" w:color="auto"/>
        <w:left w:val="none" w:sz="0" w:space="0" w:color="auto"/>
        <w:bottom w:val="none" w:sz="0" w:space="0" w:color="auto"/>
        <w:right w:val="none" w:sz="0" w:space="0" w:color="auto"/>
      </w:divBdr>
      <w:divsChild>
        <w:div w:id="1910967917">
          <w:marLeft w:val="0"/>
          <w:marRight w:val="0"/>
          <w:marTop w:val="0"/>
          <w:marBottom w:val="0"/>
          <w:divBdr>
            <w:top w:val="none" w:sz="0" w:space="0" w:color="auto"/>
            <w:left w:val="none" w:sz="0" w:space="0" w:color="auto"/>
            <w:bottom w:val="none" w:sz="0" w:space="0" w:color="auto"/>
            <w:right w:val="none" w:sz="0" w:space="0" w:color="auto"/>
          </w:divBdr>
        </w:div>
        <w:div w:id="2092387087">
          <w:marLeft w:val="0"/>
          <w:marRight w:val="0"/>
          <w:marTop w:val="0"/>
          <w:marBottom w:val="0"/>
          <w:divBdr>
            <w:top w:val="none" w:sz="0" w:space="0" w:color="auto"/>
            <w:left w:val="none" w:sz="0" w:space="0" w:color="auto"/>
            <w:bottom w:val="none" w:sz="0" w:space="0" w:color="auto"/>
            <w:right w:val="none" w:sz="0" w:space="0" w:color="auto"/>
          </w:divBdr>
        </w:div>
        <w:div w:id="634215911">
          <w:marLeft w:val="0"/>
          <w:marRight w:val="0"/>
          <w:marTop w:val="0"/>
          <w:marBottom w:val="0"/>
          <w:divBdr>
            <w:top w:val="none" w:sz="0" w:space="0" w:color="auto"/>
            <w:left w:val="none" w:sz="0" w:space="0" w:color="auto"/>
            <w:bottom w:val="none" w:sz="0" w:space="0" w:color="auto"/>
            <w:right w:val="none" w:sz="0" w:space="0" w:color="auto"/>
          </w:divBdr>
        </w:div>
        <w:div w:id="2059353395">
          <w:marLeft w:val="0"/>
          <w:marRight w:val="0"/>
          <w:marTop w:val="0"/>
          <w:marBottom w:val="0"/>
          <w:divBdr>
            <w:top w:val="none" w:sz="0" w:space="0" w:color="auto"/>
            <w:left w:val="none" w:sz="0" w:space="0" w:color="auto"/>
            <w:bottom w:val="none" w:sz="0" w:space="0" w:color="auto"/>
            <w:right w:val="none" w:sz="0" w:space="0" w:color="auto"/>
          </w:divBdr>
        </w:div>
        <w:div w:id="1776627980">
          <w:marLeft w:val="0"/>
          <w:marRight w:val="0"/>
          <w:marTop w:val="0"/>
          <w:marBottom w:val="0"/>
          <w:divBdr>
            <w:top w:val="none" w:sz="0" w:space="0" w:color="auto"/>
            <w:left w:val="none" w:sz="0" w:space="0" w:color="auto"/>
            <w:bottom w:val="none" w:sz="0" w:space="0" w:color="auto"/>
            <w:right w:val="none" w:sz="0" w:space="0" w:color="auto"/>
          </w:divBdr>
        </w:div>
        <w:div w:id="571356383">
          <w:marLeft w:val="0"/>
          <w:marRight w:val="0"/>
          <w:marTop w:val="0"/>
          <w:marBottom w:val="0"/>
          <w:divBdr>
            <w:top w:val="none" w:sz="0" w:space="0" w:color="auto"/>
            <w:left w:val="none" w:sz="0" w:space="0" w:color="auto"/>
            <w:bottom w:val="none" w:sz="0" w:space="0" w:color="auto"/>
            <w:right w:val="none" w:sz="0" w:space="0" w:color="auto"/>
          </w:divBdr>
        </w:div>
        <w:div w:id="1825848923">
          <w:marLeft w:val="0"/>
          <w:marRight w:val="0"/>
          <w:marTop w:val="0"/>
          <w:marBottom w:val="0"/>
          <w:divBdr>
            <w:top w:val="none" w:sz="0" w:space="0" w:color="auto"/>
            <w:left w:val="none" w:sz="0" w:space="0" w:color="auto"/>
            <w:bottom w:val="none" w:sz="0" w:space="0" w:color="auto"/>
            <w:right w:val="none" w:sz="0" w:space="0" w:color="auto"/>
          </w:divBdr>
        </w:div>
        <w:div w:id="863054850">
          <w:marLeft w:val="0"/>
          <w:marRight w:val="0"/>
          <w:marTop w:val="0"/>
          <w:marBottom w:val="0"/>
          <w:divBdr>
            <w:top w:val="none" w:sz="0" w:space="0" w:color="auto"/>
            <w:left w:val="none" w:sz="0" w:space="0" w:color="auto"/>
            <w:bottom w:val="none" w:sz="0" w:space="0" w:color="auto"/>
            <w:right w:val="none" w:sz="0" w:space="0" w:color="auto"/>
          </w:divBdr>
        </w:div>
        <w:div w:id="1818299938">
          <w:marLeft w:val="0"/>
          <w:marRight w:val="0"/>
          <w:marTop w:val="0"/>
          <w:marBottom w:val="0"/>
          <w:divBdr>
            <w:top w:val="none" w:sz="0" w:space="0" w:color="auto"/>
            <w:left w:val="none" w:sz="0" w:space="0" w:color="auto"/>
            <w:bottom w:val="none" w:sz="0" w:space="0" w:color="auto"/>
            <w:right w:val="none" w:sz="0" w:space="0" w:color="auto"/>
          </w:divBdr>
        </w:div>
      </w:divsChild>
    </w:div>
    <w:div w:id="1101797742">
      <w:bodyDiv w:val="1"/>
      <w:marLeft w:val="0"/>
      <w:marRight w:val="0"/>
      <w:marTop w:val="0"/>
      <w:marBottom w:val="0"/>
      <w:divBdr>
        <w:top w:val="none" w:sz="0" w:space="0" w:color="auto"/>
        <w:left w:val="none" w:sz="0" w:space="0" w:color="auto"/>
        <w:bottom w:val="none" w:sz="0" w:space="0" w:color="auto"/>
        <w:right w:val="none" w:sz="0" w:space="0" w:color="auto"/>
      </w:divBdr>
      <w:divsChild>
        <w:div w:id="102921845">
          <w:marLeft w:val="-225"/>
          <w:marRight w:val="-225"/>
          <w:marTop w:val="0"/>
          <w:marBottom w:val="0"/>
          <w:divBdr>
            <w:top w:val="none" w:sz="0" w:space="0" w:color="auto"/>
            <w:left w:val="none" w:sz="0" w:space="0" w:color="auto"/>
            <w:bottom w:val="none" w:sz="0" w:space="0" w:color="auto"/>
            <w:right w:val="none" w:sz="0" w:space="0" w:color="auto"/>
          </w:divBdr>
          <w:divsChild>
            <w:div w:id="1789230007">
              <w:marLeft w:val="0"/>
              <w:marRight w:val="0"/>
              <w:marTop w:val="0"/>
              <w:marBottom w:val="0"/>
              <w:divBdr>
                <w:top w:val="none" w:sz="0" w:space="0" w:color="auto"/>
                <w:left w:val="none" w:sz="0" w:space="0" w:color="auto"/>
                <w:bottom w:val="none" w:sz="0" w:space="0" w:color="auto"/>
                <w:right w:val="none" w:sz="0" w:space="0" w:color="auto"/>
              </w:divBdr>
              <w:divsChild>
                <w:div w:id="585072438">
                  <w:marLeft w:val="0"/>
                  <w:marRight w:val="0"/>
                  <w:marTop w:val="0"/>
                  <w:marBottom w:val="0"/>
                  <w:divBdr>
                    <w:top w:val="none" w:sz="0" w:space="0" w:color="auto"/>
                    <w:left w:val="none" w:sz="0" w:space="0" w:color="auto"/>
                    <w:bottom w:val="none" w:sz="0" w:space="0" w:color="auto"/>
                    <w:right w:val="none" w:sz="0" w:space="0" w:color="auto"/>
                  </w:divBdr>
                  <w:divsChild>
                    <w:div w:id="9372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5844">
              <w:marLeft w:val="0"/>
              <w:marRight w:val="0"/>
              <w:marTop w:val="0"/>
              <w:marBottom w:val="0"/>
              <w:divBdr>
                <w:top w:val="none" w:sz="0" w:space="0" w:color="auto"/>
                <w:left w:val="none" w:sz="0" w:space="0" w:color="auto"/>
                <w:bottom w:val="none" w:sz="0" w:space="0" w:color="auto"/>
                <w:right w:val="none" w:sz="0" w:space="0" w:color="auto"/>
              </w:divBdr>
              <w:divsChild>
                <w:div w:id="1472209806">
                  <w:marLeft w:val="0"/>
                  <w:marRight w:val="0"/>
                  <w:marTop w:val="0"/>
                  <w:marBottom w:val="0"/>
                  <w:divBdr>
                    <w:top w:val="none" w:sz="0" w:space="0" w:color="auto"/>
                    <w:left w:val="none" w:sz="0" w:space="0" w:color="auto"/>
                    <w:bottom w:val="none" w:sz="0" w:space="0" w:color="auto"/>
                    <w:right w:val="none" w:sz="0" w:space="0" w:color="auto"/>
                  </w:divBdr>
                </w:div>
              </w:divsChild>
            </w:div>
            <w:div w:id="1083145385">
              <w:marLeft w:val="0"/>
              <w:marRight w:val="0"/>
              <w:marTop w:val="0"/>
              <w:marBottom w:val="0"/>
              <w:divBdr>
                <w:top w:val="none" w:sz="0" w:space="0" w:color="auto"/>
                <w:left w:val="none" w:sz="0" w:space="0" w:color="auto"/>
                <w:bottom w:val="none" w:sz="0" w:space="0" w:color="auto"/>
                <w:right w:val="none" w:sz="0" w:space="0" w:color="auto"/>
              </w:divBdr>
              <w:divsChild>
                <w:div w:id="5008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98531">
          <w:marLeft w:val="-225"/>
          <w:marRight w:val="-225"/>
          <w:marTop w:val="0"/>
          <w:marBottom w:val="0"/>
          <w:divBdr>
            <w:top w:val="none" w:sz="0" w:space="0" w:color="auto"/>
            <w:left w:val="none" w:sz="0" w:space="0" w:color="auto"/>
            <w:bottom w:val="none" w:sz="0" w:space="0" w:color="auto"/>
            <w:right w:val="none" w:sz="0" w:space="0" w:color="auto"/>
          </w:divBdr>
          <w:divsChild>
            <w:div w:id="2031252468">
              <w:marLeft w:val="0"/>
              <w:marRight w:val="0"/>
              <w:marTop w:val="0"/>
              <w:marBottom w:val="0"/>
              <w:divBdr>
                <w:top w:val="none" w:sz="0" w:space="0" w:color="auto"/>
                <w:left w:val="none" w:sz="0" w:space="0" w:color="auto"/>
                <w:bottom w:val="none" w:sz="0" w:space="0" w:color="auto"/>
                <w:right w:val="none" w:sz="0" w:space="0" w:color="auto"/>
              </w:divBdr>
              <w:divsChild>
                <w:div w:id="581180461">
                  <w:marLeft w:val="0"/>
                  <w:marRight w:val="0"/>
                  <w:marTop w:val="0"/>
                  <w:marBottom w:val="0"/>
                  <w:divBdr>
                    <w:top w:val="none" w:sz="0" w:space="0" w:color="auto"/>
                    <w:left w:val="none" w:sz="0" w:space="0" w:color="auto"/>
                    <w:bottom w:val="none" w:sz="0" w:space="0" w:color="auto"/>
                    <w:right w:val="none" w:sz="0" w:space="0" w:color="auto"/>
                  </w:divBdr>
                </w:div>
              </w:divsChild>
            </w:div>
            <w:div w:id="77558918">
              <w:marLeft w:val="0"/>
              <w:marRight w:val="0"/>
              <w:marTop w:val="0"/>
              <w:marBottom w:val="0"/>
              <w:divBdr>
                <w:top w:val="none" w:sz="0" w:space="0" w:color="auto"/>
                <w:left w:val="none" w:sz="0" w:space="0" w:color="auto"/>
                <w:bottom w:val="none" w:sz="0" w:space="0" w:color="auto"/>
                <w:right w:val="none" w:sz="0" w:space="0" w:color="auto"/>
              </w:divBdr>
              <w:divsChild>
                <w:div w:id="2090271237">
                  <w:marLeft w:val="0"/>
                  <w:marRight w:val="0"/>
                  <w:marTop w:val="0"/>
                  <w:marBottom w:val="0"/>
                  <w:divBdr>
                    <w:top w:val="none" w:sz="0" w:space="0" w:color="auto"/>
                    <w:left w:val="none" w:sz="0" w:space="0" w:color="auto"/>
                    <w:bottom w:val="none" w:sz="0" w:space="0" w:color="auto"/>
                    <w:right w:val="none" w:sz="0" w:space="0" w:color="auto"/>
                  </w:divBdr>
                </w:div>
              </w:divsChild>
            </w:div>
            <w:div w:id="336153141">
              <w:marLeft w:val="0"/>
              <w:marRight w:val="0"/>
              <w:marTop w:val="0"/>
              <w:marBottom w:val="0"/>
              <w:divBdr>
                <w:top w:val="none" w:sz="0" w:space="0" w:color="auto"/>
                <w:left w:val="none" w:sz="0" w:space="0" w:color="auto"/>
                <w:bottom w:val="none" w:sz="0" w:space="0" w:color="auto"/>
                <w:right w:val="none" w:sz="0" w:space="0" w:color="auto"/>
              </w:divBdr>
              <w:divsChild>
                <w:div w:id="17139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5348">
          <w:marLeft w:val="-225"/>
          <w:marRight w:val="-225"/>
          <w:marTop w:val="0"/>
          <w:marBottom w:val="0"/>
          <w:divBdr>
            <w:top w:val="none" w:sz="0" w:space="0" w:color="auto"/>
            <w:left w:val="none" w:sz="0" w:space="0" w:color="auto"/>
            <w:bottom w:val="none" w:sz="0" w:space="0" w:color="auto"/>
            <w:right w:val="none" w:sz="0" w:space="0" w:color="auto"/>
          </w:divBdr>
          <w:divsChild>
            <w:div w:id="186640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296372590">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325546259">
      <w:bodyDiv w:val="1"/>
      <w:marLeft w:val="0"/>
      <w:marRight w:val="0"/>
      <w:marTop w:val="0"/>
      <w:marBottom w:val="0"/>
      <w:divBdr>
        <w:top w:val="none" w:sz="0" w:space="0" w:color="auto"/>
        <w:left w:val="none" w:sz="0" w:space="0" w:color="auto"/>
        <w:bottom w:val="none" w:sz="0" w:space="0" w:color="auto"/>
        <w:right w:val="none" w:sz="0" w:space="0" w:color="auto"/>
      </w:divBdr>
    </w:div>
    <w:div w:id="1377730116">
      <w:bodyDiv w:val="1"/>
      <w:marLeft w:val="0"/>
      <w:marRight w:val="0"/>
      <w:marTop w:val="0"/>
      <w:marBottom w:val="0"/>
      <w:divBdr>
        <w:top w:val="none" w:sz="0" w:space="0" w:color="auto"/>
        <w:left w:val="none" w:sz="0" w:space="0" w:color="auto"/>
        <w:bottom w:val="none" w:sz="0" w:space="0" w:color="auto"/>
        <w:right w:val="none" w:sz="0" w:space="0" w:color="auto"/>
      </w:divBdr>
    </w:div>
    <w:div w:id="1403257578">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496805057">
      <w:bodyDiv w:val="1"/>
      <w:marLeft w:val="0"/>
      <w:marRight w:val="0"/>
      <w:marTop w:val="0"/>
      <w:marBottom w:val="0"/>
      <w:divBdr>
        <w:top w:val="none" w:sz="0" w:space="0" w:color="auto"/>
        <w:left w:val="none" w:sz="0" w:space="0" w:color="auto"/>
        <w:bottom w:val="none" w:sz="0" w:space="0" w:color="auto"/>
        <w:right w:val="none" w:sz="0" w:space="0" w:color="auto"/>
      </w:divBdr>
      <w:divsChild>
        <w:div w:id="1749956214">
          <w:marLeft w:val="0"/>
          <w:marRight w:val="0"/>
          <w:marTop w:val="0"/>
          <w:marBottom w:val="0"/>
          <w:divBdr>
            <w:top w:val="none" w:sz="0" w:space="0" w:color="auto"/>
            <w:left w:val="none" w:sz="0" w:space="0" w:color="auto"/>
            <w:bottom w:val="none" w:sz="0" w:space="0" w:color="auto"/>
            <w:right w:val="none" w:sz="0" w:space="0" w:color="auto"/>
          </w:divBdr>
          <w:divsChild>
            <w:div w:id="1798376758">
              <w:marLeft w:val="0"/>
              <w:marRight w:val="0"/>
              <w:marTop w:val="0"/>
              <w:marBottom w:val="0"/>
              <w:divBdr>
                <w:top w:val="none" w:sz="0" w:space="0" w:color="auto"/>
                <w:left w:val="none" w:sz="0" w:space="0" w:color="auto"/>
                <w:bottom w:val="none" w:sz="0" w:space="0" w:color="auto"/>
                <w:right w:val="none" w:sz="0" w:space="0" w:color="auto"/>
              </w:divBdr>
              <w:divsChild>
                <w:div w:id="1914120171">
                  <w:marLeft w:val="0"/>
                  <w:marRight w:val="0"/>
                  <w:marTop w:val="0"/>
                  <w:marBottom w:val="0"/>
                  <w:divBdr>
                    <w:top w:val="none" w:sz="0" w:space="0" w:color="auto"/>
                    <w:left w:val="none" w:sz="0" w:space="0" w:color="auto"/>
                    <w:bottom w:val="none" w:sz="0" w:space="0" w:color="auto"/>
                    <w:right w:val="none" w:sz="0" w:space="0" w:color="auto"/>
                  </w:divBdr>
                  <w:divsChild>
                    <w:div w:id="413943532">
                      <w:marLeft w:val="0"/>
                      <w:marRight w:val="0"/>
                      <w:marTop w:val="0"/>
                      <w:marBottom w:val="0"/>
                      <w:divBdr>
                        <w:top w:val="none" w:sz="0" w:space="0" w:color="auto"/>
                        <w:left w:val="none" w:sz="0" w:space="0" w:color="auto"/>
                        <w:bottom w:val="none" w:sz="0" w:space="0" w:color="auto"/>
                        <w:right w:val="none" w:sz="0" w:space="0" w:color="auto"/>
                      </w:divBdr>
                      <w:divsChild>
                        <w:div w:id="1096170758">
                          <w:marLeft w:val="0"/>
                          <w:marRight w:val="0"/>
                          <w:marTop w:val="0"/>
                          <w:marBottom w:val="0"/>
                          <w:divBdr>
                            <w:top w:val="none" w:sz="0" w:space="0" w:color="auto"/>
                            <w:left w:val="none" w:sz="0" w:space="0" w:color="auto"/>
                            <w:bottom w:val="none" w:sz="0" w:space="0" w:color="auto"/>
                            <w:right w:val="none" w:sz="0" w:space="0" w:color="auto"/>
                          </w:divBdr>
                          <w:divsChild>
                            <w:div w:id="1359965140">
                              <w:marLeft w:val="6"/>
                              <w:marRight w:val="6"/>
                              <w:marTop w:val="0"/>
                              <w:marBottom w:val="2"/>
                              <w:divBdr>
                                <w:top w:val="none" w:sz="0" w:space="0" w:color="auto"/>
                                <w:left w:val="none" w:sz="0" w:space="0" w:color="auto"/>
                                <w:bottom w:val="none" w:sz="0" w:space="0" w:color="auto"/>
                                <w:right w:val="none" w:sz="0" w:space="0" w:color="auto"/>
                              </w:divBdr>
                              <w:divsChild>
                                <w:div w:id="2144813680">
                                  <w:marLeft w:val="0"/>
                                  <w:marRight w:val="0"/>
                                  <w:marTop w:val="0"/>
                                  <w:marBottom w:val="0"/>
                                  <w:divBdr>
                                    <w:top w:val="none" w:sz="0" w:space="0" w:color="auto"/>
                                    <w:left w:val="none" w:sz="0" w:space="0" w:color="auto"/>
                                    <w:bottom w:val="none" w:sz="0" w:space="0" w:color="auto"/>
                                    <w:right w:val="none" w:sz="0" w:space="0" w:color="auto"/>
                                  </w:divBdr>
                                  <w:divsChild>
                                    <w:div w:id="839858470">
                                      <w:marLeft w:val="0"/>
                                      <w:marRight w:val="0"/>
                                      <w:marTop w:val="0"/>
                                      <w:marBottom w:val="0"/>
                                      <w:divBdr>
                                        <w:top w:val="none" w:sz="0" w:space="0" w:color="auto"/>
                                        <w:left w:val="none" w:sz="0" w:space="0" w:color="auto"/>
                                        <w:bottom w:val="none" w:sz="0" w:space="0" w:color="auto"/>
                                        <w:right w:val="none" w:sz="0" w:space="0" w:color="auto"/>
                                      </w:divBdr>
                                      <w:divsChild>
                                        <w:div w:id="443810737">
                                          <w:marLeft w:val="0"/>
                                          <w:marRight w:val="0"/>
                                          <w:marTop w:val="0"/>
                                          <w:marBottom w:val="450"/>
                                          <w:divBdr>
                                            <w:top w:val="none" w:sz="0" w:space="0" w:color="auto"/>
                                            <w:left w:val="none" w:sz="0" w:space="0" w:color="auto"/>
                                            <w:bottom w:val="none" w:sz="0" w:space="0" w:color="auto"/>
                                            <w:right w:val="none" w:sz="0" w:space="0" w:color="auto"/>
                                          </w:divBdr>
                                          <w:divsChild>
                                            <w:div w:id="1694266890">
                                              <w:marLeft w:val="0"/>
                                              <w:marRight w:val="0"/>
                                              <w:marTop w:val="150"/>
                                              <w:marBottom w:val="150"/>
                                              <w:divBdr>
                                                <w:top w:val="none" w:sz="0" w:space="0" w:color="auto"/>
                                                <w:left w:val="none" w:sz="0" w:space="0" w:color="auto"/>
                                                <w:bottom w:val="none" w:sz="0" w:space="0" w:color="auto"/>
                                                <w:right w:val="none" w:sz="0" w:space="0" w:color="auto"/>
                                              </w:divBdr>
                                              <w:divsChild>
                                                <w:div w:id="549656273">
                                                  <w:marLeft w:val="0"/>
                                                  <w:marRight w:val="0"/>
                                                  <w:marTop w:val="0"/>
                                                  <w:marBottom w:val="0"/>
                                                  <w:divBdr>
                                                    <w:top w:val="none" w:sz="0" w:space="0" w:color="auto"/>
                                                    <w:left w:val="none" w:sz="0" w:space="0" w:color="auto"/>
                                                    <w:bottom w:val="none" w:sz="0" w:space="0" w:color="auto"/>
                                                    <w:right w:val="none" w:sz="0" w:space="0" w:color="auto"/>
                                                  </w:divBdr>
                                                  <w:divsChild>
                                                    <w:div w:id="660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20782864">
      <w:bodyDiv w:val="1"/>
      <w:marLeft w:val="0"/>
      <w:marRight w:val="0"/>
      <w:marTop w:val="0"/>
      <w:marBottom w:val="0"/>
      <w:divBdr>
        <w:top w:val="none" w:sz="0" w:space="0" w:color="auto"/>
        <w:left w:val="none" w:sz="0" w:space="0" w:color="auto"/>
        <w:bottom w:val="none" w:sz="0" w:space="0" w:color="auto"/>
        <w:right w:val="none" w:sz="0" w:space="0" w:color="auto"/>
      </w:divBdr>
      <w:divsChild>
        <w:div w:id="1701861230">
          <w:marLeft w:val="150"/>
          <w:marRight w:val="150"/>
          <w:marTop w:val="150"/>
          <w:marBottom w:val="150"/>
          <w:divBdr>
            <w:top w:val="none" w:sz="0" w:space="0" w:color="auto"/>
            <w:left w:val="none" w:sz="0" w:space="0" w:color="auto"/>
            <w:bottom w:val="none" w:sz="0" w:space="0" w:color="auto"/>
            <w:right w:val="none" w:sz="0" w:space="0" w:color="auto"/>
          </w:divBdr>
        </w:div>
        <w:div w:id="56629430">
          <w:marLeft w:val="450"/>
          <w:marRight w:val="450"/>
          <w:marTop w:val="0"/>
          <w:marBottom w:val="0"/>
          <w:divBdr>
            <w:top w:val="none" w:sz="0" w:space="0" w:color="auto"/>
            <w:left w:val="none" w:sz="0" w:space="0" w:color="auto"/>
            <w:bottom w:val="none" w:sz="0" w:space="0" w:color="auto"/>
            <w:right w:val="none" w:sz="0" w:space="0" w:color="auto"/>
          </w:divBdr>
          <w:divsChild>
            <w:div w:id="1040203517">
              <w:marLeft w:val="450"/>
              <w:marRight w:val="450"/>
              <w:marTop w:val="0"/>
              <w:marBottom w:val="0"/>
              <w:divBdr>
                <w:top w:val="none" w:sz="0" w:space="0" w:color="auto"/>
                <w:left w:val="none" w:sz="0" w:space="0" w:color="auto"/>
                <w:bottom w:val="none" w:sz="0" w:space="0" w:color="auto"/>
                <w:right w:val="none" w:sz="0" w:space="0" w:color="auto"/>
              </w:divBdr>
            </w:div>
            <w:div w:id="245116221">
              <w:marLeft w:val="1131"/>
              <w:marRight w:val="566"/>
              <w:marTop w:val="240"/>
              <w:marBottom w:val="240"/>
              <w:divBdr>
                <w:top w:val="none" w:sz="0" w:space="0" w:color="auto"/>
                <w:left w:val="none" w:sz="0" w:space="0" w:color="auto"/>
                <w:bottom w:val="none" w:sz="0" w:space="0" w:color="auto"/>
                <w:right w:val="none" w:sz="0" w:space="0" w:color="auto"/>
              </w:divBdr>
            </w:div>
            <w:div w:id="1408459479">
              <w:marLeft w:val="1131"/>
              <w:marRight w:val="566"/>
              <w:marTop w:val="240"/>
              <w:marBottom w:val="240"/>
              <w:divBdr>
                <w:top w:val="none" w:sz="0" w:space="0" w:color="auto"/>
                <w:left w:val="none" w:sz="0" w:space="0" w:color="auto"/>
                <w:bottom w:val="none" w:sz="0" w:space="0" w:color="auto"/>
                <w:right w:val="none" w:sz="0" w:space="0" w:color="auto"/>
              </w:divBdr>
            </w:div>
          </w:divsChild>
        </w:div>
        <w:div w:id="7952686">
          <w:marLeft w:val="150"/>
          <w:marRight w:val="150"/>
          <w:marTop w:val="150"/>
          <w:marBottom w:val="150"/>
          <w:divBdr>
            <w:top w:val="none" w:sz="0" w:space="0" w:color="auto"/>
            <w:left w:val="none" w:sz="0" w:space="0" w:color="auto"/>
            <w:bottom w:val="none" w:sz="0" w:space="0" w:color="auto"/>
            <w:right w:val="none" w:sz="0" w:space="0" w:color="auto"/>
          </w:divBdr>
        </w:div>
        <w:div w:id="1136490026">
          <w:marLeft w:val="450"/>
          <w:marRight w:val="450"/>
          <w:marTop w:val="0"/>
          <w:marBottom w:val="0"/>
          <w:divBdr>
            <w:top w:val="none" w:sz="0" w:space="0" w:color="auto"/>
            <w:left w:val="none" w:sz="0" w:space="0" w:color="auto"/>
            <w:bottom w:val="none" w:sz="0" w:space="0" w:color="auto"/>
            <w:right w:val="none" w:sz="0" w:space="0" w:color="auto"/>
          </w:divBdr>
          <w:divsChild>
            <w:div w:id="1558936696">
              <w:marLeft w:val="450"/>
              <w:marRight w:val="450"/>
              <w:marTop w:val="0"/>
              <w:marBottom w:val="0"/>
              <w:divBdr>
                <w:top w:val="none" w:sz="0" w:space="0" w:color="auto"/>
                <w:left w:val="none" w:sz="0" w:space="0" w:color="auto"/>
                <w:bottom w:val="none" w:sz="0" w:space="0" w:color="auto"/>
                <w:right w:val="none" w:sz="0" w:space="0" w:color="auto"/>
              </w:divBdr>
            </w:div>
          </w:divsChild>
        </w:div>
        <w:div w:id="1632402732">
          <w:marLeft w:val="150"/>
          <w:marRight w:val="150"/>
          <w:marTop w:val="150"/>
          <w:marBottom w:val="150"/>
          <w:divBdr>
            <w:top w:val="none" w:sz="0" w:space="0" w:color="auto"/>
            <w:left w:val="none" w:sz="0" w:space="0" w:color="auto"/>
            <w:bottom w:val="none" w:sz="0" w:space="0" w:color="auto"/>
            <w:right w:val="none" w:sz="0" w:space="0" w:color="auto"/>
          </w:divBdr>
        </w:div>
        <w:div w:id="1918635566">
          <w:marLeft w:val="450"/>
          <w:marRight w:val="450"/>
          <w:marTop w:val="0"/>
          <w:marBottom w:val="0"/>
          <w:divBdr>
            <w:top w:val="none" w:sz="0" w:space="0" w:color="auto"/>
            <w:left w:val="none" w:sz="0" w:space="0" w:color="auto"/>
            <w:bottom w:val="none" w:sz="0" w:space="0" w:color="auto"/>
            <w:right w:val="none" w:sz="0" w:space="0" w:color="auto"/>
          </w:divBdr>
          <w:divsChild>
            <w:div w:id="586037217">
              <w:marLeft w:val="450"/>
              <w:marRight w:val="450"/>
              <w:marTop w:val="0"/>
              <w:marBottom w:val="0"/>
              <w:divBdr>
                <w:top w:val="none" w:sz="0" w:space="0" w:color="auto"/>
                <w:left w:val="none" w:sz="0" w:space="0" w:color="auto"/>
                <w:bottom w:val="none" w:sz="0" w:space="0" w:color="auto"/>
                <w:right w:val="none" w:sz="0" w:space="0" w:color="auto"/>
              </w:divBdr>
            </w:div>
            <w:div w:id="1134561540">
              <w:marLeft w:val="1131"/>
              <w:marRight w:val="566"/>
              <w:marTop w:val="240"/>
              <w:marBottom w:val="240"/>
              <w:divBdr>
                <w:top w:val="none" w:sz="0" w:space="0" w:color="auto"/>
                <w:left w:val="none" w:sz="0" w:space="0" w:color="auto"/>
                <w:bottom w:val="none" w:sz="0" w:space="0" w:color="auto"/>
                <w:right w:val="none" w:sz="0" w:space="0" w:color="auto"/>
              </w:divBdr>
            </w:div>
          </w:divsChild>
        </w:div>
        <w:div w:id="343870001">
          <w:marLeft w:val="150"/>
          <w:marRight w:val="150"/>
          <w:marTop w:val="150"/>
          <w:marBottom w:val="150"/>
          <w:divBdr>
            <w:top w:val="none" w:sz="0" w:space="0" w:color="auto"/>
            <w:left w:val="none" w:sz="0" w:space="0" w:color="auto"/>
            <w:bottom w:val="none" w:sz="0" w:space="0" w:color="auto"/>
            <w:right w:val="none" w:sz="0" w:space="0" w:color="auto"/>
          </w:divBdr>
        </w:div>
        <w:div w:id="68692239">
          <w:marLeft w:val="450"/>
          <w:marRight w:val="450"/>
          <w:marTop w:val="0"/>
          <w:marBottom w:val="0"/>
          <w:divBdr>
            <w:top w:val="none" w:sz="0" w:space="0" w:color="auto"/>
            <w:left w:val="none" w:sz="0" w:space="0" w:color="auto"/>
            <w:bottom w:val="none" w:sz="0" w:space="0" w:color="auto"/>
            <w:right w:val="none" w:sz="0" w:space="0" w:color="auto"/>
          </w:divBdr>
          <w:divsChild>
            <w:div w:id="2021353849">
              <w:marLeft w:val="450"/>
              <w:marRight w:val="450"/>
              <w:marTop w:val="0"/>
              <w:marBottom w:val="0"/>
              <w:divBdr>
                <w:top w:val="none" w:sz="0" w:space="0" w:color="auto"/>
                <w:left w:val="none" w:sz="0" w:space="0" w:color="auto"/>
                <w:bottom w:val="none" w:sz="0" w:space="0" w:color="auto"/>
                <w:right w:val="none" w:sz="0" w:space="0" w:color="auto"/>
              </w:divBdr>
            </w:div>
            <w:div w:id="137115245">
              <w:marLeft w:val="1131"/>
              <w:marRight w:val="566"/>
              <w:marTop w:val="240"/>
              <w:marBottom w:val="240"/>
              <w:divBdr>
                <w:top w:val="none" w:sz="0" w:space="0" w:color="auto"/>
                <w:left w:val="none" w:sz="0" w:space="0" w:color="auto"/>
                <w:bottom w:val="none" w:sz="0" w:space="0" w:color="auto"/>
                <w:right w:val="none" w:sz="0" w:space="0" w:color="auto"/>
              </w:divBdr>
            </w:div>
          </w:divsChild>
        </w:div>
        <w:div w:id="1029447903">
          <w:marLeft w:val="150"/>
          <w:marRight w:val="150"/>
          <w:marTop w:val="150"/>
          <w:marBottom w:val="150"/>
          <w:divBdr>
            <w:top w:val="none" w:sz="0" w:space="0" w:color="auto"/>
            <w:left w:val="none" w:sz="0" w:space="0" w:color="auto"/>
            <w:bottom w:val="none" w:sz="0" w:space="0" w:color="auto"/>
            <w:right w:val="none" w:sz="0" w:space="0" w:color="auto"/>
          </w:divBdr>
        </w:div>
        <w:div w:id="632948208">
          <w:marLeft w:val="450"/>
          <w:marRight w:val="450"/>
          <w:marTop w:val="0"/>
          <w:marBottom w:val="0"/>
          <w:divBdr>
            <w:top w:val="none" w:sz="0" w:space="0" w:color="auto"/>
            <w:left w:val="none" w:sz="0" w:space="0" w:color="auto"/>
            <w:bottom w:val="none" w:sz="0" w:space="0" w:color="auto"/>
            <w:right w:val="none" w:sz="0" w:space="0" w:color="auto"/>
          </w:divBdr>
          <w:divsChild>
            <w:div w:id="693582703">
              <w:marLeft w:val="450"/>
              <w:marRight w:val="450"/>
              <w:marTop w:val="0"/>
              <w:marBottom w:val="0"/>
              <w:divBdr>
                <w:top w:val="none" w:sz="0" w:space="0" w:color="auto"/>
                <w:left w:val="none" w:sz="0" w:space="0" w:color="auto"/>
                <w:bottom w:val="none" w:sz="0" w:space="0" w:color="auto"/>
                <w:right w:val="none" w:sz="0" w:space="0" w:color="auto"/>
              </w:divBdr>
            </w:div>
            <w:div w:id="267322576">
              <w:marLeft w:val="1131"/>
              <w:marRight w:val="566"/>
              <w:marTop w:val="240"/>
              <w:marBottom w:val="240"/>
              <w:divBdr>
                <w:top w:val="none" w:sz="0" w:space="0" w:color="auto"/>
                <w:left w:val="none" w:sz="0" w:space="0" w:color="auto"/>
                <w:bottom w:val="none" w:sz="0" w:space="0" w:color="auto"/>
                <w:right w:val="none" w:sz="0" w:space="0" w:color="auto"/>
              </w:divBdr>
            </w:div>
          </w:divsChild>
        </w:div>
        <w:div w:id="1633248449">
          <w:marLeft w:val="150"/>
          <w:marRight w:val="150"/>
          <w:marTop w:val="150"/>
          <w:marBottom w:val="150"/>
          <w:divBdr>
            <w:top w:val="none" w:sz="0" w:space="0" w:color="auto"/>
            <w:left w:val="none" w:sz="0" w:space="0" w:color="auto"/>
            <w:bottom w:val="none" w:sz="0" w:space="0" w:color="auto"/>
            <w:right w:val="none" w:sz="0" w:space="0" w:color="auto"/>
          </w:divBdr>
        </w:div>
        <w:div w:id="1871800957">
          <w:marLeft w:val="450"/>
          <w:marRight w:val="450"/>
          <w:marTop w:val="0"/>
          <w:marBottom w:val="0"/>
          <w:divBdr>
            <w:top w:val="none" w:sz="0" w:space="0" w:color="auto"/>
            <w:left w:val="none" w:sz="0" w:space="0" w:color="auto"/>
            <w:bottom w:val="none" w:sz="0" w:space="0" w:color="auto"/>
            <w:right w:val="none" w:sz="0" w:space="0" w:color="auto"/>
          </w:divBdr>
          <w:divsChild>
            <w:div w:id="1480149140">
              <w:marLeft w:val="450"/>
              <w:marRight w:val="450"/>
              <w:marTop w:val="0"/>
              <w:marBottom w:val="0"/>
              <w:divBdr>
                <w:top w:val="none" w:sz="0" w:space="0" w:color="auto"/>
                <w:left w:val="none" w:sz="0" w:space="0" w:color="auto"/>
                <w:bottom w:val="none" w:sz="0" w:space="0" w:color="auto"/>
                <w:right w:val="none" w:sz="0" w:space="0" w:color="auto"/>
              </w:divBdr>
            </w:div>
            <w:div w:id="2022511195">
              <w:marLeft w:val="1131"/>
              <w:marRight w:val="566"/>
              <w:marTop w:val="240"/>
              <w:marBottom w:val="240"/>
              <w:divBdr>
                <w:top w:val="none" w:sz="0" w:space="0" w:color="auto"/>
                <w:left w:val="none" w:sz="0" w:space="0" w:color="auto"/>
                <w:bottom w:val="none" w:sz="0" w:space="0" w:color="auto"/>
                <w:right w:val="none" w:sz="0" w:space="0" w:color="auto"/>
              </w:divBdr>
            </w:div>
            <w:div w:id="1981298164">
              <w:marLeft w:val="1131"/>
              <w:marRight w:val="566"/>
              <w:marTop w:val="240"/>
              <w:marBottom w:val="240"/>
              <w:divBdr>
                <w:top w:val="none" w:sz="0" w:space="0" w:color="auto"/>
                <w:left w:val="none" w:sz="0" w:space="0" w:color="auto"/>
                <w:bottom w:val="none" w:sz="0" w:space="0" w:color="auto"/>
                <w:right w:val="none" w:sz="0" w:space="0" w:color="auto"/>
              </w:divBdr>
            </w:div>
          </w:divsChild>
        </w:div>
        <w:div w:id="1691031129">
          <w:marLeft w:val="150"/>
          <w:marRight w:val="150"/>
          <w:marTop w:val="150"/>
          <w:marBottom w:val="150"/>
          <w:divBdr>
            <w:top w:val="none" w:sz="0" w:space="0" w:color="auto"/>
            <w:left w:val="none" w:sz="0" w:space="0" w:color="auto"/>
            <w:bottom w:val="none" w:sz="0" w:space="0" w:color="auto"/>
            <w:right w:val="none" w:sz="0" w:space="0" w:color="auto"/>
          </w:divBdr>
        </w:div>
        <w:div w:id="66192344">
          <w:marLeft w:val="450"/>
          <w:marRight w:val="450"/>
          <w:marTop w:val="0"/>
          <w:marBottom w:val="0"/>
          <w:divBdr>
            <w:top w:val="none" w:sz="0" w:space="0" w:color="auto"/>
            <w:left w:val="none" w:sz="0" w:space="0" w:color="auto"/>
            <w:bottom w:val="none" w:sz="0" w:space="0" w:color="auto"/>
            <w:right w:val="none" w:sz="0" w:space="0" w:color="auto"/>
          </w:divBdr>
          <w:divsChild>
            <w:div w:id="1525317389">
              <w:marLeft w:val="450"/>
              <w:marRight w:val="450"/>
              <w:marTop w:val="0"/>
              <w:marBottom w:val="0"/>
              <w:divBdr>
                <w:top w:val="none" w:sz="0" w:space="0" w:color="auto"/>
                <w:left w:val="none" w:sz="0" w:space="0" w:color="auto"/>
                <w:bottom w:val="none" w:sz="0" w:space="0" w:color="auto"/>
                <w:right w:val="none" w:sz="0" w:space="0" w:color="auto"/>
              </w:divBdr>
            </w:div>
            <w:div w:id="1740204954">
              <w:marLeft w:val="1131"/>
              <w:marRight w:val="566"/>
              <w:marTop w:val="240"/>
              <w:marBottom w:val="240"/>
              <w:divBdr>
                <w:top w:val="none" w:sz="0" w:space="0" w:color="auto"/>
                <w:left w:val="none" w:sz="0" w:space="0" w:color="auto"/>
                <w:bottom w:val="none" w:sz="0" w:space="0" w:color="auto"/>
                <w:right w:val="none" w:sz="0" w:space="0" w:color="auto"/>
              </w:divBdr>
            </w:div>
            <w:div w:id="1374883924">
              <w:marLeft w:val="1131"/>
              <w:marRight w:val="566"/>
              <w:marTop w:val="240"/>
              <w:marBottom w:val="240"/>
              <w:divBdr>
                <w:top w:val="none" w:sz="0" w:space="0" w:color="auto"/>
                <w:left w:val="none" w:sz="0" w:space="0" w:color="auto"/>
                <w:bottom w:val="none" w:sz="0" w:space="0" w:color="auto"/>
                <w:right w:val="none" w:sz="0" w:space="0" w:color="auto"/>
              </w:divBdr>
            </w:div>
          </w:divsChild>
        </w:div>
        <w:div w:id="265770683">
          <w:marLeft w:val="150"/>
          <w:marRight w:val="150"/>
          <w:marTop w:val="150"/>
          <w:marBottom w:val="150"/>
          <w:divBdr>
            <w:top w:val="none" w:sz="0" w:space="0" w:color="auto"/>
            <w:left w:val="none" w:sz="0" w:space="0" w:color="auto"/>
            <w:bottom w:val="none" w:sz="0" w:space="0" w:color="auto"/>
            <w:right w:val="none" w:sz="0" w:space="0" w:color="auto"/>
          </w:divBdr>
        </w:div>
        <w:div w:id="1314480504">
          <w:marLeft w:val="450"/>
          <w:marRight w:val="450"/>
          <w:marTop w:val="0"/>
          <w:marBottom w:val="0"/>
          <w:divBdr>
            <w:top w:val="none" w:sz="0" w:space="0" w:color="auto"/>
            <w:left w:val="none" w:sz="0" w:space="0" w:color="auto"/>
            <w:bottom w:val="none" w:sz="0" w:space="0" w:color="auto"/>
            <w:right w:val="none" w:sz="0" w:space="0" w:color="auto"/>
          </w:divBdr>
          <w:divsChild>
            <w:div w:id="1635597756">
              <w:marLeft w:val="450"/>
              <w:marRight w:val="450"/>
              <w:marTop w:val="0"/>
              <w:marBottom w:val="0"/>
              <w:divBdr>
                <w:top w:val="none" w:sz="0" w:space="0" w:color="auto"/>
                <w:left w:val="none" w:sz="0" w:space="0" w:color="auto"/>
                <w:bottom w:val="none" w:sz="0" w:space="0" w:color="auto"/>
                <w:right w:val="none" w:sz="0" w:space="0" w:color="auto"/>
              </w:divBdr>
            </w:div>
            <w:div w:id="336809651">
              <w:marLeft w:val="1131"/>
              <w:marRight w:val="566"/>
              <w:marTop w:val="240"/>
              <w:marBottom w:val="240"/>
              <w:divBdr>
                <w:top w:val="none" w:sz="0" w:space="0" w:color="auto"/>
                <w:left w:val="none" w:sz="0" w:space="0" w:color="auto"/>
                <w:bottom w:val="none" w:sz="0" w:space="0" w:color="auto"/>
                <w:right w:val="none" w:sz="0" w:space="0" w:color="auto"/>
              </w:divBdr>
            </w:div>
          </w:divsChild>
        </w:div>
        <w:div w:id="1675185666">
          <w:marLeft w:val="150"/>
          <w:marRight w:val="150"/>
          <w:marTop w:val="150"/>
          <w:marBottom w:val="150"/>
          <w:divBdr>
            <w:top w:val="none" w:sz="0" w:space="0" w:color="auto"/>
            <w:left w:val="none" w:sz="0" w:space="0" w:color="auto"/>
            <w:bottom w:val="none" w:sz="0" w:space="0" w:color="auto"/>
            <w:right w:val="none" w:sz="0" w:space="0" w:color="auto"/>
          </w:divBdr>
        </w:div>
        <w:div w:id="605305990">
          <w:marLeft w:val="450"/>
          <w:marRight w:val="450"/>
          <w:marTop w:val="0"/>
          <w:marBottom w:val="0"/>
          <w:divBdr>
            <w:top w:val="none" w:sz="0" w:space="0" w:color="auto"/>
            <w:left w:val="none" w:sz="0" w:space="0" w:color="auto"/>
            <w:bottom w:val="none" w:sz="0" w:space="0" w:color="auto"/>
            <w:right w:val="none" w:sz="0" w:space="0" w:color="auto"/>
          </w:divBdr>
          <w:divsChild>
            <w:div w:id="1087382178">
              <w:marLeft w:val="450"/>
              <w:marRight w:val="450"/>
              <w:marTop w:val="0"/>
              <w:marBottom w:val="0"/>
              <w:divBdr>
                <w:top w:val="none" w:sz="0" w:space="0" w:color="auto"/>
                <w:left w:val="none" w:sz="0" w:space="0" w:color="auto"/>
                <w:bottom w:val="none" w:sz="0" w:space="0" w:color="auto"/>
                <w:right w:val="none" w:sz="0" w:space="0" w:color="auto"/>
              </w:divBdr>
            </w:div>
          </w:divsChild>
        </w:div>
        <w:div w:id="1878933345">
          <w:marLeft w:val="150"/>
          <w:marRight w:val="150"/>
          <w:marTop w:val="150"/>
          <w:marBottom w:val="150"/>
          <w:divBdr>
            <w:top w:val="none" w:sz="0" w:space="0" w:color="auto"/>
            <w:left w:val="none" w:sz="0" w:space="0" w:color="auto"/>
            <w:bottom w:val="none" w:sz="0" w:space="0" w:color="auto"/>
            <w:right w:val="none" w:sz="0" w:space="0" w:color="auto"/>
          </w:divBdr>
        </w:div>
        <w:div w:id="1437795036">
          <w:marLeft w:val="450"/>
          <w:marRight w:val="450"/>
          <w:marTop w:val="0"/>
          <w:marBottom w:val="0"/>
          <w:divBdr>
            <w:top w:val="none" w:sz="0" w:space="0" w:color="auto"/>
            <w:left w:val="none" w:sz="0" w:space="0" w:color="auto"/>
            <w:bottom w:val="none" w:sz="0" w:space="0" w:color="auto"/>
            <w:right w:val="none" w:sz="0" w:space="0" w:color="auto"/>
          </w:divBdr>
          <w:divsChild>
            <w:div w:id="75252065">
              <w:marLeft w:val="450"/>
              <w:marRight w:val="450"/>
              <w:marTop w:val="0"/>
              <w:marBottom w:val="0"/>
              <w:divBdr>
                <w:top w:val="none" w:sz="0" w:space="0" w:color="auto"/>
                <w:left w:val="none" w:sz="0" w:space="0" w:color="auto"/>
                <w:bottom w:val="none" w:sz="0" w:space="0" w:color="auto"/>
                <w:right w:val="none" w:sz="0" w:space="0" w:color="auto"/>
              </w:divBdr>
            </w:div>
            <w:div w:id="1070693535">
              <w:marLeft w:val="1131"/>
              <w:marRight w:val="566"/>
              <w:marTop w:val="240"/>
              <w:marBottom w:val="240"/>
              <w:divBdr>
                <w:top w:val="none" w:sz="0" w:space="0" w:color="auto"/>
                <w:left w:val="none" w:sz="0" w:space="0" w:color="auto"/>
                <w:bottom w:val="none" w:sz="0" w:space="0" w:color="auto"/>
                <w:right w:val="none" w:sz="0" w:space="0" w:color="auto"/>
              </w:divBdr>
            </w:div>
            <w:div w:id="932280811">
              <w:marLeft w:val="1131"/>
              <w:marRight w:val="566"/>
              <w:marTop w:val="240"/>
              <w:marBottom w:val="240"/>
              <w:divBdr>
                <w:top w:val="none" w:sz="0" w:space="0" w:color="auto"/>
                <w:left w:val="none" w:sz="0" w:space="0" w:color="auto"/>
                <w:bottom w:val="none" w:sz="0" w:space="0" w:color="auto"/>
                <w:right w:val="none" w:sz="0" w:space="0" w:color="auto"/>
              </w:divBdr>
            </w:div>
          </w:divsChild>
        </w:div>
        <w:div w:id="902570596">
          <w:marLeft w:val="150"/>
          <w:marRight w:val="150"/>
          <w:marTop w:val="150"/>
          <w:marBottom w:val="150"/>
          <w:divBdr>
            <w:top w:val="none" w:sz="0" w:space="0" w:color="auto"/>
            <w:left w:val="none" w:sz="0" w:space="0" w:color="auto"/>
            <w:bottom w:val="none" w:sz="0" w:space="0" w:color="auto"/>
            <w:right w:val="none" w:sz="0" w:space="0" w:color="auto"/>
          </w:divBdr>
        </w:div>
      </w:divsChild>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775009786">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63741017">
      <w:bodyDiv w:val="1"/>
      <w:marLeft w:val="0"/>
      <w:marRight w:val="0"/>
      <w:marTop w:val="0"/>
      <w:marBottom w:val="0"/>
      <w:divBdr>
        <w:top w:val="none" w:sz="0" w:space="0" w:color="auto"/>
        <w:left w:val="none" w:sz="0" w:space="0" w:color="auto"/>
        <w:bottom w:val="none" w:sz="0" w:space="0" w:color="auto"/>
        <w:right w:val="none" w:sz="0" w:space="0" w:color="auto"/>
      </w:divBdr>
      <w:divsChild>
        <w:div w:id="585504923">
          <w:marLeft w:val="0"/>
          <w:marRight w:val="0"/>
          <w:marTop w:val="0"/>
          <w:marBottom w:val="0"/>
          <w:divBdr>
            <w:top w:val="none" w:sz="0" w:space="0" w:color="auto"/>
            <w:left w:val="none" w:sz="0" w:space="0" w:color="auto"/>
            <w:bottom w:val="none" w:sz="0" w:space="0" w:color="auto"/>
            <w:right w:val="none" w:sz="0" w:space="0" w:color="auto"/>
          </w:divBdr>
          <w:divsChild>
            <w:div w:id="473106033">
              <w:marLeft w:val="0"/>
              <w:marRight w:val="0"/>
              <w:marTop w:val="0"/>
              <w:marBottom w:val="0"/>
              <w:divBdr>
                <w:top w:val="none" w:sz="0" w:space="0" w:color="auto"/>
                <w:left w:val="none" w:sz="0" w:space="0" w:color="auto"/>
                <w:bottom w:val="none" w:sz="0" w:space="0" w:color="auto"/>
                <w:right w:val="none" w:sz="0" w:space="0" w:color="auto"/>
              </w:divBdr>
              <w:divsChild>
                <w:div w:id="523595704">
                  <w:marLeft w:val="0"/>
                  <w:marRight w:val="0"/>
                  <w:marTop w:val="0"/>
                  <w:marBottom w:val="0"/>
                  <w:divBdr>
                    <w:top w:val="none" w:sz="0" w:space="0" w:color="auto"/>
                    <w:left w:val="none" w:sz="0" w:space="0" w:color="auto"/>
                    <w:bottom w:val="none" w:sz="0" w:space="0" w:color="auto"/>
                    <w:right w:val="none" w:sz="0" w:space="0" w:color="auto"/>
                  </w:divBdr>
                  <w:divsChild>
                    <w:div w:id="1047602700">
                      <w:marLeft w:val="0"/>
                      <w:marRight w:val="0"/>
                      <w:marTop w:val="0"/>
                      <w:marBottom w:val="0"/>
                      <w:divBdr>
                        <w:top w:val="none" w:sz="0" w:space="0" w:color="auto"/>
                        <w:left w:val="none" w:sz="0" w:space="0" w:color="auto"/>
                        <w:bottom w:val="none" w:sz="0" w:space="0" w:color="auto"/>
                        <w:right w:val="none" w:sz="0" w:space="0" w:color="auto"/>
                      </w:divBdr>
                      <w:divsChild>
                        <w:div w:id="1084496562">
                          <w:marLeft w:val="0"/>
                          <w:marRight w:val="0"/>
                          <w:marTop w:val="0"/>
                          <w:marBottom w:val="0"/>
                          <w:divBdr>
                            <w:top w:val="none" w:sz="0" w:space="0" w:color="auto"/>
                            <w:left w:val="none" w:sz="0" w:space="0" w:color="auto"/>
                            <w:bottom w:val="none" w:sz="0" w:space="0" w:color="auto"/>
                            <w:right w:val="none" w:sz="0" w:space="0" w:color="auto"/>
                          </w:divBdr>
                          <w:divsChild>
                            <w:div w:id="837237419">
                              <w:marLeft w:val="6"/>
                              <w:marRight w:val="6"/>
                              <w:marTop w:val="0"/>
                              <w:marBottom w:val="2"/>
                              <w:divBdr>
                                <w:top w:val="none" w:sz="0" w:space="0" w:color="auto"/>
                                <w:left w:val="none" w:sz="0" w:space="0" w:color="auto"/>
                                <w:bottom w:val="none" w:sz="0" w:space="0" w:color="auto"/>
                                <w:right w:val="none" w:sz="0" w:space="0" w:color="auto"/>
                              </w:divBdr>
                              <w:divsChild>
                                <w:div w:id="1535774128">
                                  <w:marLeft w:val="0"/>
                                  <w:marRight w:val="0"/>
                                  <w:marTop w:val="0"/>
                                  <w:marBottom w:val="0"/>
                                  <w:divBdr>
                                    <w:top w:val="none" w:sz="0" w:space="0" w:color="auto"/>
                                    <w:left w:val="none" w:sz="0" w:space="0" w:color="auto"/>
                                    <w:bottom w:val="none" w:sz="0" w:space="0" w:color="auto"/>
                                    <w:right w:val="none" w:sz="0" w:space="0" w:color="auto"/>
                                  </w:divBdr>
                                  <w:divsChild>
                                    <w:div w:id="718941366">
                                      <w:marLeft w:val="0"/>
                                      <w:marRight w:val="0"/>
                                      <w:marTop w:val="0"/>
                                      <w:marBottom w:val="0"/>
                                      <w:divBdr>
                                        <w:top w:val="none" w:sz="0" w:space="0" w:color="auto"/>
                                        <w:left w:val="none" w:sz="0" w:space="0" w:color="auto"/>
                                        <w:bottom w:val="none" w:sz="0" w:space="0" w:color="auto"/>
                                        <w:right w:val="none" w:sz="0" w:space="0" w:color="auto"/>
                                      </w:divBdr>
                                      <w:divsChild>
                                        <w:div w:id="123356449">
                                          <w:marLeft w:val="0"/>
                                          <w:marRight w:val="0"/>
                                          <w:marTop w:val="0"/>
                                          <w:marBottom w:val="0"/>
                                          <w:divBdr>
                                            <w:top w:val="none" w:sz="0" w:space="0" w:color="auto"/>
                                            <w:left w:val="none" w:sz="0" w:space="0" w:color="auto"/>
                                            <w:bottom w:val="none" w:sz="0" w:space="0" w:color="auto"/>
                                            <w:right w:val="none" w:sz="0" w:space="0" w:color="auto"/>
                                          </w:divBdr>
                                          <w:divsChild>
                                            <w:div w:id="10694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865828">
      <w:bodyDiv w:val="1"/>
      <w:marLeft w:val="0"/>
      <w:marRight w:val="0"/>
      <w:marTop w:val="0"/>
      <w:marBottom w:val="0"/>
      <w:divBdr>
        <w:top w:val="none" w:sz="0" w:space="0" w:color="auto"/>
        <w:left w:val="none" w:sz="0" w:space="0" w:color="auto"/>
        <w:bottom w:val="none" w:sz="0" w:space="0" w:color="auto"/>
        <w:right w:val="none" w:sz="0" w:space="0" w:color="auto"/>
      </w:divBdr>
    </w:div>
    <w:div w:id="1905795768">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62880957">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66835435">
      <w:bodyDiv w:val="1"/>
      <w:marLeft w:val="0"/>
      <w:marRight w:val="0"/>
      <w:marTop w:val="0"/>
      <w:marBottom w:val="0"/>
      <w:divBdr>
        <w:top w:val="none" w:sz="0" w:space="0" w:color="auto"/>
        <w:left w:val="none" w:sz="0" w:space="0" w:color="auto"/>
        <w:bottom w:val="none" w:sz="0" w:space="0" w:color="auto"/>
        <w:right w:val="none" w:sz="0" w:space="0" w:color="auto"/>
      </w:divBdr>
      <w:divsChild>
        <w:div w:id="1454203234">
          <w:marLeft w:val="0"/>
          <w:marRight w:val="0"/>
          <w:marTop w:val="0"/>
          <w:marBottom w:val="225"/>
          <w:divBdr>
            <w:top w:val="none" w:sz="0" w:space="0" w:color="auto"/>
            <w:left w:val="none" w:sz="0" w:space="0" w:color="auto"/>
            <w:bottom w:val="none" w:sz="0" w:space="0" w:color="auto"/>
            <w:right w:val="none" w:sz="0" w:space="0" w:color="auto"/>
          </w:divBdr>
          <w:divsChild>
            <w:div w:id="893200512">
              <w:marLeft w:val="0"/>
              <w:marRight w:val="225"/>
              <w:marTop w:val="0"/>
              <w:marBottom w:val="0"/>
              <w:divBdr>
                <w:top w:val="none" w:sz="0" w:space="0" w:color="auto"/>
                <w:left w:val="none" w:sz="0" w:space="0" w:color="auto"/>
                <w:bottom w:val="none" w:sz="0" w:space="0" w:color="auto"/>
                <w:right w:val="none" w:sz="0" w:space="0" w:color="auto"/>
              </w:divBdr>
            </w:div>
          </w:divsChild>
        </w:div>
        <w:div w:id="1317805989">
          <w:marLeft w:val="0"/>
          <w:marRight w:val="0"/>
          <w:marTop w:val="0"/>
          <w:marBottom w:val="225"/>
          <w:divBdr>
            <w:top w:val="none" w:sz="0" w:space="0" w:color="auto"/>
            <w:left w:val="none" w:sz="0" w:space="0" w:color="auto"/>
            <w:bottom w:val="none" w:sz="0" w:space="0" w:color="auto"/>
            <w:right w:val="none" w:sz="0" w:space="0" w:color="auto"/>
          </w:divBdr>
          <w:divsChild>
            <w:div w:id="1753307614">
              <w:marLeft w:val="0"/>
              <w:marRight w:val="225"/>
              <w:marTop w:val="0"/>
              <w:marBottom w:val="0"/>
              <w:divBdr>
                <w:top w:val="none" w:sz="0" w:space="0" w:color="auto"/>
                <w:left w:val="none" w:sz="0" w:space="0" w:color="auto"/>
                <w:bottom w:val="none" w:sz="0" w:space="0" w:color="auto"/>
                <w:right w:val="none" w:sz="0" w:space="0" w:color="auto"/>
              </w:divBdr>
              <w:divsChild>
                <w:div w:id="616835622">
                  <w:marLeft w:val="0"/>
                  <w:marRight w:val="0"/>
                  <w:marTop w:val="0"/>
                  <w:marBottom w:val="0"/>
                  <w:divBdr>
                    <w:top w:val="none" w:sz="0" w:space="0" w:color="auto"/>
                    <w:left w:val="none" w:sz="0" w:space="0" w:color="auto"/>
                    <w:bottom w:val="none" w:sz="0" w:space="0" w:color="auto"/>
                    <w:right w:val="none" w:sz="0" w:space="0" w:color="auto"/>
                  </w:divBdr>
                  <w:divsChild>
                    <w:div w:id="799304493">
                      <w:marLeft w:val="0"/>
                      <w:marRight w:val="375"/>
                      <w:marTop w:val="0"/>
                      <w:marBottom w:val="0"/>
                      <w:divBdr>
                        <w:top w:val="none" w:sz="0" w:space="0" w:color="auto"/>
                        <w:left w:val="none" w:sz="0" w:space="0" w:color="auto"/>
                        <w:bottom w:val="none" w:sz="0" w:space="0" w:color="auto"/>
                        <w:right w:val="none" w:sz="0" w:space="0" w:color="auto"/>
                      </w:divBdr>
                      <w:divsChild>
                        <w:div w:id="608053378">
                          <w:marLeft w:val="0"/>
                          <w:marRight w:val="0"/>
                          <w:marTop w:val="0"/>
                          <w:marBottom w:val="0"/>
                          <w:divBdr>
                            <w:top w:val="none" w:sz="0" w:space="0" w:color="auto"/>
                            <w:left w:val="none" w:sz="0" w:space="0" w:color="auto"/>
                            <w:bottom w:val="none" w:sz="0" w:space="0" w:color="auto"/>
                            <w:right w:val="none" w:sz="0" w:space="0" w:color="auto"/>
                          </w:divBdr>
                        </w:div>
                        <w:div w:id="229074265">
                          <w:marLeft w:val="0"/>
                          <w:marRight w:val="0"/>
                          <w:marTop w:val="0"/>
                          <w:marBottom w:val="0"/>
                          <w:divBdr>
                            <w:top w:val="none" w:sz="0" w:space="0" w:color="auto"/>
                            <w:left w:val="none" w:sz="0" w:space="0" w:color="auto"/>
                            <w:bottom w:val="none" w:sz="0" w:space="0" w:color="auto"/>
                            <w:right w:val="none" w:sz="0" w:space="0" w:color="auto"/>
                          </w:divBdr>
                        </w:div>
                      </w:divsChild>
                    </w:div>
                    <w:div w:id="134682154">
                      <w:marLeft w:val="0"/>
                      <w:marRight w:val="375"/>
                      <w:marTop w:val="0"/>
                      <w:marBottom w:val="0"/>
                      <w:divBdr>
                        <w:top w:val="none" w:sz="0" w:space="0" w:color="auto"/>
                        <w:left w:val="none" w:sz="0" w:space="0" w:color="auto"/>
                        <w:bottom w:val="none" w:sz="0" w:space="0" w:color="auto"/>
                        <w:right w:val="none" w:sz="0" w:space="0" w:color="auto"/>
                      </w:divBdr>
                      <w:divsChild>
                        <w:div w:id="843587723">
                          <w:marLeft w:val="0"/>
                          <w:marRight w:val="0"/>
                          <w:marTop w:val="0"/>
                          <w:marBottom w:val="0"/>
                          <w:divBdr>
                            <w:top w:val="none" w:sz="0" w:space="0" w:color="auto"/>
                            <w:left w:val="none" w:sz="0" w:space="0" w:color="auto"/>
                            <w:bottom w:val="none" w:sz="0" w:space="0" w:color="auto"/>
                            <w:right w:val="none" w:sz="0" w:space="0" w:color="auto"/>
                          </w:divBdr>
                        </w:div>
                        <w:div w:id="14114546">
                          <w:marLeft w:val="0"/>
                          <w:marRight w:val="0"/>
                          <w:marTop w:val="0"/>
                          <w:marBottom w:val="0"/>
                          <w:divBdr>
                            <w:top w:val="none" w:sz="0" w:space="0" w:color="auto"/>
                            <w:left w:val="none" w:sz="0" w:space="0" w:color="auto"/>
                            <w:bottom w:val="none" w:sz="0" w:space="0" w:color="auto"/>
                            <w:right w:val="none" w:sz="0" w:space="0" w:color="auto"/>
                          </w:divBdr>
                        </w:div>
                      </w:divsChild>
                    </w:div>
                    <w:div w:id="1728531759">
                      <w:marLeft w:val="0"/>
                      <w:marRight w:val="375"/>
                      <w:marTop w:val="0"/>
                      <w:marBottom w:val="0"/>
                      <w:divBdr>
                        <w:top w:val="none" w:sz="0" w:space="0" w:color="auto"/>
                        <w:left w:val="none" w:sz="0" w:space="0" w:color="auto"/>
                        <w:bottom w:val="none" w:sz="0" w:space="0" w:color="auto"/>
                        <w:right w:val="none" w:sz="0" w:space="0" w:color="auto"/>
                      </w:divBdr>
                      <w:divsChild>
                        <w:div w:id="1397557890">
                          <w:marLeft w:val="0"/>
                          <w:marRight w:val="0"/>
                          <w:marTop w:val="0"/>
                          <w:marBottom w:val="0"/>
                          <w:divBdr>
                            <w:top w:val="none" w:sz="0" w:space="0" w:color="auto"/>
                            <w:left w:val="none" w:sz="0" w:space="0" w:color="auto"/>
                            <w:bottom w:val="none" w:sz="0" w:space="0" w:color="auto"/>
                            <w:right w:val="none" w:sz="0" w:space="0" w:color="auto"/>
                          </w:divBdr>
                        </w:div>
                        <w:div w:id="484205421">
                          <w:marLeft w:val="0"/>
                          <w:marRight w:val="0"/>
                          <w:marTop w:val="0"/>
                          <w:marBottom w:val="0"/>
                          <w:divBdr>
                            <w:top w:val="none" w:sz="0" w:space="0" w:color="auto"/>
                            <w:left w:val="none" w:sz="0" w:space="0" w:color="auto"/>
                            <w:bottom w:val="none" w:sz="0" w:space="0" w:color="auto"/>
                            <w:right w:val="none" w:sz="0" w:space="0" w:color="auto"/>
                          </w:divBdr>
                        </w:div>
                      </w:divsChild>
                    </w:div>
                    <w:div w:id="596908582">
                      <w:marLeft w:val="0"/>
                      <w:marRight w:val="0"/>
                      <w:marTop w:val="0"/>
                      <w:marBottom w:val="0"/>
                      <w:divBdr>
                        <w:top w:val="none" w:sz="0" w:space="0" w:color="auto"/>
                        <w:left w:val="none" w:sz="0" w:space="0" w:color="auto"/>
                        <w:bottom w:val="none" w:sz="0" w:space="0" w:color="auto"/>
                        <w:right w:val="none" w:sz="0" w:space="0" w:color="auto"/>
                      </w:divBdr>
                      <w:divsChild>
                        <w:div w:id="786050849">
                          <w:marLeft w:val="0"/>
                          <w:marRight w:val="0"/>
                          <w:marTop w:val="0"/>
                          <w:marBottom w:val="0"/>
                          <w:divBdr>
                            <w:top w:val="none" w:sz="0" w:space="0" w:color="auto"/>
                            <w:left w:val="none" w:sz="0" w:space="0" w:color="auto"/>
                            <w:bottom w:val="none" w:sz="0" w:space="0" w:color="auto"/>
                            <w:right w:val="none" w:sz="0" w:space="0" w:color="auto"/>
                          </w:divBdr>
                        </w:div>
                        <w:div w:id="6768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0804">
                  <w:marLeft w:val="0"/>
                  <w:marRight w:val="0"/>
                  <w:marTop w:val="0"/>
                  <w:marBottom w:val="0"/>
                  <w:divBdr>
                    <w:top w:val="none" w:sz="0" w:space="0" w:color="auto"/>
                    <w:left w:val="none" w:sz="0" w:space="0" w:color="auto"/>
                    <w:bottom w:val="none" w:sz="0" w:space="0" w:color="auto"/>
                    <w:right w:val="none" w:sz="0" w:space="0" w:color="auto"/>
                  </w:divBdr>
                  <w:divsChild>
                    <w:div w:id="429813146">
                      <w:marLeft w:val="0"/>
                      <w:marRight w:val="0"/>
                      <w:marTop w:val="0"/>
                      <w:marBottom w:val="150"/>
                      <w:divBdr>
                        <w:top w:val="none" w:sz="0" w:space="0" w:color="auto"/>
                        <w:left w:val="none" w:sz="0" w:space="0" w:color="auto"/>
                        <w:bottom w:val="none" w:sz="0" w:space="0" w:color="auto"/>
                        <w:right w:val="none" w:sz="0" w:space="0" w:color="auto"/>
                      </w:divBdr>
                    </w:div>
                    <w:div w:id="15418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17/7/pdf/00318673.pdf" TargetMode="External"/><Relationship Id="rId13" Type="http://schemas.openxmlformats.org/officeDocument/2006/relationships/hyperlink" Target="http://www1.tce.pr.gov.br/conteudo/boletim-informativo-de-jurisprudencia/280400/area/24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ce.pr.gov.br/conteudo/pesquisas-prontas/308475/area/24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1.tce.pr.gov.br/conteudo/sumulas-selecionadas/316602/area/2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2.stj.jus.br/websecstj/cgi/revista/REJ.cgi/ITA?seq=1902747&amp;tipo=0&amp;nreg=201001896310&amp;SeqCgrmaSessao=&amp;CodOrgaoJgdr=&amp;dt=20191219&amp;formato=PDF&amp;salvar=false" TargetMode="External"/><Relationship Id="rId5" Type="http://schemas.openxmlformats.org/officeDocument/2006/relationships/webSettings" Target="webSettings.xml"/><Relationship Id="rId15" Type="http://schemas.openxmlformats.org/officeDocument/2006/relationships/hyperlink" Target="http://www1.tce.pr.gov.br/conteudo/repercussao-geral-no-stf-e-os-tribunais-de-contas/307026/area/249" TargetMode="External"/><Relationship Id="rId10" Type="http://schemas.openxmlformats.org/officeDocument/2006/relationships/hyperlink" Target="https://jurisprudencia.trf4.jus.br/pesquisa/inteiro_teor.php?orgao=1&amp;numero_gproc=40001489551&amp;versao_gproc=3&amp;crc_gproc=8f7f51d0&amp;termosPesquisados=IGFkbWluaXN0cmF0aXZvLiBhY2FvIGRlbW9saXRvcmlhLiBkbml0LiByb2RvdmlhIGZlZGVyYWw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ntas.tcu.gov.br/sagas/SvlVisualizarRelVotoAcRtf?codFiltro=SAGAS-SESSAO-ENCERRADA&amp;seOcultaPagina=S&amp;item0=584899" TargetMode="External"/><Relationship Id="rId14" Type="http://schemas.openxmlformats.org/officeDocument/2006/relationships/hyperlink" Target="http://www1.tce.pr.gov.br/conteudo/boletim-de-jurisprudencia-internacional/316601/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33D1B-F68D-4BDF-BDFD-329358FA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2420</Words>
  <Characters>13073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Guilherme Hansen Faraj</dc:creator>
  <cp:lastModifiedBy>Mateus Aparecido Tonin Neves</cp:lastModifiedBy>
  <cp:revision>4</cp:revision>
  <cp:lastPrinted>2020-02-27T16:13:00Z</cp:lastPrinted>
  <dcterms:created xsi:type="dcterms:W3CDTF">2020-02-27T15:50:00Z</dcterms:created>
  <dcterms:modified xsi:type="dcterms:W3CDTF">2020-02-27T16:16:00Z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ies>
</file>