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EF" w:rsidRPr="0022060B" w:rsidRDefault="002675EF" w:rsidP="002675EF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TESES AMBIENTAIS</w:t>
      </w:r>
      <w:r w:rsidRPr="0022060B">
        <w:rPr>
          <w:rFonts w:ascii="Arial" w:hAnsi="Arial" w:cs="Arial"/>
          <w:sz w:val="20"/>
          <w:szCs w:val="20"/>
        </w:rPr>
        <w:t xml:space="preserve"> </w:t>
      </w:r>
    </w:p>
    <w:p w:rsidR="002675EF" w:rsidRDefault="002675EF" w:rsidP="002675E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E6288" w:rsidRDefault="006E6288" w:rsidP="006E6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Número 02 </w:t>
      </w:r>
    </w:p>
    <w:p w:rsidR="00A9030C" w:rsidRDefault="00A9030C" w:rsidP="006E6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Boletim</w:t>
      </w:r>
      <w:r w:rsidR="002675EF">
        <w:rPr>
          <w:rFonts w:ascii="Arial" w:hAnsi="Arial" w:cs="Arial"/>
          <w:sz w:val="20"/>
          <w:szCs w:val="20"/>
        </w:rPr>
        <w:t xml:space="preserve"> de periodicidade bimestral</w:t>
      </w:r>
      <w:r>
        <w:rPr>
          <w:rFonts w:ascii="Arial" w:hAnsi="Arial" w:cs="Arial"/>
          <w:sz w:val="20"/>
          <w:szCs w:val="20"/>
        </w:rPr>
        <w:t xml:space="preserve"> contém informações sintéticas das teses fixadas em Direito Ambiental proferidas pelo Supremo Tribunal Federal - STF, Superior Tribunal de Justiça - STJ, Tribunal de Contas da União - TCU e do Tribunal de Contas do Paraná - TCE/PR</w:t>
      </w:r>
      <w:r w:rsidR="00A35DD1">
        <w:rPr>
          <w:rFonts w:ascii="Arial" w:hAnsi="Arial" w:cs="Arial"/>
          <w:sz w:val="20"/>
          <w:szCs w:val="20"/>
        </w:rPr>
        <w:t xml:space="preserve">, bem como de outros Tribunais de Contas Estaduais e Municipais </w:t>
      </w:r>
      <w:r>
        <w:rPr>
          <w:rFonts w:ascii="Arial" w:hAnsi="Arial" w:cs="Arial"/>
          <w:sz w:val="20"/>
          <w:szCs w:val="20"/>
        </w:rPr>
        <w:t>sobre temas relacionados ao controle externo evidenciando sobretudo o vetor axiológico da sustentabilidade.</w:t>
      </w: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E6288" w:rsidRDefault="006E6288" w:rsidP="006E6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seleção das decisões leva em consideração os aspectos de gestão ambiental eficiente, transparente e propositiva.  </w:t>
      </w: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objetivo é </w:t>
      </w:r>
      <w:r w:rsidR="00A9030C">
        <w:rPr>
          <w:rFonts w:ascii="Arial" w:hAnsi="Arial" w:cs="Arial"/>
          <w:sz w:val="20"/>
          <w:szCs w:val="20"/>
        </w:rPr>
        <w:t xml:space="preserve">divulgar </w:t>
      </w:r>
      <w:r>
        <w:rPr>
          <w:rFonts w:ascii="Arial" w:hAnsi="Arial" w:cs="Arial"/>
          <w:sz w:val="20"/>
          <w:szCs w:val="20"/>
        </w:rPr>
        <w:t xml:space="preserve">os grandes temas e institutos da legislação ambiental  para cumprir o </w:t>
      </w:r>
      <w:r>
        <w:rPr>
          <w:rFonts w:ascii="Arial" w:hAnsi="Arial" w:cs="Arial"/>
          <w:i/>
          <w:sz w:val="20"/>
          <w:szCs w:val="20"/>
        </w:rPr>
        <w:t>eixo verde</w:t>
      </w:r>
      <w:r>
        <w:rPr>
          <w:rFonts w:ascii="Arial" w:hAnsi="Arial" w:cs="Arial"/>
          <w:sz w:val="20"/>
          <w:szCs w:val="20"/>
        </w:rPr>
        <w:t xml:space="preserve"> do texto constitucional de 1988, que dispõe em seu art. 225, que </w:t>
      </w:r>
      <w:r w:rsidRPr="00E07227">
        <w:rPr>
          <w:rFonts w:ascii="Arial" w:hAnsi="Arial" w:cs="Arial"/>
          <w:i/>
          <w:sz w:val="20"/>
          <w:szCs w:val="20"/>
        </w:rPr>
        <w:t>“t</w:t>
      </w:r>
      <w:r w:rsidRPr="00E0722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odos têm direito ao meio ambiente ecologicamente equilibrado, bem de uso comum do povo e essencial à sadia qualidade de vida, impondo-se ao poder público e à coletividade o dever de defendê-lo e preservá-lo para as presentes e futuras gerações”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de modo a promover a conscientização pública para a preservação do meio ambiente.</w:t>
      </w: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aprofundamento, o leitor pode acessar o inteiro teor das deliberações por meio dos links disponíveis.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:rsidR="006E6288" w:rsidRDefault="006E6288" w:rsidP="006E62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9DEB3" wp14:editId="579163A6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22060B" w:rsidRDefault="00AE4F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</w:t>
      </w:r>
      <w:r w:rsidR="00221D15" w:rsidRPr="0022060B">
        <w:rPr>
          <w:rFonts w:ascii="Arial" w:hAnsi="Arial" w:cs="Arial"/>
          <w:b/>
          <w:sz w:val="20"/>
          <w:szCs w:val="20"/>
        </w:rPr>
        <w:t>U</w:t>
      </w:r>
      <w:r w:rsidRPr="0022060B">
        <w:rPr>
          <w:rFonts w:ascii="Arial" w:hAnsi="Arial" w:cs="Arial"/>
          <w:b/>
          <w:sz w:val="20"/>
          <w:szCs w:val="20"/>
        </w:rPr>
        <w:t>MÁRIO</w:t>
      </w:r>
    </w:p>
    <w:p w:rsidR="004429A2" w:rsidRDefault="004429A2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0406C8" w:rsidRDefault="000406C8" w:rsidP="000406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06C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1. </w:t>
      </w:r>
      <w:r w:rsidRPr="000406C8">
        <w:rPr>
          <w:rFonts w:ascii="Arial" w:hAnsi="Arial" w:cs="Arial"/>
          <w:sz w:val="20"/>
          <w:szCs w:val="20"/>
        </w:rPr>
        <w:t>Recurso de Revista. Concorrência. Serviços ambientais. Contratação para elaboração de plano da bacia hidrográfica. Alegada ausência de resposta à impugnação ao edital. Alegada inclusão de cláusulas restritivas e desnecessárias ao edital. Atribuição de pontuação por qualificação acadêmica (Mestrado e Doutorado). Inexistência de irregularidade. Conhecimento e, no mérito, parcial provimento.</w:t>
      </w:r>
    </w:p>
    <w:p w:rsidR="000406C8" w:rsidRDefault="000406C8" w:rsidP="000406C8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:rsidR="000406C8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0406C8">
        <w:rPr>
          <w:rFonts w:ascii="Arial" w:hAnsi="Arial" w:cs="Arial"/>
          <w:sz w:val="20"/>
          <w:szCs w:val="20"/>
        </w:rPr>
        <w:t>2. Projeto básico. Compensação ambiental. Estudo de impacto ambiental. Obrigatoriedade.</w:t>
      </w:r>
    </w:p>
    <w:p w:rsidR="000406C8" w:rsidRPr="000406C8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0406C8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0406C8">
        <w:rPr>
          <w:rFonts w:ascii="Arial" w:hAnsi="Arial" w:cs="Arial"/>
          <w:sz w:val="20"/>
          <w:szCs w:val="20"/>
        </w:rPr>
        <w:t>3. Licitação. Obras e serviços de engenharia. Viabilidade técnica. Estudo de impacto ambiental. Estudo técnico preliminar.</w:t>
      </w:r>
    </w:p>
    <w:p w:rsidR="00FA7025" w:rsidRPr="00457729" w:rsidRDefault="00FA7025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457729">
        <w:rPr>
          <w:rFonts w:ascii="Arial" w:hAnsi="Arial" w:cs="Arial"/>
          <w:sz w:val="20"/>
          <w:szCs w:val="20"/>
        </w:rPr>
        <w:t xml:space="preserve"> </w:t>
      </w:r>
    </w:p>
    <w:p w:rsidR="00457729" w:rsidRPr="00457729" w:rsidRDefault="00FA7025" w:rsidP="00457729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457729">
        <w:rPr>
          <w:rFonts w:ascii="Arial" w:hAnsi="Arial" w:cs="Arial"/>
          <w:sz w:val="20"/>
          <w:szCs w:val="20"/>
        </w:rPr>
        <w:t xml:space="preserve">4. </w:t>
      </w:r>
      <w:r w:rsidR="00457729" w:rsidRPr="00457729">
        <w:rPr>
          <w:rFonts w:ascii="Arial" w:hAnsi="Arial" w:cs="Arial"/>
          <w:sz w:val="20"/>
          <w:szCs w:val="20"/>
        </w:rPr>
        <w:t>Relatório de auditoria operacional. Secretaria de Estado de Meio Ambiente, Recursos Hídricos, Infraestrutura, Cidades e Assuntos Metropolitanos - SECIMA. Achados. Recomendação com prazo de 60 dias para adoção das medidas ou ações alternativas.</w:t>
      </w:r>
    </w:p>
    <w:p w:rsidR="00457729" w:rsidRPr="00457729" w:rsidRDefault="00457729" w:rsidP="00457729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FA7025" w:rsidRDefault="00FA7025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E76875" w:rsidRDefault="00E76875" w:rsidP="00E768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76875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 xml:space="preserve">5. Unidades de conservação. Medida provisória e retrocesso socioambiental. Impossibilidade. Redução ou a supressão de espaços protegidos. </w:t>
      </w:r>
    </w:p>
    <w:p w:rsidR="00FC3F89" w:rsidRDefault="00FC3F89" w:rsidP="00FC3F8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6. </w:t>
      </w:r>
      <w:r w:rsidRPr="00FC3F89">
        <w:rPr>
          <w:rFonts w:ascii="Arial" w:hAnsi="Arial" w:cs="Arial"/>
          <w:sz w:val="20"/>
          <w:szCs w:val="20"/>
        </w:rPr>
        <w:t>Administrativo. Regime jurídico das águas subterrâneas e aquíferos. Competência ambiental. Fornecimento de água. Fonte alternativa. Poço artesiano. Art. 45 da lei 11.445/2007. Conexão à rede pública. Pagamento de tarifa. Art. 12, II, da lei 9.433/1997. Crise hídrica e mudanças climáticas.</w:t>
      </w:r>
    </w:p>
    <w:p w:rsidR="00457729" w:rsidRDefault="00457729" w:rsidP="00FC3F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26B8F" w:rsidRPr="0022060B" w:rsidRDefault="00926B8F" w:rsidP="00926B8F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ESTADO DO PARANÁ </w:t>
      </w:r>
    </w:p>
    <w:p w:rsidR="00A9030C" w:rsidRDefault="00A9030C" w:rsidP="00A9030C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B75476" w:rsidRPr="001E29B2" w:rsidRDefault="00B75476" w:rsidP="006A4F67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 w:rsidRPr="001E29B2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1. </w:t>
      </w:r>
      <w:r w:rsidRPr="001E29B2">
        <w:rPr>
          <w:rFonts w:ascii="Arial" w:hAnsi="Arial" w:cs="Arial"/>
          <w:b/>
          <w:sz w:val="20"/>
          <w:szCs w:val="20"/>
        </w:rPr>
        <w:t>Recurso de Revista.</w:t>
      </w:r>
      <w:r w:rsidR="001E29B2">
        <w:rPr>
          <w:rFonts w:ascii="Arial" w:hAnsi="Arial" w:cs="Arial"/>
          <w:b/>
          <w:sz w:val="20"/>
          <w:szCs w:val="20"/>
        </w:rPr>
        <w:t xml:space="preserve"> </w:t>
      </w:r>
      <w:r w:rsidRPr="001E29B2">
        <w:rPr>
          <w:rFonts w:ascii="Arial" w:hAnsi="Arial" w:cs="Arial"/>
          <w:b/>
          <w:sz w:val="20"/>
          <w:szCs w:val="20"/>
        </w:rPr>
        <w:t>Concorrência. Serviços ambientais. Contratação para elaboração de plano da bacia hidrográfica. Alegada ausência de resposta à impugnação ao edital. Alegada inclusão de cláusulas restritivas e desnecessárias ao edital. Atribuição de pontuação por qualificação acadêmica (Mestrado e Doutorado). Inexistência de irregularidade. Conhecimento e, no mérito, parcial provimento.</w:t>
      </w:r>
    </w:p>
    <w:p w:rsidR="00926B8F" w:rsidRDefault="00926B8F" w:rsidP="006A4F67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9E2122" w:rsidRDefault="00993E14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E2122">
        <w:rPr>
          <w:rFonts w:ascii="Arial" w:hAnsi="Arial" w:cs="Arial"/>
          <w:sz w:val="20"/>
          <w:szCs w:val="20"/>
        </w:rPr>
        <w:t>C</w:t>
      </w:r>
      <w:r w:rsidR="009E2122" w:rsidRPr="009E2122">
        <w:rPr>
          <w:rFonts w:ascii="Arial" w:hAnsi="Arial" w:cs="Arial"/>
          <w:sz w:val="20"/>
          <w:szCs w:val="20"/>
        </w:rPr>
        <w:t>onclui-se que a</w:t>
      </w:r>
      <w:r w:rsidR="009E2122">
        <w:rPr>
          <w:rFonts w:ascii="Arial" w:hAnsi="Arial" w:cs="Arial"/>
          <w:sz w:val="20"/>
          <w:szCs w:val="20"/>
        </w:rPr>
        <w:t xml:space="preserve"> </w:t>
      </w:r>
      <w:r w:rsidR="009E2122" w:rsidRPr="009E2122">
        <w:rPr>
          <w:rFonts w:ascii="Arial" w:hAnsi="Arial" w:cs="Arial"/>
          <w:sz w:val="20"/>
          <w:szCs w:val="20"/>
        </w:rPr>
        <w:t>exigência de mestrado e/ou doutorado para o Consultor da Equipe Técnica Chave</w:t>
      </w:r>
      <w:r w:rsidR="009E2122">
        <w:rPr>
          <w:rFonts w:ascii="Arial" w:hAnsi="Arial" w:cs="Arial"/>
          <w:sz w:val="20"/>
          <w:szCs w:val="20"/>
        </w:rPr>
        <w:t xml:space="preserve"> </w:t>
      </w:r>
      <w:r w:rsidR="009E2122" w:rsidRPr="009E2122">
        <w:rPr>
          <w:rFonts w:ascii="Arial" w:hAnsi="Arial" w:cs="Arial"/>
          <w:sz w:val="20"/>
          <w:szCs w:val="20"/>
        </w:rPr>
        <w:t>não representava uma condição restritiva à concorrência de empresas com</w:t>
      </w:r>
      <w:r w:rsidR="009E2122">
        <w:rPr>
          <w:rFonts w:ascii="Arial" w:hAnsi="Arial" w:cs="Arial"/>
          <w:sz w:val="20"/>
          <w:szCs w:val="20"/>
        </w:rPr>
        <w:t xml:space="preserve"> </w:t>
      </w:r>
      <w:r w:rsidR="009E2122" w:rsidRPr="009E2122">
        <w:rPr>
          <w:rFonts w:ascii="Arial" w:hAnsi="Arial" w:cs="Arial"/>
          <w:sz w:val="20"/>
          <w:szCs w:val="20"/>
        </w:rPr>
        <w:t>consultores que não dispunham desta qualificação, mas tão somente um critério de</w:t>
      </w:r>
      <w:r w:rsidR="009E2122">
        <w:rPr>
          <w:rFonts w:ascii="Arial" w:hAnsi="Arial" w:cs="Arial"/>
          <w:sz w:val="20"/>
          <w:szCs w:val="20"/>
        </w:rPr>
        <w:t xml:space="preserve"> </w:t>
      </w:r>
      <w:r w:rsidR="009E2122" w:rsidRPr="009E2122">
        <w:rPr>
          <w:rFonts w:ascii="Arial" w:hAnsi="Arial" w:cs="Arial"/>
          <w:sz w:val="20"/>
          <w:szCs w:val="20"/>
        </w:rPr>
        <w:t>pontuação.</w:t>
      </w:r>
    </w:p>
    <w:p w:rsidR="00993E14" w:rsidRPr="009E2122" w:rsidRDefault="00993E14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E2122" w:rsidRDefault="009E2122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E2122">
        <w:rPr>
          <w:rFonts w:ascii="Arial" w:hAnsi="Arial" w:cs="Arial"/>
          <w:sz w:val="20"/>
          <w:szCs w:val="20"/>
        </w:rPr>
        <w:t xml:space="preserve">Assim ao </w:t>
      </w:r>
      <w:r w:rsidR="00993E14">
        <w:rPr>
          <w:rFonts w:ascii="Arial" w:hAnsi="Arial" w:cs="Arial"/>
          <w:sz w:val="20"/>
          <w:szCs w:val="20"/>
        </w:rPr>
        <w:t xml:space="preserve">se </w:t>
      </w:r>
      <w:r w:rsidRPr="009E2122">
        <w:rPr>
          <w:rFonts w:ascii="Arial" w:hAnsi="Arial" w:cs="Arial"/>
          <w:sz w:val="20"/>
          <w:szCs w:val="20"/>
        </w:rPr>
        <w:t>especificar e detalhar a avaliação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da exigência prevista</w:t>
      </w:r>
      <w:r w:rsidR="00993E14">
        <w:rPr>
          <w:rFonts w:ascii="Arial" w:hAnsi="Arial" w:cs="Arial"/>
          <w:sz w:val="20"/>
          <w:szCs w:val="20"/>
        </w:rPr>
        <w:t>,</w:t>
      </w:r>
      <w:r w:rsidRPr="009E2122">
        <w:rPr>
          <w:rFonts w:ascii="Arial" w:hAnsi="Arial" w:cs="Arial"/>
          <w:sz w:val="20"/>
          <w:szCs w:val="20"/>
        </w:rPr>
        <w:t xml:space="preserve"> </w:t>
      </w:r>
      <w:r w:rsidR="00993E14">
        <w:rPr>
          <w:rFonts w:ascii="Arial" w:hAnsi="Arial" w:cs="Arial"/>
          <w:sz w:val="20"/>
          <w:szCs w:val="20"/>
        </w:rPr>
        <w:t>se</w:t>
      </w:r>
      <w:r w:rsidRPr="009E2122">
        <w:rPr>
          <w:rFonts w:ascii="Arial" w:hAnsi="Arial" w:cs="Arial"/>
          <w:sz w:val="20"/>
          <w:szCs w:val="20"/>
        </w:rPr>
        <w:t xml:space="preserve"> estabelece tão somente que a Qualificação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Acadêmica (Mestrado ou Doutorado) do membro “Consultor especialista em Gestão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de Recursos Hídricos” seria pontuado com até 2,5 pontos, sendo que outros 7,5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pontos seriam atribuídos pela Experiência Profissional, perfazendo um total máximo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de 10 pontos.</w:t>
      </w:r>
    </w:p>
    <w:p w:rsidR="00457729" w:rsidRPr="009E2122" w:rsidRDefault="00457729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E2122" w:rsidRPr="009E2122" w:rsidRDefault="009E2122" w:rsidP="006A4F67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 w:rsidRPr="009E2122">
        <w:rPr>
          <w:rFonts w:ascii="Arial" w:hAnsi="Arial" w:cs="Arial"/>
          <w:sz w:val="20"/>
          <w:szCs w:val="20"/>
        </w:rPr>
        <w:t>Portanto, a interpretação conjugada dos itens do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edital denota claramente que uma empresa licitante cujo Consultor não possuísse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Mestrado ou Doutorado simplesmente não obteria os 2,5 pontos previstos a título de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qualificação acadêmica, valendo destacar que esta decisão caberia à própria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licitante, uma vez que a pontuação referente à experiência profissional era muito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maior (de 7,5 pontos).</w:t>
      </w:r>
    </w:p>
    <w:p w:rsidR="001E29B2" w:rsidRDefault="001E29B2" w:rsidP="006A4F67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9E2122" w:rsidRDefault="009E2122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E2122">
        <w:rPr>
          <w:rFonts w:ascii="Arial" w:hAnsi="Arial" w:cs="Arial"/>
          <w:color w:val="000000"/>
          <w:sz w:val="20"/>
          <w:szCs w:val="20"/>
        </w:rPr>
        <w:t>Nesse contexto, não há que se falar que a previsão de qualificação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acadêmica configure cláusula desnecessária, uma vez que pertinente 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especialidade do serviço a ser prestado (serviço de elaboração de plano de bacia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hidrográfica) e considerada num conjunto de critérios técnicos voltados à escolha 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licitante mais apta à execução do serviço.</w:t>
      </w:r>
    </w:p>
    <w:p w:rsidR="00200161" w:rsidRPr="009E2122" w:rsidRDefault="0020016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E2122" w:rsidRDefault="009E2122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E2122">
        <w:rPr>
          <w:rFonts w:ascii="Arial" w:hAnsi="Arial" w:cs="Arial"/>
          <w:color w:val="000000"/>
          <w:sz w:val="20"/>
          <w:szCs w:val="20"/>
        </w:rPr>
        <w:t>Ademais, conforme bem colocado pelo recorrente, o presente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certame não exigia que o Consultor da Equipe Técnica Chave fosse funcionário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permanente da empresa, de modo que, na esteira da jurisprudência dos Tribunais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de Contas, a comprovação do requisito para fins de pontuação poderia se dar através 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apresentação de simples contrato de prestação de serviço com Consultor que possuísse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122">
        <w:rPr>
          <w:rFonts w:ascii="Arial" w:hAnsi="Arial" w:cs="Arial"/>
          <w:color w:val="000000"/>
          <w:sz w:val="20"/>
          <w:szCs w:val="20"/>
        </w:rPr>
        <w:t>esta qualificação acadêmica.</w:t>
      </w:r>
    </w:p>
    <w:p w:rsidR="009E2122" w:rsidRDefault="009E2122" w:rsidP="006A4F67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9E2122" w:rsidRDefault="009E2122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E2122">
        <w:rPr>
          <w:rFonts w:ascii="Arial" w:hAnsi="Arial" w:cs="Arial"/>
          <w:sz w:val="20"/>
          <w:szCs w:val="20"/>
        </w:rPr>
        <w:lastRenderedPageBreak/>
        <w:t>Portanto, a alegação hipotética de abusividade ou</w:t>
      </w:r>
      <w:r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desproporcionalidade dos itens não procede, uma vez que, mesmo na prática, o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requisito poderia ser atendido e não resultou em qualquer restrição indevida à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competitividade ou à isonomia entre os licitantes, valendo novamente frisar que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nenhum licitante foi prejudicado por este requisito.</w:t>
      </w:r>
      <w:r w:rsidR="00F65F82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Por consequência, também deve ser refutado o entendimento do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Acórdão recorrido de que a qualificação acadêmica de mestrado ou doutorado não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poderia ser considerado como requisito técnico para a consecução dos serviços de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elaboração do Plano de Bacia Hidrográfica Litorânea por não haver previsão em lei.</w:t>
      </w:r>
    </w:p>
    <w:p w:rsidR="004E485E" w:rsidRDefault="004E485E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0610A" w:rsidRDefault="009E2122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E2122">
        <w:rPr>
          <w:rFonts w:ascii="Arial" w:hAnsi="Arial" w:cs="Arial"/>
          <w:sz w:val="20"/>
          <w:szCs w:val="20"/>
        </w:rPr>
        <w:t>A este respeito, merece ser reprisada a justificativa apresentada pelo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do Instituto de Águas do Paraná em sua manifestação preliminar, na qual revela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perplexidade quanto ao questionamento da representante, uma vez que a atribuição</w:t>
      </w:r>
      <w:r w:rsidR="0080610A">
        <w:rPr>
          <w:rFonts w:ascii="Arial" w:hAnsi="Arial" w:cs="Arial"/>
          <w:sz w:val="20"/>
          <w:szCs w:val="20"/>
        </w:rPr>
        <w:t xml:space="preserve"> </w:t>
      </w:r>
      <w:r w:rsidRPr="009E2122">
        <w:rPr>
          <w:rFonts w:ascii="Arial" w:hAnsi="Arial" w:cs="Arial"/>
          <w:sz w:val="20"/>
          <w:szCs w:val="20"/>
        </w:rPr>
        <w:t>de pontuação pela qualificação acadêmica seria comum no setor ambiental</w:t>
      </w:r>
      <w:r w:rsidR="002658B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58BC" w:rsidRPr="002658BC">
        <w:rPr>
          <w:rFonts w:ascii="Arial" w:hAnsi="Arial" w:cs="Arial"/>
          <w:i/>
          <w:sz w:val="20"/>
          <w:szCs w:val="20"/>
        </w:rPr>
        <w:t>v</w:t>
      </w:r>
      <w:r w:rsidRPr="002658BC">
        <w:rPr>
          <w:rFonts w:ascii="Arial" w:hAnsi="Arial" w:cs="Arial"/>
          <w:i/>
          <w:iCs/>
          <w:sz w:val="20"/>
          <w:szCs w:val="20"/>
        </w:rPr>
        <w:t>erbis</w:t>
      </w:r>
      <w:proofErr w:type="spellEnd"/>
      <w:r w:rsidRPr="009E2122">
        <w:rPr>
          <w:rFonts w:ascii="Arial" w:hAnsi="Arial" w:cs="Arial"/>
          <w:sz w:val="20"/>
          <w:szCs w:val="20"/>
        </w:rPr>
        <w:t>:</w:t>
      </w:r>
      <w:r w:rsidR="00200161">
        <w:rPr>
          <w:rFonts w:ascii="Arial" w:hAnsi="Arial" w:cs="Arial"/>
          <w:sz w:val="20"/>
          <w:szCs w:val="20"/>
        </w:rPr>
        <w:t xml:space="preserve"> </w:t>
      </w:r>
      <w:r w:rsidR="00200161" w:rsidRPr="00200161">
        <w:rPr>
          <w:rFonts w:ascii="Arial" w:hAnsi="Arial" w:cs="Arial"/>
          <w:i/>
          <w:sz w:val="20"/>
          <w:szCs w:val="20"/>
        </w:rPr>
        <w:t>“e</w:t>
      </w:r>
      <w:r w:rsidR="0080610A" w:rsidRPr="00200161">
        <w:rPr>
          <w:rFonts w:ascii="Arial" w:hAnsi="Arial" w:cs="Arial"/>
          <w:i/>
          <w:sz w:val="20"/>
          <w:szCs w:val="20"/>
        </w:rPr>
        <w:t>stranha-se a argumentação da empresa, visto que é prática corriqueira solicitar a qualificação acadêmica para tais tipos de estudos: a Agência Nacional de Águas faz tais exigências, assim como órgãos gestores de outros estados da federação. O AGUASPARANÁ sempre faz tais exigências em suas concorrências destinadas à execução de Planos de Bacia. Cabe lembrar também que todas as outras empresas que acessaram o Edital não solicitaram impugnação ou revisão do mesmo, talvez por estarem familiarizadas com esse tipo de</w:t>
      </w:r>
      <w:r w:rsidR="006E4F71" w:rsidRPr="00200161">
        <w:rPr>
          <w:rFonts w:ascii="Arial" w:hAnsi="Arial" w:cs="Arial"/>
          <w:i/>
          <w:sz w:val="20"/>
          <w:szCs w:val="20"/>
        </w:rPr>
        <w:t xml:space="preserve"> </w:t>
      </w:r>
      <w:r w:rsidR="0080610A" w:rsidRPr="00200161">
        <w:rPr>
          <w:rFonts w:ascii="Arial" w:hAnsi="Arial" w:cs="Arial"/>
          <w:i/>
          <w:sz w:val="20"/>
          <w:szCs w:val="20"/>
        </w:rPr>
        <w:t>exigência feita a nível nacional</w:t>
      </w:r>
      <w:r w:rsidR="00200161" w:rsidRPr="00200161">
        <w:rPr>
          <w:rFonts w:ascii="Arial" w:hAnsi="Arial" w:cs="Arial"/>
          <w:i/>
          <w:sz w:val="20"/>
          <w:szCs w:val="20"/>
        </w:rPr>
        <w:t>”</w:t>
      </w:r>
      <w:r w:rsidR="0080610A" w:rsidRPr="00200161">
        <w:rPr>
          <w:rFonts w:ascii="Arial" w:hAnsi="Arial" w:cs="Arial"/>
          <w:i/>
          <w:sz w:val="20"/>
          <w:szCs w:val="20"/>
        </w:rPr>
        <w:t>.</w:t>
      </w: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E4F71">
        <w:rPr>
          <w:rFonts w:ascii="Arial" w:hAnsi="Arial" w:cs="Arial"/>
          <w:sz w:val="20"/>
          <w:szCs w:val="20"/>
        </w:rPr>
        <w:t>De fato, da análise de editais de licitação para a contratação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elaboração de estudos e planos no setor ambiental</w:t>
      </w:r>
      <w:r w:rsidR="00B12C08">
        <w:rPr>
          <w:rFonts w:ascii="Arial" w:hAnsi="Arial" w:cs="Arial"/>
          <w:sz w:val="20"/>
          <w:szCs w:val="20"/>
        </w:rPr>
        <w:t>,</w:t>
      </w:r>
      <w:r w:rsidRPr="006E4F71">
        <w:rPr>
          <w:rFonts w:ascii="Arial" w:hAnsi="Arial" w:cs="Arial"/>
          <w:sz w:val="20"/>
          <w:szCs w:val="20"/>
        </w:rPr>
        <w:t xml:space="preserve"> verifica-se que o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estabelecimento</w:t>
      </w:r>
      <w:r w:rsidR="00200161">
        <w:rPr>
          <w:rFonts w:ascii="Arial" w:hAnsi="Arial" w:cs="Arial"/>
          <w:sz w:val="20"/>
          <w:szCs w:val="20"/>
        </w:rPr>
        <w:t xml:space="preserve"> de</w:t>
      </w:r>
      <w:r w:rsidRPr="006E4F71">
        <w:rPr>
          <w:rFonts w:ascii="Arial" w:hAnsi="Arial" w:cs="Arial"/>
          <w:sz w:val="20"/>
          <w:szCs w:val="20"/>
        </w:rPr>
        <w:t xml:space="preserve"> requisitos de qualificação acadêmica e profissional para os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membros da equipe técnica é prática corriqueira e está justificada pelo objetivo de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garantir a capacidade técnica e qualidade do serviço a ser prestado.</w:t>
      </w:r>
    </w:p>
    <w:p w:rsidR="00501A1D" w:rsidRPr="006E4F71" w:rsidRDefault="00501A1D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E4F71">
        <w:rPr>
          <w:rFonts w:ascii="Arial" w:hAnsi="Arial" w:cs="Arial"/>
          <w:sz w:val="20"/>
          <w:szCs w:val="20"/>
        </w:rPr>
        <w:t>É importante frisar que o estabelecimento de requisitos técnicos para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a habilitação não ofende o princípio da isonomia. Tanto é que o próprio art. 37,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inciso XXI, da CF, que estabelece a obrigatoriedade ao Poder Público de licitar para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contratar, autoriza o estabelecimento de requisitos de qualificação técnica e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econômica para garantir o cumprimento das obrigações.</w:t>
      </w:r>
    </w:p>
    <w:p w:rsidR="00457729" w:rsidRPr="006E4F71" w:rsidRDefault="00457729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E4F71">
        <w:rPr>
          <w:rFonts w:ascii="Arial" w:hAnsi="Arial" w:cs="Arial"/>
          <w:sz w:val="20"/>
          <w:szCs w:val="20"/>
        </w:rPr>
        <w:t>Portanto, a atribuição de pontuação para requisitos técnicos em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certames que utilizam o critério de julgamento da “melhor técnica” é prática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autorizada pelo art. 46, §1º, I, da Lei nº 8.666/93, situando-se dentro do poder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discricionário da Administração a escolha destes critérios, com base nas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peculiaridades do objeto e circunstâncias do interesse público.</w:t>
      </w: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E4F71" w:rsidRDefault="006E4F7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E4F71">
        <w:rPr>
          <w:rFonts w:ascii="Arial" w:hAnsi="Arial" w:cs="Arial"/>
          <w:sz w:val="20"/>
          <w:szCs w:val="20"/>
        </w:rPr>
        <w:t>Deste modo, é ônus da representante a demonstração da violação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da competitividade ou isonomia, o que não ocorreu no presente caso, uma vez que 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representante trouxe apenas alegações em tese e genéricas a respeito da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“desnecessidade” da atribuição de pontuação por qualificação acadêmica, em</w:t>
      </w:r>
      <w:r>
        <w:rPr>
          <w:rFonts w:ascii="Arial" w:hAnsi="Arial" w:cs="Arial"/>
          <w:sz w:val="20"/>
          <w:szCs w:val="20"/>
        </w:rPr>
        <w:t xml:space="preserve"> </w:t>
      </w:r>
      <w:r w:rsidRPr="006E4F71">
        <w:rPr>
          <w:rFonts w:ascii="Arial" w:hAnsi="Arial" w:cs="Arial"/>
          <w:sz w:val="20"/>
          <w:szCs w:val="20"/>
        </w:rPr>
        <w:t>dissonância com a prática do setor.</w:t>
      </w:r>
    </w:p>
    <w:p w:rsidR="00200161" w:rsidRDefault="0020016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00161" w:rsidRDefault="00200161" w:rsidP="006A4F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Processo n° 49565/18 - </w:t>
      </w:r>
      <w:hyperlink r:id="rId8" w:history="1">
        <w:r w:rsidRPr="00457729">
          <w:rPr>
            <w:rStyle w:val="Hyperlink"/>
            <w:rFonts w:ascii="Arial" w:hAnsi="Arial" w:cs="Arial"/>
            <w:b/>
            <w:sz w:val="20"/>
            <w:szCs w:val="20"/>
          </w:rPr>
          <w:t>Acórdão n° 1238/18 - Tribunal Pleno</w:t>
        </w:r>
      </w:hyperlink>
      <w:r>
        <w:rPr>
          <w:rFonts w:ascii="Arial" w:hAnsi="Arial" w:cs="Arial"/>
          <w:sz w:val="20"/>
          <w:szCs w:val="20"/>
        </w:rPr>
        <w:t xml:space="preserve"> - Rel. Conselheiro Ivens Zschoerper Linhares.</w:t>
      </w:r>
    </w:p>
    <w:p w:rsidR="00501A1D" w:rsidRDefault="00501A1D" w:rsidP="00993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B8F" w:rsidRPr="0022060B" w:rsidRDefault="00926B8F" w:rsidP="00926B8F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TRIBUNAL DE CONTAS DA UNIÃO </w:t>
      </w:r>
    </w:p>
    <w:p w:rsidR="000406C8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0013" w:rsidRDefault="00095C78" w:rsidP="000406C8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E70013" w:rsidRPr="007250D0">
        <w:rPr>
          <w:rFonts w:ascii="Arial" w:hAnsi="Arial" w:cs="Arial"/>
          <w:b/>
          <w:sz w:val="20"/>
          <w:szCs w:val="20"/>
        </w:rPr>
        <w:t>Projeto básico. Compensação ambiental. Estudo de impacto ambiental. Obrigatoriedade</w:t>
      </w:r>
      <w:r w:rsidR="000406C8">
        <w:rPr>
          <w:rFonts w:ascii="Arial" w:hAnsi="Arial" w:cs="Arial"/>
          <w:b/>
          <w:sz w:val="20"/>
          <w:szCs w:val="20"/>
        </w:rPr>
        <w:t>.</w:t>
      </w:r>
    </w:p>
    <w:p w:rsidR="00457729" w:rsidRDefault="00457729" w:rsidP="000406C8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0811" w:rsidRDefault="00010811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7250D0">
        <w:rPr>
          <w:rFonts w:ascii="Arial" w:hAnsi="Arial" w:cs="Arial"/>
          <w:sz w:val="20"/>
          <w:szCs w:val="20"/>
        </w:rPr>
        <w:t>O projeto básico deve compreender obrigatoriamente o impacto ambiental antecipadamente determinado, a fim de que o empreendimento seja concebido e orçado levando-se em conta as medidas mitigadoras, compensatórias e/ou corretivas do meio ambiente porventura fixadas.</w:t>
      </w:r>
    </w:p>
    <w:p w:rsidR="00457729" w:rsidRPr="007250D0" w:rsidRDefault="00457729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1E29B2" w:rsidRDefault="000F7AAB" w:rsidP="000406C8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 w:rsidRPr="000F7AAB">
        <w:rPr>
          <w:rFonts w:ascii="Arial" w:hAnsi="Arial" w:cs="Arial"/>
          <w:sz w:val="20"/>
        </w:rPr>
        <w:t>TC 007.300/2009-2</w:t>
      </w:r>
      <w:r>
        <w:rPr>
          <w:rFonts w:ascii="Arial" w:hAnsi="Arial" w:cs="Arial"/>
          <w:sz w:val="20"/>
        </w:rPr>
        <w:t xml:space="preserve"> - </w:t>
      </w:r>
      <w:hyperlink r:id="rId9" w:history="1">
        <w:r w:rsidR="00010811" w:rsidRPr="00457729">
          <w:rPr>
            <w:rStyle w:val="Hyperlink"/>
            <w:rFonts w:ascii="Arial" w:hAnsi="Arial" w:cs="Arial"/>
            <w:b/>
            <w:sz w:val="20"/>
          </w:rPr>
          <w:t>Acórdão 16</w:t>
        </w:r>
        <w:r w:rsidR="007250D0" w:rsidRPr="00457729">
          <w:rPr>
            <w:rStyle w:val="Hyperlink"/>
            <w:rFonts w:ascii="Arial" w:hAnsi="Arial" w:cs="Arial"/>
            <w:b/>
            <w:sz w:val="20"/>
          </w:rPr>
          <w:t>20</w:t>
        </w:r>
        <w:r w:rsidR="00010811" w:rsidRPr="00457729">
          <w:rPr>
            <w:rStyle w:val="Hyperlink"/>
            <w:rFonts w:ascii="Arial" w:hAnsi="Arial" w:cs="Arial"/>
            <w:b/>
            <w:sz w:val="20"/>
          </w:rPr>
          <w:t>/2009 - Plenário</w:t>
        </w:r>
      </w:hyperlink>
      <w:r w:rsidR="00010811" w:rsidRPr="000F7AAB">
        <w:rPr>
          <w:rFonts w:ascii="Arial" w:hAnsi="Arial" w:cs="Arial"/>
          <w:sz w:val="20"/>
        </w:rPr>
        <w:t xml:space="preserve"> (Relatório de Monitoramento, Relator Raimundo Carreiro) </w:t>
      </w:r>
    </w:p>
    <w:p w:rsidR="008A2B50" w:rsidRPr="000F7AAB" w:rsidRDefault="008A2B50" w:rsidP="000406C8">
      <w:pPr>
        <w:pStyle w:val="TCU-Epgrafe"/>
        <w:spacing w:line="276" w:lineRule="auto"/>
        <w:ind w:left="0"/>
        <w:rPr>
          <w:rStyle w:val="Hyperlink"/>
          <w:rFonts w:ascii="Arial" w:hAnsi="Arial" w:cs="Arial"/>
          <w:color w:val="auto"/>
          <w:sz w:val="20"/>
          <w:u w:val="none"/>
        </w:rPr>
      </w:pPr>
      <w:r w:rsidRPr="000F7AAB">
        <w:rPr>
          <w:rFonts w:ascii="Arial" w:hAnsi="Arial" w:cs="Arial"/>
          <w:sz w:val="20"/>
        </w:rPr>
        <w:fldChar w:fldCharType="begin"/>
      </w:r>
      <w:r w:rsidRPr="000F7AAB">
        <w:rPr>
          <w:rFonts w:ascii="Arial" w:hAnsi="Arial" w:cs="Arial"/>
          <w:sz w:val="20"/>
        </w:rPr>
        <w:instrText xml:space="preserve"> HYPERLINK "https://contas.tcu.gov.br/pesquisaJurisprudencia/" \l "/detalhamento/11/*/NUMACORDAO:1620%20ANOACORDAO:2009%20COLEGIADO:%22Plen%C3%A1rio%22/DTRELEVANCIA%2520desc%252C%2520NUMACORDAOINT%2520desc/false/1" \t "_blank" </w:instrText>
      </w:r>
      <w:r w:rsidRPr="000F7AAB">
        <w:rPr>
          <w:rFonts w:ascii="Arial" w:hAnsi="Arial" w:cs="Arial"/>
          <w:sz w:val="20"/>
        </w:rPr>
        <w:fldChar w:fldCharType="separate"/>
      </w:r>
    </w:p>
    <w:p w:rsidR="00C36BD9" w:rsidRDefault="008A2B50" w:rsidP="000406C8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F7AAB">
        <w:rPr>
          <w:rFonts w:ascii="Arial" w:hAnsi="Arial" w:cs="Arial"/>
          <w:sz w:val="20"/>
          <w:szCs w:val="20"/>
        </w:rPr>
        <w:fldChar w:fldCharType="end"/>
      </w:r>
      <w:r w:rsidR="00C36BD9" w:rsidRPr="0070126C">
        <w:rPr>
          <w:rFonts w:ascii="Arial" w:hAnsi="Arial" w:cs="Arial"/>
          <w:b/>
          <w:sz w:val="20"/>
          <w:szCs w:val="20"/>
        </w:rPr>
        <w:t>3. Licitação. Obras e serviços de engenharia. Viabilidade técnica. Estudo de impacto ambiental. Estudo técnico preliminar.</w:t>
      </w:r>
    </w:p>
    <w:p w:rsidR="000406C8" w:rsidRPr="0070126C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36BD9" w:rsidRDefault="00C36BD9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70126C">
        <w:rPr>
          <w:rFonts w:ascii="Arial" w:hAnsi="Arial" w:cs="Arial"/>
          <w:sz w:val="20"/>
          <w:szCs w:val="20"/>
        </w:rPr>
        <w:t>Os estudos técnicos preliminares devem demonstrar a viabilidade técnica a partir de todos os elementos necessários e suficientes, com nível de precisão adequado para caracterizar a obra, com indicações dos estudos técnicos e ambientais, avaliação do seu custo, definição dos métodos e do prazo de execução.</w:t>
      </w:r>
    </w:p>
    <w:p w:rsidR="00457729" w:rsidRPr="0070126C" w:rsidRDefault="00457729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8A2B50" w:rsidRDefault="00884B5D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884B5D">
        <w:rPr>
          <w:rFonts w:ascii="Arial" w:hAnsi="Arial" w:cs="Arial"/>
          <w:sz w:val="20"/>
          <w:szCs w:val="20"/>
        </w:rPr>
        <w:t>TC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84B5D">
        <w:rPr>
          <w:rFonts w:ascii="Arial" w:hAnsi="Arial" w:cs="Arial"/>
          <w:sz w:val="20"/>
          <w:szCs w:val="20"/>
        </w:rPr>
        <w:t>008.657/2007-0</w:t>
      </w:r>
      <w:r>
        <w:rPr>
          <w:rFonts w:ascii="Arial" w:hAnsi="Arial" w:cs="Arial"/>
          <w:b/>
          <w:sz w:val="20"/>
          <w:szCs w:val="20"/>
        </w:rPr>
        <w:t xml:space="preserve"> - </w:t>
      </w:r>
      <w:hyperlink r:id="rId10" w:history="1">
        <w:r w:rsidR="00C36BD9" w:rsidRPr="00457729">
          <w:rPr>
            <w:rStyle w:val="Hyperlink"/>
            <w:rFonts w:ascii="Arial" w:hAnsi="Arial" w:cs="Arial"/>
            <w:b/>
            <w:sz w:val="20"/>
            <w:szCs w:val="20"/>
          </w:rPr>
          <w:t>Acórdão 1273/2007 - Plenário</w:t>
        </w:r>
      </w:hyperlink>
      <w:r w:rsidR="00C36BD9" w:rsidRPr="0070126C">
        <w:rPr>
          <w:rFonts w:ascii="Arial" w:hAnsi="Arial" w:cs="Arial"/>
          <w:sz w:val="20"/>
          <w:szCs w:val="20"/>
        </w:rPr>
        <w:t xml:space="preserve"> (Relatório de Levantamento, Relator Ubiratan Aguiar).</w:t>
      </w:r>
    </w:p>
    <w:p w:rsidR="000406C8" w:rsidRPr="0070126C" w:rsidRDefault="000406C8" w:rsidP="000406C8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D50E08" w:rsidRPr="0022060B" w:rsidRDefault="00D50E08" w:rsidP="00D50E08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520452560"/>
      <w:r w:rsidRPr="002658BC">
        <w:rPr>
          <w:rFonts w:ascii="Arial" w:hAnsi="Arial" w:cs="Arial"/>
          <w:b/>
          <w:sz w:val="20"/>
          <w:szCs w:val="20"/>
        </w:rPr>
        <w:t>TRIBUNAL DE CONTAS DO ESTADO DE GOIÁS</w:t>
      </w:r>
    </w:p>
    <w:p w:rsidR="00D50E08" w:rsidRDefault="00D50E08" w:rsidP="00926B8F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CE3ED4" w:rsidRDefault="00457729" w:rsidP="00CE3ED4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E3ED4" w:rsidRPr="0070126C">
        <w:rPr>
          <w:rFonts w:ascii="Arial" w:hAnsi="Arial" w:cs="Arial"/>
          <w:b/>
          <w:sz w:val="20"/>
          <w:szCs w:val="20"/>
        </w:rPr>
        <w:t xml:space="preserve">. </w:t>
      </w:r>
      <w:r w:rsidR="00CE3ED4">
        <w:rPr>
          <w:rFonts w:ascii="Arial" w:hAnsi="Arial" w:cs="Arial"/>
          <w:b/>
          <w:sz w:val="20"/>
          <w:szCs w:val="20"/>
        </w:rPr>
        <w:t>Relatório de auditoria operacional. Secretaria de Estado d</w:t>
      </w:r>
      <w:r>
        <w:rPr>
          <w:rFonts w:ascii="Arial" w:hAnsi="Arial" w:cs="Arial"/>
          <w:b/>
          <w:sz w:val="20"/>
          <w:szCs w:val="20"/>
        </w:rPr>
        <w:t>e</w:t>
      </w:r>
      <w:r w:rsidR="00CE3ED4">
        <w:rPr>
          <w:rFonts w:ascii="Arial" w:hAnsi="Arial" w:cs="Arial"/>
          <w:b/>
          <w:sz w:val="20"/>
          <w:szCs w:val="20"/>
        </w:rPr>
        <w:t xml:space="preserve"> Meio Ambiente, Recursos Hídricos, Infraestrutura, Cidades e Assuntos Metropolitanos </w:t>
      </w:r>
      <w:r w:rsidR="002658BC">
        <w:rPr>
          <w:rFonts w:ascii="Arial" w:hAnsi="Arial" w:cs="Arial"/>
          <w:b/>
          <w:sz w:val="20"/>
          <w:szCs w:val="20"/>
        </w:rPr>
        <w:t>-</w:t>
      </w:r>
      <w:r w:rsidR="00CE3ED4">
        <w:rPr>
          <w:rFonts w:ascii="Arial" w:hAnsi="Arial" w:cs="Arial"/>
          <w:b/>
          <w:sz w:val="20"/>
          <w:szCs w:val="20"/>
        </w:rPr>
        <w:t xml:space="preserve"> SECIMA. Achados. Recomendação com prazo de 60 dias para adoção das medidas ou ações alternativas.</w:t>
      </w:r>
    </w:p>
    <w:p w:rsidR="00CE3ED4" w:rsidRDefault="00CE3ED4" w:rsidP="00CE3ED4">
      <w:pPr>
        <w:shd w:val="clear" w:color="auto" w:fill="FFFFFF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658BC" w:rsidRDefault="002658BC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3ED4" w:rsidRPr="00215BF5">
        <w:rPr>
          <w:rFonts w:ascii="Arial" w:hAnsi="Arial" w:cs="Arial"/>
          <w:sz w:val="20"/>
          <w:szCs w:val="20"/>
        </w:rPr>
        <w:t>ntegrando o Plano de Fiscalização de 2016</w:t>
      </w:r>
      <w:r>
        <w:rPr>
          <w:rFonts w:ascii="Arial" w:hAnsi="Arial" w:cs="Arial"/>
          <w:sz w:val="20"/>
          <w:szCs w:val="20"/>
        </w:rPr>
        <w:t>, realizou-se auditoria operacional com o escopo de aferir a fiscalização ambiental no âmbito da Secretaria de Estado de Meio Ambiente, Recursos Hídricos, Infraestrutura, Cidades e Assuntos Metropolitanos no Estado de Goiás</w:t>
      </w:r>
      <w:r w:rsidR="00CE3ED4" w:rsidRPr="00215BF5">
        <w:rPr>
          <w:rFonts w:ascii="Arial" w:hAnsi="Arial" w:cs="Arial"/>
          <w:sz w:val="20"/>
          <w:szCs w:val="20"/>
        </w:rPr>
        <w:t xml:space="preserve">. </w:t>
      </w:r>
    </w:p>
    <w:p w:rsidR="002658BC" w:rsidRDefault="002658BC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2658BC" w:rsidRDefault="00215BF5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215BF5">
        <w:rPr>
          <w:rFonts w:ascii="Arial" w:hAnsi="Arial" w:cs="Arial"/>
          <w:sz w:val="20"/>
          <w:szCs w:val="20"/>
        </w:rPr>
        <w:t>O</w:t>
      </w:r>
      <w:r w:rsidR="00CE3ED4" w:rsidRPr="00215BF5">
        <w:rPr>
          <w:rFonts w:ascii="Arial" w:hAnsi="Arial" w:cs="Arial"/>
          <w:sz w:val="20"/>
          <w:szCs w:val="20"/>
        </w:rPr>
        <w:t>s trabalhos</w:t>
      </w:r>
      <w:r w:rsidR="002658BC">
        <w:rPr>
          <w:rFonts w:ascii="Arial" w:hAnsi="Arial" w:cs="Arial"/>
          <w:sz w:val="20"/>
          <w:szCs w:val="20"/>
        </w:rPr>
        <w:t xml:space="preserve"> realizados </w:t>
      </w:r>
      <w:r w:rsidR="00CE3ED4" w:rsidRPr="00215BF5">
        <w:rPr>
          <w:rFonts w:ascii="Arial" w:hAnsi="Arial" w:cs="Arial"/>
          <w:sz w:val="20"/>
          <w:szCs w:val="20"/>
        </w:rPr>
        <w:t>identifica</w:t>
      </w:r>
      <w:r>
        <w:rPr>
          <w:rFonts w:ascii="Arial" w:hAnsi="Arial" w:cs="Arial"/>
          <w:sz w:val="20"/>
          <w:szCs w:val="20"/>
        </w:rPr>
        <w:t>ram</w:t>
      </w:r>
      <w:r w:rsidR="00CE3ED4" w:rsidRPr="00215BF5">
        <w:rPr>
          <w:rFonts w:ascii="Arial" w:hAnsi="Arial" w:cs="Arial"/>
          <w:sz w:val="20"/>
          <w:szCs w:val="20"/>
        </w:rPr>
        <w:t xml:space="preserve"> </w:t>
      </w:r>
      <w:r w:rsidR="002658BC">
        <w:rPr>
          <w:rFonts w:ascii="Arial" w:hAnsi="Arial" w:cs="Arial"/>
          <w:sz w:val="20"/>
          <w:szCs w:val="20"/>
        </w:rPr>
        <w:t xml:space="preserve">os seguintes </w:t>
      </w:r>
      <w:r w:rsidR="00CE3ED4" w:rsidRPr="00215BF5">
        <w:rPr>
          <w:rFonts w:ascii="Arial" w:hAnsi="Arial" w:cs="Arial"/>
          <w:sz w:val="20"/>
          <w:szCs w:val="20"/>
        </w:rPr>
        <w:t>achados</w:t>
      </w:r>
      <w:r w:rsidR="002658BC">
        <w:rPr>
          <w:rFonts w:ascii="Arial" w:hAnsi="Arial" w:cs="Arial"/>
          <w:sz w:val="20"/>
          <w:szCs w:val="20"/>
        </w:rPr>
        <w:t>:  a)</w:t>
      </w:r>
      <w:r w:rsidR="00CE3ED4" w:rsidRPr="00215BF5">
        <w:rPr>
          <w:rFonts w:ascii="Arial" w:hAnsi="Arial" w:cs="Arial"/>
          <w:sz w:val="20"/>
          <w:szCs w:val="20"/>
        </w:rPr>
        <w:t xml:space="preserve"> deficiência nas estratégias de planeja</w:t>
      </w:r>
      <w:r w:rsidR="002658BC">
        <w:rPr>
          <w:rFonts w:ascii="Arial" w:hAnsi="Arial" w:cs="Arial"/>
          <w:sz w:val="20"/>
          <w:szCs w:val="20"/>
        </w:rPr>
        <w:t>mento de fiscalização ambiental; b) i</w:t>
      </w:r>
      <w:r w:rsidR="002658BC" w:rsidRPr="002658BC">
        <w:rPr>
          <w:rFonts w:ascii="Arial" w:hAnsi="Arial" w:cs="Arial"/>
          <w:sz w:val="20"/>
          <w:szCs w:val="20"/>
        </w:rPr>
        <w:t>nexistência de normas e procedimentos formais e padronizados para os trabalhos de fiscalização</w:t>
      </w:r>
      <w:r w:rsidR="002658BC">
        <w:rPr>
          <w:rFonts w:ascii="Arial" w:hAnsi="Arial" w:cs="Arial"/>
          <w:sz w:val="20"/>
          <w:szCs w:val="20"/>
        </w:rPr>
        <w:t>; c) i</w:t>
      </w:r>
      <w:r w:rsidR="002658BC" w:rsidRPr="002658BC">
        <w:rPr>
          <w:rFonts w:ascii="Arial" w:hAnsi="Arial" w:cs="Arial"/>
          <w:sz w:val="20"/>
          <w:szCs w:val="20"/>
        </w:rPr>
        <w:t>nsuficiência de recursos humanos, materiais e tecnológicos para o desempenho das atividades de fiscalização</w:t>
      </w:r>
      <w:r w:rsidR="002658BC">
        <w:rPr>
          <w:rFonts w:ascii="Arial" w:hAnsi="Arial" w:cs="Arial"/>
          <w:sz w:val="20"/>
          <w:szCs w:val="20"/>
        </w:rPr>
        <w:t>; d) v</w:t>
      </w:r>
      <w:r w:rsidR="002658BC" w:rsidRPr="002658BC">
        <w:rPr>
          <w:rFonts w:ascii="Arial" w:hAnsi="Arial" w:cs="Arial"/>
          <w:sz w:val="20"/>
          <w:szCs w:val="20"/>
        </w:rPr>
        <w:t>ulnerabilidade no rito de análise e julgamento dos processos de fiscalização</w:t>
      </w:r>
      <w:r w:rsidR="002658B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658BC">
        <w:rPr>
          <w:rFonts w:ascii="Arial" w:hAnsi="Arial" w:cs="Arial"/>
          <w:sz w:val="20"/>
          <w:szCs w:val="20"/>
        </w:rPr>
        <w:t>e</w:t>
      </w:r>
      <w:proofErr w:type="spellEnd"/>
      <w:r w:rsidR="002658BC">
        <w:rPr>
          <w:rFonts w:ascii="Arial" w:hAnsi="Arial" w:cs="Arial"/>
          <w:sz w:val="20"/>
          <w:szCs w:val="20"/>
        </w:rPr>
        <w:t>) i</w:t>
      </w:r>
      <w:r w:rsidR="002658BC" w:rsidRPr="002658BC">
        <w:rPr>
          <w:rFonts w:ascii="Arial" w:hAnsi="Arial" w:cs="Arial"/>
          <w:sz w:val="20"/>
          <w:szCs w:val="20"/>
        </w:rPr>
        <w:t>neficácia na fiscalização das ações de recuperação ou medidas mitigadoras para reparação dos danos ambientais</w:t>
      </w:r>
      <w:r w:rsidR="002658BC">
        <w:rPr>
          <w:rFonts w:ascii="Arial" w:hAnsi="Arial" w:cs="Arial"/>
          <w:sz w:val="20"/>
          <w:szCs w:val="20"/>
        </w:rPr>
        <w:t>.</w:t>
      </w:r>
    </w:p>
    <w:p w:rsidR="002658BC" w:rsidRDefault="002658BC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215BF5" w:rsidRDefault="00B2722E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Corte de Contas Goiana</w:t>
      </w:r>
      <w:r w:rsidR="00B12C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após o regular trâmite do relatório</w:t>
      </w:r>
      <w:r w:rsidR="00B12C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determinou a </w:t>
      </w:r>
      <w:r w:rsidR="00CE3ED4" w:rsidRPr="00215BF5">
        <w:rPr>
          <w:rFonts w:ascii="Arial" w:hAnsi="Arial" w:cs="Arial"/>
          <w:sz w:val="20"/>
          <w:szCs w:val="20"/>
        </w:rPr>
        <w:t xml:space="preserve">intimação do Secretário de Meio Ambiente, Recursos Hídricos, Infraestrutura, Cidades e Assuntos </w:t>
      </w:r>
      <w:r w:rsidR="00CE3ED4" w:rsidRPr="00215BF5">
        <w:rPr>
          <w:rFonts w:ascii="Arial" w:hAnsi="Arial" w:cs="Arial"/>
          <w:sz w:val="20"/>
          <w:szCs w:val="20"/>
        </w:rPr>
        <w:lastRenderedPageBreak/>
        <w:t>Metropolitanos para que, no prazo de 60 dias, apresente o cronograma de adoção das medidas necessárias à implementação das recomendações elencadas ou ações alternativas que resultem nos propósitos almejados</w:t>
      </w:r>
      <w:r>
        <w:rPr>
          <w:rFonts w:ascii="Arial" w:hAnsi="Arial" w:cs="Arial"/>
          <w:sz w:val="20"/>
          <w:szCs w:val="20"/>
        </w:rPr>
        <w:t>, da seguinte ordem:</w:t>
      </w:r>
    </w:p>
    <w:p w:rsidR="00B2722E" w:rsidRPr="00344282" w:rsidRDefault="00B2722E" w:rsidP="00CE3ED4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a) Elaborar o planejamento estratégico da Secretaria; </w:t>
      </w:r>
    </w:p>
    <w:p w:rsidR="00457729" w:rsidRDefault="00457729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b) Elaborar plano de ação anual em consonância com o planejamento estratégico e em conformidade com as competências e atribuições da Gerência de Fiscalização, Monitoramento e Auditoria Ambiental; </w:t>
      </w:r>
    </w:p>
    <w:p w:rsidR="00344282" w:rsidRP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>c) Promover a integração de todos os setores envolvidos no processo de fiscalização ambiental;</w:t>
      </w:r>
      <w:r w:rsidRPr="00B2722E">
        <w:rPr>
          <w:rFonts w:ascii="Arial" w:hAnsi="Arial" w:cs="Arial"/>
          <w:sz w:val="20"/>
          <w:szCs w:val="20"/>
        </w:rPr>
        <w:t xml:space="preserve">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d) Elaborar normas e procedimentos internos para cada processo de trabalho da fiscalização ambiental, garantindo a melhoria no desempenho das atividades; 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e) Formalizar as atribuições, funções e procedimentos operacionais de cada Gerência; </w:t>
      </w:r>
    </w:p>
    <w:p w:rsidR="00344282" w:rsidRP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f) Elaborar Manuais de Procedimento de Fiscalização para atuação do Analista Ambiental;  </w:t>
      </w:r>
    </w:p>
    <w:p w:rsidR="00344282" w:rsidRP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g) Estruturar e adequar a equipe da GFMAA de forma a atender a demanda relativa à fiscalização ambiental;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h) Elaborar um plano de capacitação anual com treinamento e atualização periódica de acordo com a necessidade dos técnicos; </w:t>
      </w:r>
    </w:p>
    <w:p w:rsidR="00344282" w:rsidRP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i) Estabelecer prioridades para suprir as deficiências de materiais e equipamentos para o desempenho das atividades de fiscalização, alocando recursos financeiros disponíveis, para a melhoria da qualidade de trabalho dos servidores;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B2722E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j) Adequar o sistema de informação </w:t>
      </w:r>
      <w:r w:rsidR="00344282" w:rsidRPr="00344282">
        <w:rPr>
          <w:rFonts w:ascii="Arial" w:hAnsi="Arial" w:cs="Arial"/>
          <w:i/>
          <w:sz w:val="20"/>
          <w:szCs w:val="20"/>
        </w:rPr>
        <w:t>-</w:t>
      </w:r>
      <w:r w:rsidRPr="00344282">
        <w:rPr>
          <w:rFonts w:ascii="Arial" w:hAnsi="Arial" w:cs="Arial"/>
          <w:i/>
          <w:sz w:val="20"/>
          <w:szCs w:val="20"/>
        </w:rPr>
        <w:t xml:space="preserve"> SGA de forma a integrar todas as áreas envolvidas no processo de fiscalização, proporcionando o conhecimento de todo o trâmite processual e registro processual em tempo real;  </w:t>
      </w:r>
    </w:p>
    <w:p w:rsidR="00B2722E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k) Registrar todo o trâmite processual no sistema, desde a lavratura do auto de infração até a quitação da multa, digitalizando e inserindo todos os documentos que compõe o processo;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l) Buscar acordos ou parcerias com outras entidades, como o IBAMA, visando o acesso para consulta a bancos de dados cartográficos e estatísticos;  </w:t>
      </w:r>
    </w:p>
    <w:p w:rsidR="00344282" w:rsidRP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m) Estruturar a 1ª Instância de Julgamento com corpo técnico qualificado e em número suficiente para atender a demanda processual existente; 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lastRenderedPageBreak/>
        <w:t xml:space="preserve">n) Realizar o levantamento da situação em que se encontram todos os processos localizados na 1ª Instância e no Setor de Arquivo da SECIMA, priorizando o atendimento/julgamento dos processos mais antigos, de forma a evitar a prescrição e comprometimento da arrecadação do órgão ambiental; </w:t>
      </w: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o) Apurar as causas do não julgamento dos processos por parte da COMJUR, visto que sua composição está completa;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 xml:space="preserve">q) Proporcionar a efetiva consulta aos usuários do SGA, favorecendo a transparência dos dados e informações, com a divulgação dos resultados, possibilitando maior acesso e conhecimento pela sociedade interessada; 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344282" w:rsidRPr="00344282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44282">
        <w:rPr>
          <w:rFonts w:ascii="Arial" w:hAnsi="Arial" w:cs="Arial"/>
          <w:i/>
          <w:sz w:val="20"/>
          <w:szCs w:val="20"/>
        </w:rPr>
        <w:t>r) Normatizar a obrigatoriedade da inserção de todos os dados e documentos relativos aos processos de fiscalização dentro da SGA,</w:t>
      </w:r>
      <w:r w:rsidR="00344282">
        <w:rPr>
          <w:rFonts w:ascii="Arial" w:hAnsi="Arial" w:cs="Arial"/>
          <w:i/>
          <w:sz w:val="20"/>
          <w:szCs w:val="20"/>
        </w:rPr>
        <w:t xml:space="preserve"> </w:t>
      </w:r>
      <w:r w:rsidRPr="00344282">
        <w:rPr>
          <w:rFonts w:ascii="Arial" w:hAnsi="Arial" w:cs="Arial"/>
          <w:i/>
          <w:sz w:val="20"/>
          <w:szCs w:val="20"/>
        </w:rPr>
        <w:t xml:space="preserve">responsabilizando cada área envolvida pela alimentação e geração dos dados que lhe cabe; </w:t>
      </w:r>
    </w:p>
    <w:p w:rsidR="00344282" w:rsidRDefault="00344282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B1599B" w:rsidRPr="00B1599B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1599B">
        <w:rPr>
          <w:rFonts w:ascii="Arial" w:hAnsi="Arial" w:cs="Arial"/>
          <w:i/>
          <w:sz w:val="20"/>
          <w:szCs w:val="20"/>
        </w:rPr>
        <w:t xml:space="preserve">s) Implantar controles internos mais seguros e eficazes quanto às informações geradas, de forma a propiciar sua utilização por todas as áreas responsáveis pelo processo de fiscalização; </w:t>
      </w:r>
    </w:p>
    <w:p w:rsidR="00B1599B" w:rsidRPr="00B1599B" w:rsidRDefault="00B1599B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B1599B" w:rsidRPr="00B1599B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1599B">
        <w:rPr>
          <w:rFonts w:ascii="Arial" w:hAnsi="Arial" w:cs="Arial"/>
          <w:i/>
          <w:sz w:val="20"/>
          <w:szCs w:val="20"/>
        </w:rPr>
        <w:t xml:space="preserve">t) Formalizar suas atribuições, funções e procedimentos operacionais de cada setor quanto à verificação da recuperação ou reparação do dano; </w:t>
      </w:r>
    </w:p>
    <w:p w:rsidR="00B1599B" w:rsidRDefault="00B1599B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B1599B" w:rsidRPr="00B1599B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1599B">
        <w:rPr>
          <w:rFonts w:ascii="Arial" w:hAnsi="Arial" w:cs="Arial"/>
          <w:i/>
          <w:sz w:val="20"/>
          <w:szCs w:val="20"/>
        </w:rPr>
        <w:t xml:space="preserve">u) Instituir na GFMAA a obrigatoriedade de acompanhar e verificar a implantação das ações de recuperação ambiental pelo infrator; </w:t>
      </w:r>
    </w:p>
    <w:p w:rsidR="00B1599B" w:rsidRDefault="00B1599B" w:rsidP="00B2722E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B2722E" w:rsidRDefault="00B2722E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1599B">
        <w:rPr>
          <w:rFonts w:ascii="Arial" w:hAnsi="Arial" w:cs="Arial"/>
          <w:i/>
          <w:sz w:val="20"/>
          <w:szCs w:val="20"/>
        </w:rPr>
        <w:t xml:space="preserve">v) Formar um banco de dados abrangendo os aspectos gerenciais, técnicos </w:t>
      </w:r>
      <w:r w:rsidR="00B1599B" w:rsidRPr="00B1599B">
        <w:rPr>
          <w:rFonts w:ascii="Arial" w:hAnsi="Arial" w:cs="Arial"/>
          <w:i/>
          <w:sz w:val="20"/>
          <w:szCs w:val="20"/>
        </w:rPr>
        <w:t>-</w:t>
      </w:r>
      <w:r w:rsidRPr="00B1599B">
        <w:rPr>
          <w:rFonts w:ascii="Arial" w:hAnsi="Arial" w:cs="Arial"/>
          <w:i/>
          <w:sz w:val="20"/>
          <w:szCs w:val="20"/>
        </w:rPr>
        <w:t xml:space="preserve"> ambientais e georreferenciais das áreas de interesse, a fim de subsidiar a averiguação da implementação de medidas mitigadoras e ações de recuperação ambiental.   </w:t>
      </w:r>
    </w:p>
    <w:p w:rsidR="00DD5D03" w:rsidRDefault="00DD5D03" w:rsidP="00B2722E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E3ED4" w:rsidRDefault="00DD5D03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42561C">
        <w:rPr>
          <w:rFonts w:ascii="Arial" w:hAnsi="Arial" w:cs="Arial"/>
          <w:sz w:val="20"/>
          <w:szCs w:val="20"/>
        </w:rPr>
        <w:t>Processo nº 2016</w:t>
      </w:r>
      <w:r w:rsidR="0042561C">
        <w:rPr>
          <w:rFonts w:ascii="Arial" w:hAnsi="Arial" w:cs="Arial"/>
          <w:sz w:val="20"/>
          <w:szCs w:val="20"/>
        </w:rPr>
        <w:t>.</w:t>
      </w:r>
      <w:r w:rsidRPr="0042561C">
        <w:rPr>
          <w:rFonts w:ascii="Arial" w:hAnsi="Arial" w:cs="Arial"/>
          <w:sz w:val="20"/>
          <w:szCs w:val="20"/>
        </w:rPr>
        <w:t>00047</w:t>
      </w:r>
      <w:r w:rsidR="00FF1E7E">
        <w:rPr>
          <w:rFonts w:ascii="Arial" w:hAnsi="Arial" w:cs="Arial"/>
          <w:sz w:val="20"/>
          <w:szCs w:val="20"/>
        </w:rPr>
        <w:t>.</w:t>
      </w:r>
      <w:r w:rsidRPr="0042561C">
        <w:rPr>
          <w:rFonts w:ascii="Arial" w:hAnsi="Arial" w:cs="Arial"/>
          <w:sz w:val="20"/>
          <w:szCs w:val="20"/>
        </w:rPr>
        <w:t>0008</w:t>
      </w:r>
      <w:r w:rsidR="0042561C">
        <w:rPr>
          <w:rFonts w:ascii="Arial" w:hAnsi="Arial" w:cs="Arial"/>
          <w:sz w:val="20"/>
          <w:szCs w:val="20"/>
        </w:rPr>
        <w:t>-</w:t>
      </w:r>
      <w:r w:rsidRPr="0042561C">
        <w:rPr>
          <w:rFonts w:ascii="Arial" w:hAnsi="Arial" w:cs="Arial"/>
          <w:sz w:val="20"/>
          <w:szCs w:val="20"/>
        </w:rPr>
        <w:t>48</w:t>
      </w:r>
      <w:r w:rsidR="0042561C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="00F55FDD" w:rsidRPr="00457729">
          <w:rPr>
            <w:rStyle w:val="Hyperlink"/>
            <w:rFonts w:ascii="Arial" w:hAnsi="Arial" w:cs="Arial"/>
            <w:b/>
            <w:sz w:val="20"/>
            <w:szCs w:val="20"/>
          </w:rPr>
          <w:t xml:space="preserve">Acórdão 3481/2016 </w:t>
        </w:r>
        <w:r w:rsidR="006D3BB4" w:rsidRPr="00457729">
          <w:rPr>
            <w:rStyle w:val="Hyperlink"/>
            <w:rFonts w:ascii="Arial" w:hAnsi="Arial" w:cs="Arial"/>
            <w:b/>
            <w:sz w:val="20"/>
            <w:szCs w:val="20"/>
          </w:rPr>
          <w:t>-</w:t>
        </w:r>
        <w:r w:rsidR="00F55FDD" w:rsidRPr="00457729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r w:rsidR="006D3BB4" w:rsidRPr="00457729">
          <w:rPr>
            <w:rStyle w:val="Hyperlink"/>
            <w:rFonts w:ascii="Arial" w:hAnsi="Arial" w:cs="Arial"/>
            <w:b/>
            <w:sz w:val="20"/>
            <w:szCs w:val="20"/>
          </w:rPr>
          <w:t>Tribunal Pleno</w:t>
        </w:r>
      </w:hyperlink>
      <w:r w:rsidR="00F55FDD">
        <w:rPr>
          <w:rFonts w:ascii="Arial" w:hAnsi="Arial" w:cs="Arial"/>
          <w:sz w:val="20"/>
          <w:szCs w:val="20"/>
        </w:rPr>
        <w:t xml:space="preserve"> </w:t>
      </w:r>
      <w:r w:rsidR="006D3BB4">
        <w:rPr>
          <w:rFonts w:ascii="Arial" w:hAnsi="Arial" w:cs="Arial"/>
          <w:sz w:val="20"/>
          <w:szCs w:val="20"/>
        </w:rPr>
        <w:t>-</w:t>
      </w:r>
      <w:r w:rsidR="009805F8">
        <w:rPr>
          <w:rFonts w:ascii="Arial" w:hAnsi="Arial" w:cs="Arial"/>
          <w:sz w:val="20"/>
          <w:szCs w:val="20"/>
        </w:rPr>
        <w:t xml:space="preserve"> Relator Conselheiro Saulo </w:t>
      </w:r>
      <w:r w:rsidR="006D3BB4">
        <w:rPr>
          <w:rFonts w:ascii="Arial" w:hAnsi="Arial" w:cs="Arial"/>
          <w:sz w:val="20"/>
          <w:szCs w:val="20"/>
        </w:rPr>
        <w:t xml:space="preserve">Marques </w:t>
      </w:r>
      <w:r w:rsidR="009805F8">
        <w:rPr>
          <w:rFonts w:ascii="Arial" w:hAnsi="Arial" w:cs="Arial"/>
          <w:sz w:val="20"/>
          <w:szCs w:val="20"/>
        </w:rPr>
        <w:t>Mesquita.</w:t>
      </w:r>
      <w:r w:rsidR="00415DFF">
        <w:rPr>
          <w:rFonts w:ascii="Arial" w:hAnsi="Arial" w:cs="Arial"/>
          <w:sz w:val="20"/>
          <w:szCs w:val="20"/>
        </w:rPr>
        <w:t xml:space="preserve"> </w:t>
      </w:r>
      <w:r w:rsidR="006D3BB4">
        <w:rPr>
          <w:rFonts w:ascii="Arial" w:hAnsi="Arial" w:cs="Arial"/>
          <w:sz w:val="20"/>
          <w:szCs w:val="20"/>
        </w:rPr>
        <w:t xml:space="preserve">Tramitação do </w:t>
      </w:r>
      <w:hyperlink r:id="rId12" w:history="1">
        <w:r w:rsidR="006D3BB4" w:rsidRPr="00876D3D">
          <w:rPr>
            <w:rStyle w:val="Hyperlink"/>
            <w:rFonts w:ascii="Arial" w:hAnsi="Arial" w:cs="Arial"/>
            <w:sz w:val="20"/>
            <w:szCs w:val="20"/>
          </w:rPr>
          <w:t>Relatório</w:t>
        </w:r>
        <w:r w:rsidR="0046001A" w:rsidRPr="00876D3D">
          <w:rPr>
            <w:rStyle w:val="Hyperlink"/>
            <w:rFonts w:ascii="Arial" w:hAnsi="Arial" w:cs="Arial"/>
            <w:sz w:val="20"/>
            <w:szCs w:val="20"/>
          </w:rPr>
          <w:t xml:space="preserve"> de Auditoria Operacional</w:t>
        </w:r>
      </w:hyperlink>
      <w:r w:rsidR="00876D3D">
        <w:rPr>
          <w:rFonts w:ascii="Arial" w:hAnsi="Arial" w:cs="Arial"/>
          <w:sz w:val="20"/>
          <w:szCs w:val="20"/>
        </w:rPr>
        <w:t>.</w:t>
      </w:r>
    </w:p>
    <w:bookmarkEnd w:id="0"/>
    <w:p w:rsidR="00415DFF" w:rsidRDefault="00415DFF" w:rsidP="00CE3ED4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926B8F" w:rsidRPr="0022060B" w:rsidRDefault="00926B8F" w:rsidP="00926B8F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SUPREMO TRIBUNAL FEDERAL </w:t>
      </w:r>
    </w:p>
    <w:p w:rsidR="00457729" w:rsidRDefault="00457729" w:rsidP="001359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1359B3" w:rsidRPr="00A33242" w:rsidRDefault="00E07227" w:rsidP="001359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5. </w:t>
      </w:r>
      <w:r w:rsidR="00A33242" w:rsidRPr="00A33242">
        <w:rPr>
          <w:rFonts w:ascii="Arial" w:hAnsi="Arial" w:cs="Arial"/>
          <w:b/>
          <w:bCs/>
          <w:sz w:val="20"/>
          <w:szCs w:val="20"/>
          <w:shd w:val="clear" w:color="auto" w:fill="FFFFFF"/>
        </w:rPr>
        <w:t>Unidades de conservação</w:t>
      </w:r>
      <w:r w:rsidR="00B91436">
        <w:rPr>
          <w:rFonts w:ascii="Arial" w:hAnsi="Arial" w:cs="Arial"/>
          <w:b/>
          <w:bCs/>
          <w:sz w:val="20"/>
          <w:szCs w:val="20"/>
          <w:shd w:val="clear" w:color="auto" w:fill="FFFFFF"/>
        </w:rPr>
        <w:t>. M</w:t>
      </w:r>
      <w:r w:rsidR="00A33242" w:rsidRPr="00A33242">
        <w:rPr>
          <w:rFonts w:ascii="Arial" w:hAnsi="Arial" w:cs="Arial"/>
          <w:b/>
          <w:bCs/>
          <w:sz w:val="20"/>
          <w:szCs w:val="20"/>
          <w:shd w:val="clear" w:color="auto" w:fill="FFFFFF"/>
        </w:rPr>
        <w:t>edida provisória e retrocesso socioambiental</w:t>
      </w:r>
      <w:r w:rsidR="00B9143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. </w:t>
      </w:r>
      <w:r w:rsidR="00F51AB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Impossibilidade. </w:t>
      </w:r>
      <w:r w:rsidR="00B9143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Redução ou a supressão de espaços protegidos. </w:t>
      </w: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  <w:shd w:val="clear" w:color="auto" w:fill="FFFFFF"/>
        </w:rPr>
        <w:t>O Plenário, em conclusão de julgamento, conheceu em parte de ação direta e, nessa parte, julgou procedente o pedido para, sem pronunciamento de nulidade, declarar a inconstitucionalidade da Medida Provisória 558/2012, convertida na Lei 12.678/2012.</w:t>
      </w: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 xml:space="preserve">A ação direta foi conhecida apenas na parte em que aponta violação dos artigos 62 e 225, § 1º, III, da Constituição Federal, relativamente às alterações de limites de parques e florestas </w:t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lastRenderedPageBreak/>
        <w:t>nacionais, de área de proteção ambiental e de unidades de conservação, as quais foram promovidas com o objetivo de construção de usinas hidrelétricas</w:t>
      </w:r>
      <w:r w:rsidR="00330F9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30F94" w:rsidRDefault="00330F94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  <w:shd w:val="clear" w:color="auto" w:fill="FFFFFF"/>
        </w:rPr>
        <w:t>Quanto ao aspecto formal, o Tribunal reafirmou a possibilidade, ainda que em caráter excepcional, de declaração de inconstitucionalidade de medidas provisórias quando se afigure evidente o abuso do poder de legislar pelo Chefe do Executivo, em razão da indubitável ausência dos requisitos constitucionais de relevância e urgência.</w:t>
      </w: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>Asseverou que não ficou demonstrado, de forma satisfatória, a presença dos mencionados requisitos. À época da edição da medida provisória, os empreendimentos hidrelétricos que justificariam a desafetação das áreas protegidas ainda dependiam de licenciamentos ambientais, nos quais deveriam ser analisados os impactos e avaliada a conveniência e escolha dos sítios a serem efetivamente alagados.</w:t>
      </w: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 xml:space="preserve">Reconheceu a impossibilidade de diminuição ou supressão de espaços territoriais especialmente protegidos por meio de medida provisória. A proteção ao meio ambiente é um limite material implícito à edição de medida provisória, ainda que não conste expressamente do elenco das limitações previstas </w:t>
      </w:r>
      <w:r w:rsidR="00330F94">
        <w:rPr>
          <w:rFonts w:ascii="Arial" w:hAnsi="Arial" w:cs="Arial"/>
          <w:sz w:val="20"/>
          <w:szCs w:val="20"/>
          <w:shd w:val="clear" w:color="auto" w:fill="FFFFFF"/>
        </w:rPr>
        <w:t>no art. 62, § 1º, da CF.</w:t>
      </w:r>
    </w:p>
    <w:p w:rsidR="00457729" w:rsidRDefault="0045772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  <w:shd w:val="clear" w:color="auto" w:fill="FFFFFF"/>
        </w:rPr>
        <w:t>Ademais, normas que importem diminuição da proteção ao meio ambiente equilibrado só podem ser editadas por meio de lei formal, com amplo debate parlamentar e participação da sociedade civil e dos órgão e instituições de proteção ambiental, como forma de assegurar o direito de todos ao meio ambiente ecologicamente equilibrado. A adoção de medida provisória nessas hipóteses possui evidente potencial de causar prejuízos irreversíveis ao meio ambiente na eventualidade de não ser convertida em lei.</w:t>
      </w:r>
    </w:p>
    <w:p w:rsidR="00330F94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>Sob o prisma material, o Colegiado considerou que a norma impugnada contrariou o princípio da proibição de retrocesso socioambiental. Isso porque as alterações legislativas atingiram o núcleo essencial do direito fundamental ao meio ambiente ecologicamente equilibrado (art. 225 da CF).</w:t>
      </w: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>Enfatizou, ainda, que a aplicação do princípio da proibição do retrocesso socioambiental não pode engessar a ação legislativa e administrativa, sendo forçoso admitir certa margem de discricionariedade às autoridades públicas em matéria ambiental (ADI 4.350/DF)</w:t>
      </w:r>
      <w:r w:rsidR="00330F9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723619" w:rsidRPr="00723619" w:rsidRDefault="00723619" w:rsidP="007236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>Contudo, o que se consumou foi a indevida alteração de reservas florestais com gravosa diminuição da proteção de ecossistemas, à revelia do devido processo legislativo, por ato discricionário do Poder Executivo, e em prejuízo da proteção ambiental de parques nacionais.</w:t>
      </w: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</w:rPr>
        <w:br/>
      </w:r>
      <w:r w:rsidRPr="00723619">
        <w:rPr>
          <w:rFonts w:ascii="Arial" w:hAnsi="Arial" w:cs="Arial"/>
          <w:sz w:val="20"/>
          <w:szCs w:val="20"/>
          <w:shd w:val="clear" w:color="auto" w:fill="FFFFFF"/>
        </w:rPr>
        <w:t xml:space="preserve">Por fim, o Tribunal julgou procedente a ação, sem pronunciamento de nulidade, ao fundamento de que o irreversível alagamento das áreas desafetadas e a execução dos empreendimentos hidrelétricos já não permite a invalidação dos efeitos produzidos, dada a impossibilidade material de reversão ao </w:t>
      </w:r>
      <w:r w:rsidRPr="00F51ABF">
        <w:rPr>
          <w:rFonts w:ascii="Arial" w:hAnsi="Arial" w:cs="Arial"/>
          <w:i/>
          <w:sz w:val="20"/>
          <w:szCs w:val="20"/>
          <w:shd w:val="clear" w:color="auto" w:fill="FFFFFF"/>
        </w:rPr>
        <w:t>“status quo ante”.</w:t>
      </w:r>
    </w:p>
    <w:p w:rsidR="00B91436" w:rsidRDefault="00CC5DE0" w:rsidP="001359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hyperlink r:id="rId13" w:history="1">
        <w:r w:rsidR="00723619" w:rsidRPr="004D6EB3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ADI 4717/DF</w:t>
        </w:r>
      </w:hyperlink>
      <w:r w:rsidR="00723619" w:rsidRPr="004D6EB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</w:t>
      </w:r>
      <w:r w:rsidR="00723619" w:rsidRPr="0045772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rel. Min. </w:t>
      </w:r>
      <w:proofErr w:type="spellStart"/>
      <w:r w:rsidR="00723619" w:rsidRPr="00457729">
        <w:rPr>
          <w:rFonts w:ascii="Arial" w:hAnsi="Arial" w:cs="Arial"/>
          <w:bCs/>
          <w:sz w:val="20"/>
          <w:szCs w:val="20"/>
          <w:shd w:val="clear" w:color="auto" w:fill="FFFFFF"/>
        </w:rPr>
        <w:t>Cármen</w:t>
      </w:r>
      <w:proofErr w:type="spellEnd"/>
      <w:r w:rsidR="00723619" w:rsidRPr="0045772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Lúcia, julgamento em 5.4.2018. (ADI-4717)</w:t>
      </w:r>
      <w:r w:rsidR="00D4719A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:rsidR="00926B8F" w:rsidRPr="0022060B" w:rsidRDefault="00926B8F" w:rsidP="00926B8F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SUPERIOR TRIBUNAL DE JUSTIÇA </w:t>
      </w:r>
    </w:p>
    <w:p w:rsidR="00926B8F" w:rsidRDefault="00926B8F" w:rsidP="00926B8F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4E485E" w:rsidRDefault="00C0591A" w:rsidP="00926B8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C0591A">
        <w:rPr>
          <w:rFonts w:ascii="Arial" w:hAnsi="Arial" w:cs="Arial"/>
          <w:b/>
          <w:sz w:val="20"/>
          <w:szCs w:val="20"/>
        </w:rPr>
        <w:t>Administrativo. Regime jurídico das águas subterrâneas e aquíferos. Competência ambiental. Fornecimento de água. Fonte alternativa. Poço artesiano. Art. 45 da lei 11.445/2007. Conexão à rede pública. Pagamento de tarifa. Art. 12, II, da lei 9.433/1997. Crise hídrica e mudanças climáticas.</w:t>
      </w:r>
    </w:p>
    <w:p w:rsidR="004D6EB3" w:rsidRDefault="004D6EB3" w:rsidP="00926B8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D6EB3" w:rsidRDefault="004D6EB3" w:rsidP="00926B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6EB3">
        <w:rPr>
          <w:rFonts w:ascii="Arial" w:hAnsi="Arial" w:cs="Arial"/>
          <w:sz w:val="20"/>
          <w:szCs w:val="20"/>
        </w:rPr>
        <w:t>O Estado</w:t>
      </w:r>
      <w:r>
        <w:rPr>
          <w:rFonts w:ascii="Arial" w:hAnsi="Arial" w:cs="Arial"/>
          <w:sz w:val="20"/>
          <w:szCs w:val="20"/>
        </w:rPr>
        <w:t>-membro</w:t>
      </w:r>
      <w:r w:rsidRPr="004D6EB3">
        <w:rPr>
          <w:rFonts w:ascii="Arial" w:hAnsi="Arial" w:cs="Arial"/>
          <w:sz w:val="20"/>
          <w:szCs w:val="20"/>
        </w:rPr>
        <w:t xml:space="preserve"> possui domínio das águas subterrâneas nos precisos termos do art. 20, III, da CF/1988, desde que não se trate de águas subterrâneas federais, isto é,</w:t>
      </w:r>
      <w:r>
        <w:rPr>
          <w:rFonts w:ascii="Arial" w:hAnsi="Arial" w:cs="Arial"/>
          <w:sz w:val="20"/>
          <w:szCs w:val="20"/>
        </w:rPr>
        <w:t xml:space="preserve"> sob terrenos de domínio da União</w:t>
      </w:r>
      <w:r w:rsidRPr="004D6EB3">
        <w:rPr>
          <w:rFonts w:ascii="Arial" w:hAnsi="Arial" w:cs="Arial"/>
          <w:sz w:val="20"/>
          <w:szCs w:val="20"/>
        </w:rPr>
        <w:t xml:space="preserve">, que banhem mais de um Estado ou sejam compartilhadas com outros países. E, mesmo que não fossem de domínio estadual as águas subterrâneas em questão, ainda assim não ficaria limitada a competência ambiental do Estado, seja para legislar sob tal ótica, seja para exercer seu poder de polícia para evitar degradação quantitativa (superexploração e exaustão da reserva) e qualitativa (contaminação dos aquíferos subterrâneos) de recurso natural tão precioso para as presentes e futuras gerações. </w:t>
      </w:r>
    </w:p>
    <w:p w:rsidR="004D6EB3" w:rsidRDefault="004D6EB3" w:rsidP="00926B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6EB3">
        <w:rPr>
          <w:rFonts w:ascii="Arial" w:hAnsi="Arial" w:cs="Arial"/>
          <w:sz w:val="20"/>
          <w:szCs w:val="20"/>
        </w:rPr>
        <w:t>A multiplicidade e a sobreposição de esferas de controle se justificam pela crescente escassez hídrica, que afeta milhões de brasileiros nas maiores cidades do País e incontáveis outros na zona rural, situação mais preocupante ainda diante de apavorantes previsões de agravamento e calamidade pública na esteira de incontestáveis mudanças climáticas de origem antropogênica.</w:t>
      </w:r>
    </w:p>
    <w:p w:rsidR="004D6EB3" w:rsidRPr="004D6EB3" w:rsidRDefault="004D6EB3" w:rsidP="00926B8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6EB3" w:rsidRDefault="004D6EB3" w:rsidP="00926B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6EB3">
        <w:rPr>
          <w:rFonts w:ascii="Arial" w:hAnsi="Arial" w:cs="Arial"/>
          <w:sz w:val="20"/>
          <w:szCs w:val="20"/>
        </w:rPr>
        <w:t>O STJ possui entendimento, em situações análogas, de que o inciso II do art. 12 da Lei 9.433/1997 condiciona a extração de água do subterrâneo à respectiva outorga, o que se explica pela ressabida escassez do bem, considerado como recurso limitado, de domínio público e de expressivo valor econômico (</w:t>
      </w:r>
      <w:proofErr w:type="spellStart"/>
      <w:r w:rsidRPr="004D6EB3">
        <w:rPr>
          <w:rFonts w:ascii="Arial" w:hAnsi="Arial" w:cs="Arial"/>
          <w:sz w:val="20"/>
          <w:szCs w:val="20"/>
        </w:rPr>
        <w:t>AgRg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4D6EB3">
        <w:rPr>
          <w:rFonts w:ascii="Arial" w:hAnsi="Arial" w:cs="Arial"/>
          <w:sz w:val="20"/>
          <w:szCs w:val="20"/>
        </w:rPr>
        <w:t>REsp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1.352.664/RJ, Rel. Ministro Mauro Campbell Marques, Segunda Turma, </w:t>
      </w:r>
      <w:proofErr w:type="spellStart"/>
      <w:r w:rsidRPr="004D6EB3">
        <w:rPr>
          <w:rFonts w:ascii="Arial" w:hAnsi="Arial" w:cs="Arial"/>
          <w:sz w:val="20"/>
          <w:szCs w:val="20"/>
        </w:rPr>
        <w:t>DJe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20/5/2013; </w:t>
      </w:r>
      <w:proofErr w:type="spellStart"/>
      <w:r w:rsidRPr="004D6EB3">
        <w:rPr>
          <w:rFonts w:ascii="Arial" w:hAnsi="Arial" w:cs="Arial"/>
          <w:sz w:val="20"/>
          <w:szCs w:val="20"/>
        </w:rPr>
        <w:t>AgRg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4D6EB3">
        <w:rPr>
          <w:rFonts w:ascii="Arial" w:hAnsi="Arial" w:cs="Arial"/>
          <w:sz w:val="20"/>
          <w:szCs w:val="20"/>
        </w:rPr>
        <w:t>AgRg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4D6EB3">
        <w:rPr>
          <w:rFonts w:ascii="Arial" w:hAnsi="Arial" w:cs="Arial"/>
          <w:sz w:val="20"/>
          <w:szCs w:val="20"/>
        </w:rPr>
        <w:t>REsp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1.185.670/RS, Rel. Min. Benedito Gonçalves, Primeira Turma, </w:t>
      </w:r>
      <w:proofErr w:type="spellStart"/>
      <w:r w:rsidRPr="004D6EB3">
        <w:rPr>
          <w:rFonts w:ascii="Arial" w:hAnsi="Arial" w:cs="Arial"/>
          <w:sz w:val="20"/>
          <w:szCs w:val="20"/>
        </w:rPr>
        <w:t>DJe</w:t>
      </w:r>
      <w:proofErr w:type="spellEnd"/>
      <w:r w:rsidRPr="004D6EB3">
        <w:rPr>
          <w:rFonts w:ascii="Arial" w:hAnsi="Arial" w:cs="Arial"/>
          <w:sz w:val="20"/>
          <w:szCs w:val="20"/>
        </w:rPr>
        <w:t xml:space="preserve"> 6/9/2011). </w:t>
      </w:r>
    </w:p>
    <w:p w:rsidR="004D6EB3" w:rsidRDefault="004D6EB3" w:rsidP="00926B8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6EB3" w:rsidRPr="004D6EB3" w:rsidRDefault="004D6EB3" w:rsidP="00926B8F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 w:rsidRPr="004D6EB3">
        <w:rPr>
          <w:rFonts w:ascii="Arial" w:hAnsi="Arial" w:cs="Arial"/>
          <w:sz w:val="20"/>
          <w:szCs w:val="20"/>
        </w:rPr>
        <w:t>A interpretação sistemática do art. 45 da Lei 11.445/2007 não afasta o poder normativo e de polícia dos Estados no que diz respeito ao acesso às fontes de abastecimento de água e à determinação de conexão obrigatória à rede pública.</w:t>
      </w:r>
    </w:p>
    <w:p w:rsidR="00A9030C" w:rsidRPr="00457729" w:rsidRDefault="00A9030C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6EB3" w:rsidRPr="004D6EB3" w:rsidRDefault="00CC5DE0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4" w:history="1">
        <w:proofErr w:type="spellStart"/>
        <w:r w:rsidR="00B27047" w:rsidRPr="00457729">
          <w:rPr>
            <w:rStyle w:val="Hyperlink"/>
            <w:rFonts w:ascii="Arial" w:hAnsi="Arial" w:cs="Arial"/>
            <w:b/>
            <w:sz w:val="20"/>
            <w:szCs w:val="20"/>
          </w:rPr>
          <w:t>REs</w:t>
        </w:r>
        <w:r w:rsidR="00DE554E" w:rsidRPr="00457729">
          <w:rPr>
            <w:rStyle w:val="Hyperlink"/>
            <w:rFonts w:ascii="Arial" w:hAnsi="Arial" w:cs="Arial"/>
            <w:b/>
            <w:sz w:val="20"/>
            <w:szCs w:val="20"/>
          </w:rPr>
          <w:t>p</w:t>
        </w:r>
        <w:proofErr w:type="spellEnd"/>
        <w:r w:rsidR="00B27047" w:rsidRPr="00457729">
          <w:rPr>
            <w:rStyle w:val="Hyperlink"/>
            <w:rFonts w:ascii="Arial" w:hAnsi="Arial" w:cs="Arial"/>
            <w:b/>
            <w:sz w:val="20"/>
            <w:szCs w:val="20"/>
          </w:rPr>
          <w:t xml:space="preserve"> n</w:t>
        </w:r>
        <w:r w:rsidR="004D6EB3" w:rsidRPr="00457729">
          <w:rPr>
            <w:rStyle w:val="Hyperlink"/>
            <w:rFonts w:ascii="Arial" w:hAnsi="Arial" w:cs="Arial"/>
            <w:b/>
            <w:sz w:val="20"/>
            <w:szCs w:val="20"/>
          </w:rPr>
          <w:t>º 1.306.093 - RJ (2011/0145236-6)</w:t>
        </w:r>
      </w:hyperlink>
      <w:r w:rsidR="004D6EB3">
        <w:rPr>
          <w:rFonts w:ascii="Arial" w:hAnsi="Arial" w:cs="Arial"/>
          <w:sz w:val="20"/>
          <w:szCs w:val="20"/>
        </w:rPr>
        <w:t xml:space="preserve">, </w:t>
      </w:r>
      <w:r w:rsidR="006F58AE">
        <w:rPr>
          <w:rFonts w:ascii="Arial" w:hAnsi="Arial" w:cs="Arial"/>
          <w:sz w:val="20"/>
          <w:szCs w:val="20"/>
        </w:rPr>
        <w:t xml:space="preserve">Rel. Ministro Herman Benjamin, Segunda Turma, julgado em </w:t>
      </w:r>
      <w:r w:rsidR="007927B1">
        <w:rPr>
          <w:rFonts w:ascii="Arial" w:hAnsi="Arial" w:cs="Arial"/>
          <w:sz w:val="20"/>
          <w:szCs w:val="20"/>
        </w:rPr>
        <w:t>11</w:t>
      </w:r>
      <w:r w:rsidR="006F58AE">
        <w:rPr>
          <w:rFonts w:ascii="Arial" w:hAnsi="Arial" w:cs="Arial"/>
          <w:sz w:val="20"/>
          <w:szCs w:val="20"/>
        </w:rPr>
        <w:t>/0</w:t>
      </w:r>
      <w:r w:rsidR="007927B1">
        <w:rPr>
          <w:rFonts w:ascii="Arial" w:hAnsi="Arial" w:cs="Arial"/>
          <w:sz w:val="20"/>
          <w:szCs w:val="20"/>
        </w:rPr>
        <w:t>4</w:t>
      </w:r>
      <w:r w:rsidR="006F58AE">
        <w:rPr>
          <w:rFonts w:ascii="Arial" w:hAnsi="Arial" w:cs="Arial"/>
          <w:sz w:val="20"/>
          <w:szCs w:val="20"/>
        </w:rPr>
        <w:t>/2013</w:t>
      </w:r>
      <w:r w:rsidR="007927B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27B1">
        <w:rPr>
          <w:rFonts w:ascii="Arial" w:hAnsi="Arial" w:cs="Arial"/>
          <w:sz w:val="20"/>
          <w:szCs w:val="20"/>
        </w:rPr>
        <w:t>DJe</w:t>
      </w:r>
      <w:proofErr w:type="spellEnd"/>
      <w:r w:rsidR="007927B1">
        <w:rPr>
          <w:rFonts w:ascii="Arial" w:hAnsi="Arial" w:cs="Arial"/>
          <w:sz w:val="20"/>
          <w:szCs w:val="20"/>
        </w:rPr>
        <w:t xml:space="preserve"> 28/05/2013.</w:t>
      </w:r>
    </w:p>
    <w:p w:rsidR="00A9030C" w:rsidRPr="00170581" w:rsidRDefault="00A9030C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8762F" w:rsidRPr="0022060B" w:rsidRDefault="00E8762F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Observações: </w:t>
      </w:r>
    </w:p>
    <w:p w:rsidR="005C4DB7" w:rsidRPr="0022060B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D64EE6" wp14:editId="599D7F1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7E9F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26477F" w:rsidRPr="0022060B" w:rsidRDefault="0026477F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22060B">
        <w:rPr>
          <w:rFonts w:ascii="Arial" w:hAnsi="Arial" w:cs="Arial"/>
          <w:color w:val="000000"/>
          <w:sz w:val="20"/>
          <w:szCs w:val="20"/>
        </w:rPr>
        <w:t>Ju</w:t>
      </w:r>
      <w:r w:rsidR="00AD528F" w:rsidRPr="0022060B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:rsidR="000B2FD9" w:rsidRDefault="000B2FD9" w:rsidP="000B2FD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9030C" w:rsidRDefault="00A9030C" w:rsidP="00A9030C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Supremo Tribunal Federal:</w:t>
      </w:r>
    </w:p>
    <w:p w:rsidR="00A9030C" w:rsidRDefault="00A9030C" w:rsidP="00A9030C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53433" w:rsidRDefault="00453433" w:rsidP="00453433">
      <w:pPr>
        <w:spacing w:after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453433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O Município tem competência para legislar sobre meio ambiente e controle da poluição, quando se tratar de interesse local.</w:t>
      </w:r>
    </w:p>
    <w:p w:rsidR="00CC5DE0" w:rsidRPr="00453433" w:rsidRDefault="00CC5DE0" w:rsidP="00453433">
      <w:pPr>
        <w:spacing w:after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bookmarkStart w:id="1" w:name="_GoBack"/>
      <w:bookmarkEnd w:id="1"/>
    </w:p>
    <w:p w:rsidR="00A9030C" w:rsidRDefault="004B772C" w:rsidP="004B772C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772C">
        <w:rPr>
          <w:rFonts w:ascii="Arial" w:hAnsi="Arial" w:cs="Arial"/>
          <w:sz w:val="20"/>
          <w:szCs w:val="20"/>
          <w:shd w:val="clear" w:color="auto" w:fill="FFFFFF"/>
        </w:rPr>
        <w:t xml:space="preserve">Com esse entendimento, o Plenário, em conclusão de julgamento e por maioria, negou provimento </w:t>
      </w:r>
      <w:proofErr w:type="spellStart"/>
      <w:r w:rsidRPr="004B772C">
        <w:rPr>
          <w:rFonts w:ascii="Arial" w:hAnsi="Arial" w:cs="Arial"/>
          <w:sz w:val="20"/>
          <w:szCs w:val="20"/>
          <w:shd w:val="clear" w:color="auto" w:fill="FFFFFF"/>
        </w:rPr>
        <w:t>a</w:t>
      </w:r>
      <w:proofErr w:type="spellEnd"/>
      <w:r w:rsidRPr="004B772C">
        <w:rPr>
          <w:rFonts w:ascii="Arial" w:hAnsi="Arial" w:cs="Arial"/>
          <w:sz w:val="20"/>
          <w:szCs w:val="20"/>
          <w:shd w:val="clear" w:color="auto" w:fill="FFFFFF"/>
        </w:rPr>
        <w:t xml:space="preserve"> recurso extraordinário em que se debateu a competência dos Municípios para legislar sobre proteção do meio ambiente e controle da poluição. Cuida-se, na espécie, de recurso extraordinário contra acórdão de tribunal estadual que, ao julgar apelação em </w:t>
      </w:r>
      <w:proofErr w:type="gramStart"/>
      <w:r w:rsidRPr="004B772C">
        <w:rPr>
          <w:rFonts w:ascii="Arial" w:hAnsi="Arial" w:cs="Arial"/>
          <w:sz w:val="20"/>
          <w:szCs w:val="20"/>
          <w:shd w:val="clear" w:color="auto" w:fill="FFFFFF"/>
        </w:rPr>
        <w:t>mandado</w:t>
      </w:r>
      <w:proofErr w:type="gramEnd"/>
      <w:r w:rsidRPr="004B772C">
        <w:rPr>
          <w:rFonts w:ascii="Arial" w:hAnsi="Arial" w:cs="Arial"/>
          <w:sz w:val="20"/>
          <w:szCs w:val="20"/>
          <w:shd w:val="clear" w:color="auto" w:fill="FFFFFF"/>
        </w:rPr>
        <w:t xml:space="preserve"> de segurança, reconheceu a legitimidade de legislação municipal com base na qual se aplicaram multas por poluição do meio ambiente, decorrente da emissão de fumaça por veículos </w:t>
      </w:r>
      <w:r w:rsidR="005F1E93">
        <w:rPr>
          <w:rFonts w:ascii="Arial" w:hAnsi="Arial" w:cs="Arial"/>
          <w:sz w:val="20"/>
          <w:szCs w:val="20"/>
          <w:shd w:val="clear" w:color="auto" w:fill="FFFFFF"/>
        </w:rPr>
        <w:t>automotores no perímetro urbano.</w:t>
      </w:r>
    </w:p>
    <w:p w:rsidR="00453433" w:rsidRDefault="00453433" w:rsidP="004B772C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53433" w:rsidRPr="00453433" w:rsidRDefault="00CC5DE0" w:rsidP="00453433">
      <w:pPr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fldChar w:fldCharType="begin"/>
      </w:r>
      <w:r w:rsidRPr="00CC5DE0">
        <w:rPr>
          <w:lang w:val="es-ES_tradnl"/>
        </w:rPr>
        <w:instrText xml:space="preserve"> HYPERLINK "http://portal.stf.jus.br/pr</w:instrText>
      </w:r>
      <w:r w:rsidRPr="00CC5DE0">
        <w:rPr>
          <w:lang w:val="es-ES_tradnl"/>
        </w:rPr>
        <w:instrText xml:space="preserve">ocessos/detalhe.asp?incidente=1623797" </w:instrText>
      </w:r>
      <w:r>
        <w:fldChar w:fldCharType="separate"/>
      </w:r>
      <w:proofErr w:type="gramStart"/>
      <w:r w:rsidR="00453433" w:rsidRPr="00453433">
        <w:rPr>
          <w:rStyle w:val="Hyperlink"/>
          <w:rFonts w:ascii="Arial" w:hAnsi="Arial" w:cs="Arial"/>
          <w:b/>
          <w:bCs/>
          <w:sz w:val="20"/>
          <w:szCs w:val="20"/>
          <w:shd w:val="clear" w:color="auto" w:fill="FFFFFF"/>
          <w:lang w:val="es-ES_tradnl"/>
        </w:rPr>
        <w:t>RE 194704</w:t>
      </w:r>
      <w:proofErr w:type="gramEnd"/>
      <w:r w:rsidR="00453433" w:rsidRPr="00453433">
        <w:rPr>
          <w:rStyle w:val="Hyperlink"/>
          <w:rFonts w:ascii="Arial" w:hAnsi="Arial" w:cs="Arial"/>
          <w:b/>
          <w:bCs/>
          <w:sz w:val="20"/>
          <w:szCs w:val="20"/>
          <w:shd w:val="clear" w:color="auto" w:fill="FFFFFF"/>
          <w:lang w:val="es-ES_tradnl"/>
        </w:rPr>
        <w:t>/MG</w:t>
      </w:r>
      <w:r>
        <w:rPr>
          <w:rStyle w:val="Hyperlink"/>
          <w:rFonts w:ascii="Arial" w:hAnsi="Arial" w:cs="Arial"/>
          <w:b/>
          <w:bCs/>
          <w:sz w:val="20"/>
          <w:szCs w:val="20"/>
          <w:shd w:val="clear" w:color="auto" w:fill="FFFFFF"/>
          <w:lang w:val="es-ES_tradnl"/>
        </w:rPr>
        <w:fldChar w:fldCharType="end"/>
      </w:r>
      <w:r w:rsidR="00453433" w:rsidRPr="00453433">
        <w:rPr>
          <w:rFonts w:ascii="Arial" w:hAnsi="Arial" w:cs="Arial"/>
          <w:b/>
          <w:bCs/>
          <w:sz w:val="20"/>
          <w:szCs w:val="20"/>
          <w:shd w:val="clear" w:color="auto" w:fill="FFFFFF"/>
          <w:lang w:val="es-ES_tradnl"/>
        </w:rPr>
        <w:t xml:space="preserve">, </w:t>
      </w:r>
      <w:proofErr w:type="spellStart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  <w:lang w:val="es-ES_tradnl"/>
        </w:rPr>
        <w:t>rel.</w:t>
      </w:r>
      <w:proofErr w:type="spellEnd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  <w:lang w:val="es-ES_tradnl"/>
        </w:rPr>
        <w:t xml:space="preserve"> </w:t>
      </w:r>
      <w:proofErr w:type="spellStart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  <w:lang w:val="es-ES_tradnl"/>
        </w:rPr>
        <w:t>orig</w:t>
      </w:r>
      <w:proofErr w:type="spellEnd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  <w:lang w:val="es-ES_tradnl"/>
        </w:rPr>
        <w:t xml:space="preserve">. Min. Carlos Velloso, red. p/ o ac. </w:t>
      </w:r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Min. Edson </w:t>
      </w:r>
      <w:proofErr w:type="spellStart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</w:rPr>
        <w:t>Fachin</w:t>
      </w:r>
      <w:proofErr w:type="spellEnd"/>
      <w:r w:rsidR="00453433" w:rsidRPr="004534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julgamento em 29.6.2017. </w:t>
      </w:r>
    </w:p>
    <w:p w:rsidR="00453433" w:rsidRDefault="00453433" w:rsidP="00453433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:rsidR="00D054E0" w:rsidRDefault="00CC5DE0" w:rsidP="00D054E0">
      <w:pPr>
        <w:pStyle w:val="Default"/>
        <w:spacing w:line="276" w:lineRule="auto"/>
        <w:jc w:val="center"/>
        <w:rPr>
          <w:rStyle w:val="Hyperlink"/>
        </w:rPr>
      </w:pPr>
      <w:hyperlink r:id="rId15" w:history="1">
        <w:r w:rsidR="00D054E0">
          <w:rPr>
            <w:rStyle w:val="Hyperlink"/>
            <w:b/>
            <w:sz w:val="20"/>
            <w:szCs w:val="20"/>
          </w:rPr>
          <w:t>Pesquisas Prontas</w:t>
        </w:r>
      </w:hyperlink>
    </w:p>
    <w:p w:rsidR="00D054E0" w:rsidRDefault="00D054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D054E0" w:rsidRDefault="00CC5D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D054E0" w:rsidRPr="00D054E0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:rsidR="00D054E0" w:rsidRDefault="00D054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D054E0" w:rsidRDefault="00CC5DE0" w:rsidP="00D054E0">
      <w:pPr>
        <w:pStyle w:val="Default"/>
        <w:spacing w:line="276" w:lineRule="auto"/>
        <w:jc w:val="center"/>
      </w:pPr>
      <w:hyperlink r:id="rId17" w:history="1">
        <w:proofErr w:type="spellStart"/>
        <w:r w:rsidR="00D054E0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:rsidR="00D054E0" w:rsidRDefault="00D054E0" w:rsidP="00D054E0">
      <w:pPr>
        <w:pStyle w:val="Default"/>
        <w:spacing w:line="276" w:lineRule="auto"/>
        <w:jc w:val="center"/>
      </w:pPr>
    </w:p>
    <w:p w:rsidR="00D054E0" w:rsidRDefault="00CC5D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8" w:history="1">
        <w:r w:rsidR="00D054E0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:rsidR="00D054E0" w:rsidRDefault="00D054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D054E0" w:rsidRDefault="00CC5DE0" w:rsidP="00D054E0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9" w:history="1">
        <w:r w:rsidR="00D054E0">
          <w:rPr>
            <w:rStyle w:val="Hyperlink"/>
            <w:b/>
            <w:sz w:val="20"/>
            <w:szCs w:val="20"/>
          </w:rPr>
          <w:t>Súmulas Selecionadas</w:t>
        </w:r>
      </w:hyperlink>
    </w:p>
    <w:p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484C90" wp14:editId="67AE2BB8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:rsidR="00DB558E" w:rsidRDefault="00DB558E" w:rsidP="00DB558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:rsidR="00DB558E" w:rsidRDefault="00DB558E" w:rsidP="00DB558E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01524" w:rsidRPr="0022060B" w:rsidRDefault="00E01524" w:rsidP="00DB558E">
      <w:pPr>
        <w:pStyle w:val="TCU-Epgrafe"/>
        <w:spacing w:after="200" w:line="276" w:lineRule="auto"/>
        <w:ind w:left="0"/>
        <w:rPr>
          <w:rFonts w:ascii="Arial" w:hAnsi="Arial" w:cs="Arial"/>
          <w:b/>
          <w:sz w:val="20"/>
        </w:rPr>
      </w:pPr>
    </w:p>
    <w:sectPr w:rsidR="00E01524" w:rsidRPr="0022060B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84" w:rsidRDefault="00126C84" w:rsidP="00350CC2">
      <w:pPr>
        <w:spacing w:after="0" w:line="240" w:lineRule="auto"/>
      </w:pPr>
      <w:r>
        <w:separator/>
      </w:r>
    </w:p>
  </w:endnote>
  <w:endnote w:type="continuationSeparator" w:id="0">
    <w:p w:rsidR="00126C84" w:rsidRDefault="00126C84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4" w:rsidRDefault="00126C84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4DD8E97D" wp14:editId="15823BC0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6C84" w:rsidRPr="00722924" w:rsidRDefault="00126C84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:rsidR="00126C84" w:rsidRDefault="00126C84"/>
  <w:p w:rsidR="00126C84" w:rsidRDefault="00126C84"/>
  <w:p w:rsidR="00126C84" w:rsidRDefault="0012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84" w:rsidRDefault="00126C84" w:rsidP="00350CC2">
      <w:pPr>
        <w:spacing w:after="0" w:line="240" w:lineRule="auto"/>
      </w:pPr>
      <w:r>
        <w:separator/>
      </w:r>
    </w:p>
  </w:footnote>
  <w:footnote w:type="continuationSeparator" w:id="0">
    <w:p w:rsidR="00126C84" w:rsidRDefault="00126C84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4" w:rsidRDefault="00126C84" w:rsidP="00F14CCC">
    <w:pPr>
      <w:pStyle w:val="Cabealho"/>
      <w:spacing w:after="100" w:afterAutospacing="1"/>
      <w:jc w:val="center"/>
      <w:rPr>
        <w:b/>
      </w:rPr>
    </w:pPr>
  </w:p>
  <w:p w:rsidR="00126C84" w:rsidRDefault="00126C84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460CA892" wp14:editId="6EABBF5B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EBE2DD" wp14:editId="421EAD3B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811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62AD"/>
    <w:rsid w:val="00027A03"/>
    <w:rsid w:val="00027FAB"/>
    <w:rsid w:val="000300F4"/>
    <w:rsid w:val="00032A26"/>
    <w:rsid w:val="00033422"/>
    <w:rsid w:val="00033E69"/>
    <w:rsid w:val="000406C8"/>
    <w:rsid w:val="00040EBA"/>
    <w:rsid w:val="00042502"/>
    <w:rsid w:val="00042DF3"/>
    <w:rsid w:val="000433EC"/>
    <w:rsid w:val="000439FD"/>
    <w:rsid w:val="00045700"/>
    <w:rsid w:val="00046191"/>
    <w:rsid w:val="00046E21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1FB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5C78"/>
    <w:rsid w:val="0009711C"/>
    <w:rsid w:val="0009762F"/>
    <w:rsid w:val="00097B00"/>
    <w:rsid w:val="000A05C5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5A18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AAB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6C84"/>
    <w:rsid w:val="00127DF2"/>
    <w:rsid w:val="00130717"/>
    <w:rsid w:val="0013298B"/>
    <w:rsid w:val="0013396B"/>
    <w:rsid w:val="001342E3"/>
    <w:rsid w:val="0013514C"/>
    <w:rsid w:val="0013583F"/>
    <w:rsid w:val="001359B3"/>
    <w:rsid w:val="00135D5F"/>
    <w:rsid w:val="001411E6"/>
    <w:rsid w:val="001415BA"/>
    <w:rsid w:val="00142D10"/>
    <w:rsid w:val="00144712"/>
    <w:rsid w:val="001472C1"/>
    <w:rsid w:val="00150844"/>
    <w:rsid w:val="001529D8"/>
    <w:rsid w:val="00156185"/>
    <w:rsid w:val="00156F74"/>
    <w:rsid w:val="00157806"/>
    <w:rsid w:val="00157D64"/>
    <w:rsid w:val="0016028F"/>
    <w:rsid w:val="00161AA2"/>
    <w:rsid w:val="0016670D"/>
    <w:rsid w:val="00166A96"/>
    <w:rsid w:val="00170581"/>
    <w:rsid w:val="00170F9D"/>
    <w:rsid w:val="00171401"/>
    <w:rsid w:val="001720EB"/>
    <w:rsid w:val="00172248"/>
    <w:rsid w:val="001743DD"/>
    <w:rsid w:val="0017455D"/>
    <w:rsid w:val="001770AF"/>
    <w:rsid w:val="001800A9"/>
    <w:rsid w:val="001823E7"/>
    <w:rsid w:val="0018272D"/>
    <w:rsid w:val="0018361F"/>
    <w:rsid w:val="00190B94"/>
    <w:rsid w:val="001930D1"/>
    <w:rsid w:val="001942C5"/>
    <w:rsid w:val="00196437"/>
    <w:rsid w:val="001975AB"/>
    <w:rsid w:val="001A16DE"/>
    <w:rsid w:val="001A5D2D"/>
    <w:rsid w:val="001A73A2"/>
    <w:rsid w:val="001B096B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9B2"/>
    <w:rsid w:val="001E2E5A"/>
    <w:rsid w:val="001E5F2E"/>
    <w:rsid w:val="001E6CAA"/>
    <w:rsid w:val="001E73FF"/>
    <w:rsid w:val="001E75A7"/>
    <w:rsid w:val="001F7A25"/>
    <w:rsid w:val="00200161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5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6689"/>
    <w:rsid w:val="00237C21"/>
    <w:rsid w:val="00241679"/>
    <w:rsid w:val="0024200E"/>
    <w:rsid w:val="002426C3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8BC"/>
    <w:rsid w:val="002659BA"/>
    <w:rsid w:val="0026729F"/>
    <w:rsid w:val="002675E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E9F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5D1"/>
    <w:rsid w:val="002F1634"/>
    <w:rsid w:val="002F1848"/>
    <w:rsid w:val="002F1D70"/>
    <w:rsid w:val="002F22FA"/>
    <w:rsid w:val="002F73BA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0F94"/>
    <w:rsid w:val="00331533"/>
    <w:rsid w:val="0033240F"/>
    <w:rsid w:val="00333875"/>
    <w:rsid w:val="0033604C"/>
    <w:rsid w:val="003407F0"/>
    <w:rsid w:val="00342B5C"/>
    <w:rsid w:val="00343C28"/>
    <w:rsid w:val="00344282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751C"/>
    <w:rsid w:val="0038778B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650C"/>
    <w:rsid w:val="003D6713"/>
    <w:rsid w:val="003D6E90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5DFF"/>
    <w:rsid w:val="00416A72"/>
    <w:rsid w:val="00420AE1"/>
    <w:rsid w:val="00424D0F"/>
    <w:rsid w:val="0042561C"/>
    <w:rsid w:val="0042728A"/>
    <w:rsid w:val="004276DC"/>
    <w:rsid w:val="0042779B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3433"/>
    <w:rsid w:val="00455387"/>
    <w:rsid w:val="00455AAB"/>
    <w:rsid w:val="00457317"/>
    <w:rsid w:val="00457729"/>
    <w:rsid w:val="0046001A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B772C"/>
    <w:rsid w:val="004C11DE"/>
    <w:rsid w:val="004C13DB"/>
    <w:rsid w:val="004D00EF"/>
    <w:rsid w:val="004D14AD"/>
    <w:rsid w:val="004D376C"/>
    <w:rsid w:val="004D3864"/>
    <w:rsid w:val="004D58CD"/>
    <w:rsid w:val="004D5EEF"/>
    <w:rsid w:val="004D6EB3"/>
    <w:rsid w:val="004D75B0"/>
    <w:rsid w:val="004D7DC5"/>
    <w:rsid w:val="004E109A"/>
    <w:rsid w:val="004E3B94"/>
    <w:rsid w:val="004E485E"/>
    <w:rsid w:val="004E6410"/>
    <w:rsid w:val="004E7C93"/>
    <w:rsid w:val="004F3C8F"/>
    <w:rsid w:val="00500939"/>
    <w:rsid w:val="00501A1D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C4D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DB7"/>
    <w:rsid w:val="005C5DC8"/>
    <w:rsid w:val="005C661E"/>
    <w:rsid w:val="005C7258"/>
    <w:rsid w:val="005D1E9E"/>
    <w:rsid w:val="005D48C8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E7DAF"/>
    <w:rsid w:val="005F03A4"/>
    <w:rsid w:val="005F0C51"/>
    <w:rsid w:val="005F16DB"/>
    <w:rsid w:val="005F17B2"/>
    <w:rsid w:val="005F1E93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0759B"/>
    <w:rsid w:val="006105E3"/>
    <w:rsid w:val="006115E2"/>
    <w:rsid w:val="00613D08"/>
    <w:rsid w:val="0061491F"/>
    <w:rsid w:val="00615FC7"/>
    <w:rsid w:val="00620DEF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4F67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58F"/>
    <w:rsid w:val="006D1B83"/>
    <w:rsid w:val="006D1BE7"/>
    <w:rsid w:val="006D3590"/>
    <w:rsid w:val="006D3BB4"/>
    <w:rsid w:val="006D5C98"/>
    <w:rsid w:val="006D6FCC"/>
    <w:rsid w:val="006E0A9F"/>
    <w:rsid w:val="006E12D5"/>
    <w:rsid w:val="006E1EDC"/>
    <w:rsid w:val="006E26E8"/>
    <w:rsid w:val="006E4493"/>
    <w:rsid w:val="006E4F71"/>
    <w:rsid w:val="006E6288"/>
    <w:rsid w:val="006E76B0"/>
    <w:rsid w:val="006F08D4"/>
    <w:rsid w:val="006F3318"/>
    <w:rsid w:val="006F39CF"/>
    <w:rsid w:val="006F4894"/>
    <w:rsid w:val="006F58AE"/>
    <w:rsid w:val="006F58F5"/>
    <w:rsid w:val="006F676D"/>
    <w:rsid w:val="00700672"/>
    <w:rsid w:val="0070126C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619"/>
    <w:rsid w:val="00723D30"/>
    <w:rsid w:val="00723F1A"/>
    <w:rsid w:val="007250D0"/>
    <w:rsid w:val="00726974"/>
    <w:rsid w:val="007306BB"/>
    <w:rsid w:val="007319AD"/>
    <w:rsid w:val="00732257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27B1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2162"/>
    <w:rsid w:val="007D5A53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10A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7DF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402F"/>
    <w:rsid w:val="00866481"/>
    <w:rsid w:val="0087076A"/>
    <w:rsid w:val="00870853"/>
    <w:rsid w:val="008731E4"/>
    <w:rsid w:val="008745D6"/>
    <w:rsid w:val="00874DCA"/>
    <w:rsid w:val="00875D64"/>
    <w:rsid w:val="00875E32"/>
    <w:rsid w:val="0087668E"/>
    <w:rsid w:val="00876D3D"/>
    <w:rsid w:val="008800F4"/>
    <w:rsid w:val="0088277A"/>
    <w:rsid w:val="0088297B"/>
    <w:rsid w:val="00884B5D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517"/>
    <w:rsid w:val="008A2307"/>
    <w:rsid w:val="008A2B50"/>
    <w:rsid w:val="008A2B8F"/>
    <w:rsid w:val="008A2BB7"/>
    <w:rsid w:val="008A4000"/>
    <w:rsid w:val="008A4A65"/>
    <w:rsid w:val="008A6621"/>
    <w:rsid w:val="008A70A5"/>
    <w:rsid w:val="008B201B"/>
    <w:rsid w:val="008B2D64"/>
    <w:rsid w:val="008B314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5642"/>
    <w:rsid w:val="008E5CC2"/>
    <w:rsid w:val="008F2E20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3B20"/>
    <w:rsid w:val="009263DF"/>
    <w:rsid w:val="00926B8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674C6"/>
    <w:rsid w:val="0097392A"/>
    <w:rsid w:val="009749C0"/>
    <w:rsid w:val="00974EBD"/>
    <w:rsid w:val="00977C0A"/>
    <w:rsid w:val="009805F8"/>
    <w:rsid w:val="00981235"/>
    <w:rsid w:val="00982FF8"/>
    <w:rsid w:val="00984E8B"/>
    <w:rsid w:val="0098512F"/>
    <w:rsid w:val="0098550A"/>
    <w:rsid w:val="00985728"/>
    <w:rsid w:val="009857DD"/>
    <w:rsid w:val="009859AB"/>
    <w:rsid w:val="00986DF1"/>
    <w:rsid w:val="00987A4E"/>
    <w:rsid w:val="009907A9"/>
    <w:rsid w:val="00993DE4"/>
    <w:rsid w:val="00993E1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59DE"/>
    <w:rsid w:val="009E1362"/>
    <w:rsid w:val="009E1848"/>
    <w:rsid w:val="009E1BC1"/>
    <w:rsid w:val="009E1F6B"/>
    <w:rsid w:val="009E2122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3242"/>
    <w:rsid w:val="00A3514D"/>
    <w:rsid w:val="00A35318"/>
    <w:rsid w:val="00A35DD1"/>
    <w:rsid w:val="00A40F98"/>
    <w:rsid w:val="00A41EF2"/>
    <w:rsid w:val="00A42619"/>
    <w:rsid w:val="00A4267D"/>
    <w:rsid w:val="00A427B2"/>
    <w:rsid w:val="00A43DEB"/>
    <w:rsid w:val="00A44DDA"/>
    <w:rsid w:val="00A47D62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30C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7830"/>
    <w:rsid w:val="00AD0466"/>
    <w:rsid w:val="00AD1557"/>
    <w:rsid w:val="00AD2F94"/>
    <w:rsid w:val="00AD35F3"/>
    <w:rsid w:val="00AD44E9"/>
    <w:rsid w:val="00AD4CAC"/>
    <w:rsid w:val="00AD528F"/>
    <w:rsid w:val="00AD6760"/>
    <w:rsid w:val="00AD6EB3"/>
    <w:rsid w:val="00AD6EFE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2C08"/>
    <w:rsid w:val="00B1385B"/>
    <w:rsid w:val="00B13B1B"/>
    <w:rsid w:val="00B1599B"/>
    <w:rsid w:val="00B15DBF"/>
    <w:rsid w:val="00B165C9"/>
    <w:rsid w:val="00B17D70"/>
    <w:rsid w:val="00B22AD7"/>
    <w:rsid w:val="00B22D31"/>
    <w:rsid w:val="00B22E46"/>
    <w:rsid w:val="00B27047"/>
    <w:rsid w:val="00B2722E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4137A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242C"/>
    <w:rsid w:val="00B6496C"/>
    <w:rsid w:val="00B65962"/>
    <w:rsid w:val="00B66B6C"/>
    <w:rsid w:val="00B7033E"/>
    <w:rsid w:val="00B7071A"/>
    <w:rsid w:val="00B71858"/>
    <w:rsid w:val="00B71A39"/>
    <w:rsid w:val="00B721DC"/>
    <w:rsid w:val="00B74715"/>
    <w:rsid w:val="00B75476"/>
    <w:rsid w:val="00B7669D"/>
    <w:rsid w:val="00B766D9"/>
    <w:rsid w:val="00B80A28"/>
    <w:rsid w:val="00B82D73"/>
    <w:rsid w:val="00B84A2C"/>
    <w:rsid w:val="00B871D6"/>
    <w:rsid w:val="00B87A02"/>
    <w:rsid w:val="00B91436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183C"/>
    <w:rsid w:val="00BF4C15"/>
    <w:rsid w:val="00C0277D"/>
    <w:rsid w:val="00C036C2"/>
    <w:rsid w:val="00C0591A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30A7D"/>
    <w:rsid w:val="00C31169"/>
    <w:rsid w:val="00C3169F"/>
    <w:rsid w:val="00C318F6"/>
    <w:rsid w:val="00C36BD9"/>
    <w:rsid w:val="00C37522"/>
    <w:rsid w:val="00C42EFD"/>
    <w:rsid w:val="00C43D8B"/>
    <w:rsid w:val="00C44042"/>
    <w:rsid w:val="00C46AF0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1540"/>
    <w:rsid w:val="00C9240A"/>
    <w:rsid w:val="00C93D5B"/>
    <w:rsid w:val="00C9442C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21FF"/>
    <w:rsid w:val="00CB5CAE"/>
    <w:rsid w:val="00CB644C"/>
    <w:rsid w:val="00CB78ED"/>
    <w:rsid w:val="00CC0004"/>
    <w:rsid w:val="00CC4E55"/>
    <w:rsid w:val="00CC550E"/>
    <w:rsid w:val="00CC5AC6"/>
    <w:rsid w:val="00CC5DE0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5D25"/>
    <w:rsid w:val="00CD79FA"/>
    <w:rsid w:val="00CE10E6"/>
    <w:rsid w:val="00CE3ED4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845"/>
    <w:rsid w:val="00D03DCB"/>
    <w:rsid w:val="00D05257"/>
    <w:rsid w:val="00D054DF"/>
    <w:rsid w:val="00D054E0"/>
    <w:rsid w:val="00D057A5"/>
    <w:rsid w:val="00D05D1F"/>
    <w:rsid w:val="00D144D0"/>
    <w:rsid w:val="00D14FC0"/>
    <w:rsid w:val="00D163A3"/>
    <w:rsid w:val="00D1656D"/>
    <w:rsid w:val="00D167CC"/>
    <w:rsid w:val="00D16943"/>
    <w:rsid w:val="00D211AE"/>
    <w:rsid w:val="00D21662"/>
    <w:rsid w:val="00D23DE4"/>
    <w:rsid w:val="00D23F50"/>
    <w:rsid w:val="00D24867"/>
    <w:rsid w:val="00D318E3"/>
    <w:rsid w:val="00D323A7"/>
    <w:rsid w:val="00D346BF"/>
    <w:rsid w:val="00D34A4B"/>
    <w:rsid w:val="00D40D1C"/>
    <w:rsid w:val="00D416EB"/>
    <w:rsid w:val="00D41B20"/>
    <w:rsid w:val="00D44615"/>
    <w:rsid w:val="00D45321"/>
    <w:rsid w:val="00D4719A"/>
    <w:rsid w:val="00D50324"/>
    <w:rsid w:val="00D50E08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43D"/>
    <w:rsid w:val="00D76DE0"/>
    <w:rsid w:val="00D80DF0"/>
    <w:rsid w:val="00D83ED5"/>
    <w:rsid w:val="00D86043"/>
    <w:rsid w:val="00D870D4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49F3"/>
    <w:rsid w:val="00DB558E"/>
    <w:rsid w:val="00DB5F2B"/>
    <w:rsid w:val="00DB74AF"/>
    <w:rsid w:val="00DC1AB8"/>
    <w:rsid w:val="00DC5C19"/>
    <w:rsid w:val="00DC7068"/>
    <w:rsid w:val="00DD0411"/>
    <w:rsid w:val="00DD0EC6"/>
    <w:rsid w:val="00DD265A"/>
    <w:rsid w:val="00DD5D03"/>
    <w:rsid w:val="00DD6B9B"/>
    <w:rsid w:val="00DE07A1"/>
    <w:rsid w:val="00DE21A2"/>
    <w:rsid w:val="00DE2776"/>
    <w:rsid w:val="00DE3B11"/>
    <w:rsid w:val="00DE554E"/>
    <w:rsid w:val="00DE7183"/>
    <w:rsid w:val="00DF1DAC"/>
    <w:rsid w:val="00DF2165"/>
    <w:rsid w:val="00DF5A24"/>
    <w:rsid w:val="00DF60E6"/>
    <w:rsid w:val="00DF6105"/>
    <w:rsid w:val="00DF659E"/>
    <w:rsid w:val="00E01524"/>
    <w:rsid w:val="00E03CE4"/>
    <w:rsid w:val="00E07227"/>
    <w:rsid w:val="00E07C16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5435"/>
    <w:rsid w:val="00E361E0"/>
    <w:rsid w:val="00E37194"/>
    <w:rsid w:val="00E3788B"/>
    <w:rsid w:val="00E40A88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A7A"/>
    <w:rsid w:val="00E60419"/>
    <w:rsid w:val="00E60E01"/>
    <w:rsid w:val="00E617D3"/>
    <w:rsid w:val="00E61E36"/>
    <w:rsid w:val="00E633C1"/>
    <w:rsid w:val="00E667B0"/>
    <w:rsid w:val="00E67390"/>
    <w:rsid w:val="00E70013"/>
    <w:rsid w:val="00E71365"/>
    <w:rsid w:val="00E74904"/>
    <w:rsid w:val="00E76875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531E"/>
    <w:rsid w:val="00E95A8E"/>
    <w:rsid w:val="00E95E41"/>
    <w:rsid w:val="00E95E4C"/>
    <w:rsid w:val="00E977CE"/>
    <w:rsid w:val="00E97E05"/>
    <w:rsid w:val="00EA1370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69B9"/>
    <w:rsid w:val="00F46C32"/>
    <w:rsid w:val="00F46CAF"/>
    <w:rsid w:val="00F46ECB"/>
    <w:rsid w:val="00F50F94"/>
    <w:rsid w:val="00F51ABF"/>
    <w:rsid w:val="00F525B5"/>
    <w:rsid w:val="00F53D53"/>
    <w:rsid w:val="00F543B9"/>
    <w:rsid w:val="00F55FDD"/>
    <w:rsid w:val="00F56177"/>
    <w:rsid w:val="00F56187"/>
    <w:rsid w:val="00F575D3"/>
    <w:rsid w:val="00F5786C"/>
    <w:rsid w:val="00F62117"/>
    <w:rsid w:val="00F62365"/>
    <w:rsid w:val="00F630A7"/>
    <w:rsid w:val="00F65F82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62B"/>
    <w:rsid w:val="00FA53E9"/>
    <w:rsid w:val="00FA60EC"/>
    <w:rsid w:val="00FA7025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3F89"/>
    <w:rsid w:val="00FC5170"/>
    <w:rsid w:val="00FC5743"/>
    <w:rsid w:val="00FC6240"/>
    <w:rsid w:val="00FD118C"/>
    <w:rsid w:val="00FD2A7C"/>
    <w:rsid w:val="00FD332F"/>
    <w:rsid w:val="00FD7395"/>
    <w:rsid w:val="00FE1CC1"/>
    <w:rsid w:val="00FE385E"/>
    <w:rsid w:val="00FE3CE2"/>
    <w:rsid w:val="00FE54AD"/>
    <w:rsid w:val="00FE5633"/>
    <w:rsid w:val="00FE6F7A"/>
    <w:rsid w:val="00FE7B14"/>
    <w:rsid w:val="00FF02D5"/>
    <w:rsid w:val="00FF0846"/>
    <w:rsid w:val="00FF1E7E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2EDDC321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8A2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ridgooglelinkazul">
    <w:name w:val="gridgooglelinkazul"/>
    <w:basedOn w:val="Fontepargpadro"/>
    <w:rsid w:val="00D50E08"/>
  </w:style>
  <w:style w:type="character" w:customStyle="1" w:styleId="gridgoogletextoverde">
    <w:name w:val="gridgoogletextoverde"/>
    <w:basedOn w:val="Fontepargpadro"/>
    <w:rsid w:val="00D50E08"/>
  </w:style>
  <w:style w:type="character" w:customStyle="1" w:styleId="gridgoogletextopreto">
    <w:name w:val="gridgoogletextopreto"/>
    <w:basedOn w:val="Fontepargpadro"/>
    <w:rsid w:val="00D5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9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76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7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3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3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772">
          <w:marLeft w:val="0"/>
          <w:marRight w:val="0"/>
          <w:marTop w:val="0"/>
          <w:marBottom w:val="240"/>
          <w:divBdr>
            <w:top w:val="single" w:sz="6" w:space="16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163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8/5/pdf/00328270.pdf" TargetMode="External"/><Relationship Id="rId13" Type="http://schemas.openxmlformats.org/officeDocument/2006/relationships/hyperlink" Target="http://www.stf.jus.br/portal/processo/verProcessoAndamento.asp?numero=4717&amp;classe=ADI&amp;origem=AP&amp;recurso=0&amp;tipoJulgamento=M" TargetMode="External"/><Relationship Id="rId18" Type="http://schemas.openxmlformats.org/officeDocument/2006/relationships/hyperlink" Target="http://www1.tce.pr.gov.br/conteudo/repercussao-geral-no-stf-e-os-tribunais-de-contas/307026/area/2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ce.go.gov.br/ConsultaProcesso?proc=305775" TargetMode="External"/><Relationship Id="rId17" Type="http://schemas.openxmlformats.org/officeDocument/2006/relationships/hyperlink" Target="http://www1.tce.pr.gov.br/conteudo/boletim-de-jurisprudencia-internacional/316601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boletim-informativo-de-jurisprudencia/280400/area/24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isoes.tce.go.gov.br/ConsultaDecisoes/CarregaDocumentoAssinadoPDF?idDocumento=921702242552661&amp;tipoDecisao=65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pesquisas-prontas/308475/area/2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cu.gov.br/Consultas/Juris/Docs/judoc/Acord/20070627/TC-008-657-2007-0.doc" TargetMode="External"/><Relationship Id="rId19" Type="http://schemas.openxmlformats.org/officeDocument/2006/relationships/hyperlink" Target="http://www1.tce.pr.gov.br/conteudo/sumulas-selecionadas/316602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as.tcu.gov.br/sagas/SvlVisualizarRelVotoAcRtf?codFiltro=SAGAS-SESSAO-ENCERRADA&amp;seOcultaPagina=S&amp;item0=19766" TargetMode="External"/><Relationship Id="rId14" Type="http://schemas.openxmlformats.org/officeDocument/2006/relationships/hyperlink" Target="https://ww2.stj.jus.br/processo/revista/documento/mediado/?componente=ATC&amp;sequencial=26153742&amp;num_registro=201101452366&amp;data=20161107&amp;tipo=51&amp;formato=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05AF-6018-4D14-87DD-1CC43DBB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3509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Tiago Moraes Ribeiro</cp:lastModifiedBy>
  <cp:revision>290</cp:revision>
  <cp:lastPrinted>2017-07-10T20:46:00Z</cp:lastPrinted>
  <dcterms:created xsi:type="dcterms:W3CDTF">2017-07-10T20:45:00Z</dcterms:created>
  <dcterms:modified xsi:type="dcterms:W3CDTF">2018-10-01T12:08:00Z</dcterms:modified>
</cp:coreProperties>
</file>