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1DF0B" w14:textId="21201766" w:rsidR="00ED13B8" w:rsidRPr="0084102C" w:rsidRDefault="00016DDC" w:rsidP="0084102C">
      <w:pPr>
        <w:pStyle w:val="Texto"/>
        <w:spacing w:before="240" w:after="240"/>
        <w:ind w:firstLine="0"/>
        <w:jc w:val="center"/>
        <w:rPr>
          <w:rFonts w:eastAsia="Arial" w:cs="Arial"/>
          <w:b/>
          <w:bCs/>
          <w:sz w:val="23"/>
          <w:szCs w:val="23"/>
        </w:rPr>
      </w:pPr>
      <w:r w:rsidRPr="00B547C4">
        <w:rPr>
          <w:rFonts w:eastAsia="Arial" w:cs="Arial"/>
          <w:b/>
          <w:bCs/>
          <w:sz w:val="23"/>
          <w:szCs w:val="23"/>
        </w:rPr>
        <w:t xml:space="preserve">NOTA TÉCNICA Nº </w:t>
      </w:r>
      <w:r w:rsidR="00B547C4" w:rsidRPr="00B547C4">
        <w:rPr>
          <w:rFonts w:eastAsia="Arial" w:cs="Arial"/>
          <w:b/>
          <w:bCs/>
          <w:sz w:val="23"/>
          <w:szCs w:val="23"/>
        </w:rPr>
        <w:t>29</w:t>
      </w:r>
      <w:r w:rsidRPr="00B547C4">
        <w:rPr>
          <w:rFonts w:eastAsia="Arial" w:cs="Arial"/>
          <w:b/>
          <w:bCs/>
          <w:sz w:val="23"/>
          <w:szCs w:val="23"/>
        </w:rPr>
        <w:t>/2024 – CGF/TCE</w:t>
      </w:r>
      <w:r w:rsidR="00B547C4">
        <w:rPr>
          <w:rFonts w:eastAsia="Arial" w:cs="Arial"/>
          <w:b/>
          <w:bCs/>
          <w:sz w:val="23"/>
          <w:szCs w:val="23"/>
        </w:rPr>
        <w:t xml:space="preserve"> – PR </w:t>
      </w:r>
      <w:r w:rsidR="0084102C" w:rsidRPr="001A5E4E">
        <w:rPr>
          <w:rStyle w:val="Refdenotaderodap"/>
          <w:rFonts w:eastAsiaTheme="majorEastAsia"/>
          <w:b/>
        </w:rPr>
        <w:footnoteReference w:customMarkFollows="1" w:id="2"/>
        <w:sym w:font="Symbol" w:char="F02A"/>
      </w:r>
    </w:p>
    <w:p w14:paraId="4F1097CF" w14:textId="230EDFF1" w:rsidR="00016DDC" w:rsidRPr="0053584B" w:rsidRDefault="00016DDC" w:rsidP="00016DDC">
      <w:pPr>
        <w:spacing w:before="240" w:after="240"/>
        <w:ind w:left="4536"/>
        <w:jc w:val="both"/>
        <w:rPr>
          <w:rFonts w:ascii="Arial" w:hAnsi="Arial" w:cs="Arial"/>
          <w:bCs/>
          <w:i/>
          <w:iCs/>
          <w:sz w:val="23"/>
          <w:szCs w:val="23"/>
        </w:rPr>
      </w:pPr>
      <w:r w:rsidRPr="0053584B">
        <w:rPr>
          <w:rFonts w:ascii="Arial" w:hAnsi="Arial" w:cs="Arial"/>
          <w:bCs/>
          <w:i/>
          <w:iCs/>
          <w:sz w:val="23"/>
          <w:szCs w:val="23"/>
        </w:rPr>
        <w:t>Dispõe sobre o processo de análise da consistência dos dados das Prestações de Contas de Prefeito Municipal.</w:t>
      </w:r>
    </w:p>
    <w:p w14:paraId="4A9CBEC3" w14:textId="77777777" w:rsidR="00016DDC" w:rsidRPr="0053584B" w:rsidRDefault="00016DDC" w:rsidP="0084102C">
      <w:pPr>
        <w:pStyle w:val="Texto"/>
        <w:ind w:firstLine="0"/>
        <w:rPr>
          <w:rFonts w:cs="Arial"/>
          <w:sz w:val="23"/>
          <w:szCs w:val="23"/>
        </w:rPr>
      </w:pPr>
    </w:p>
    <w:p w14:paraId="4E98A86B" w14:textId="3FFE7D77" w:rsidR="00016DDC" w:rsidRPr="0084102C" w:rsidRDefault="00016DDC" w:rsidP="0084102C">
      <w:pPr>
        <w:spacing w:before="120" w:line="360" w:lineRule="auto"/>
        <w:ind w:firstLine="1134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A</w:t>
      </w:r>
      <w:r w:rsidRPr="0053584B">
        <w:rPr>
          <w:rFonts w:ascii="Arial" w:hAnsi="Arial" w:cs="Arial"/>
          <w:b/>
          <w:bCs/>
          <w:sz w:val="23"/>
          <w:szCs w:val="23"/>
        </w:rPr>
        <w:t xml:space="preserve"> COORDENADORIA-GERAL DE FISCALIZAÇÃO (CGF) do TRIBUNAL DE CONTAS DO ESTADO DO PARANÁ (</w:t>
      </w:r>
      <w:r w:rsidR="00B547C4">
        <w:rPr>
          <w:rFonts w:ascii="Arial" w:hAnsi="Arial" w:cs="Arial"/>
          <w:b/>
          <w:bCs/>
          <w:sz w:val="23"/>
          <w:szCs w:val="23"/>
        </w:rPr>
        <w:t>T</w:t>
      </w:r>
      <w:r w:rsidRPr="0053584B">
        <w:rPr>
          <w:rFonts w:ascii="Arial" w:hAnsi="Arial" w:cs="Arial"/>
          <w:b/>
          <w:bCs/>
          <w:sz w:val="23"/>
          <w:szCs w:val="23"/>
        </w:rPr>
        <w:t>CE</w:t>
      </w:r>
      <w:r w:rsidR="00B547C4">
        <w:rPr>
          <w:rFonts w:ascii="Arial" w:hAnsi="Arial" w:cs="Arial"/>
          <w:b/>
          <w:bCs/>
          <w:sz w:val="23"/>
          <w:szCs w:val="23"/>
        </w:rPr>
        <w:t xml:space="preserve"> – PR</w:t>
      </w:r>
      <w:r w:rsidRPr="0053584B">
        <w:rPr>
          <w:rFonts w:ascii="Arial" w:hAnsi="Arial" w:cs="Arial"/>
          <w:b/>
          <w:bCs/>
          <w:sz w:val="23"/>
          <w:szCs w:val="23"/>
        </w:rPr>
        <w:t>)</w:t>
      </w:r>
      <w:r w:rsidRPr="0053584B">
        <w:rPr>
          <w:rFonts w:ascii="Arial" w:hAnsi="Arial" w:cs="Arial"/>
          <w:sz w:val="23"/>
          <w:szCs w:val="23"/>
        </w:rPr>
        <w:t xml:space="preserve">, em observância ao contido no art. 151-A, inciso IX e no art. 217-A do Regimento Interno, </w:t>
      </w:r>
      <w:r w:rsidRPr="0053584B">
        <w:rPr>
          <w:rFonts w:ascii="Arial" w:eastAsia="Arial" w:hAnsi="Arial" w:cs="Arial"/>
          <w:sz w:val="23"/>
          <w:szCs w:val="23"/>
        </w:rPr>
        <w:t xml:space="preserve">e considerando o disposto no </w:t>
      </w:r>
      <w:r w:rsidRPr="0053584B">
        <w:rPr>
          <w:rFonts w:ascii="Arial" w:hAnsi="Arial" w:cs="Arial"/>
          <w:sz w:val="23"/>
          <w:szCs w:val="23"/>
        </w:rPr>
        <w:t>§ 1º do art</w:t>
      </w:r>
      <w:r w:rsidR="00B547C4">
        <w:rPr>
          <w:rFonts w:ascii="Arial" w:hAnsi="Arial" w:cs="Arial"/>
          <w:sz w:val="23"/>
          <w:szCs w:val="23"/>
        </w:rPr>
        <w:t>igo</w:t>
      </w:r>
      <w:r w:rsidRPr="0053584B">
        <w:rPr>
          <w:rFonts w:ascii="Arial" w:hAnsi="Arial" w:cs="Arial"/>
          <w:sz w:val="23"/>
          <w:szCs w:val="23"/>
        </w:rPr>
        <w:t xml:space="preserve"> 9º </w:t>
      </w:r>
      <w:r w:rsidRPr="0053584B">
        <w:rPr>
          <w:rFonts w:ascii="Arial" w:eastAsia="Arial" w:hAnsi="Arial" w:cs="Arial"/>
          <w:sz w:val="23"/>
          <w:szCs w:val="23"/>
        </w:rPr>
        <w:t>da Instrução Normativa nº 172, de 12 de julho de 2022</w:t>
      </w:r>
      <w:r w:rsidR="00B547C4">
        <w:rPr>
          <w:rFonts w:ascii="Arial" w:eastAsia="Arial" w:hAnsi="Arial" w:cs="Arial"/>
          <w:sz w:val="23"/>
          <w:szCs w:val="23"/>
        </w:rPr>
        <w:t xml:space="preserve"> (IN 172/2022)</w:t>
      </w:r>
      <w:r w:rsidRPr="0053584B">
        <w:rPr>
          <w:rFonts w:ascii="Arial" w:eastAsia="Arial" w:hAnsi="Arial" w:cs="Arial"/>
          <w:sz w:val="23"/>
          <w:szCs w:val="23"/>
        </w:rPr>
        <w:t>,</w:t>
      </w:r>
      <w:r w:rsidRPr="0053584B">
        <w:rPr>
          <w:rStyle w:val="Refdenotaderodap"/>
          <w:rFonts w:ascii="Arial" w:hAnsi="Arial" w:cs="Arial"/>
          <w:sz w:val="23"/>
          <w:szCs w:val="23"/>
        </w:rPr>
        <w:t xml:space="preserve"> </w:t>
      </w:r>
      <w:r w:rsidRPr="0053584B">
        <w:rPr>
          <w:rFonts w:ascii="Arial" w:hAnsi="Arial" w:cs="Arial"/>
          <w:sz w:val="23"/>
          <w:szCs w:val="23"/>
        </w:rPr>
        <w:t xml:space="preserve">apresenta esta Nota Técnica com o objetivo de </w:t>
      </w:r>
      <w:r w:rsidRPr="0053584B">
        <w:rPr>
          <w:rFonts w:ascii="Arial" w:hAnsi="Arial" w:cs="Arial"/>
          <w:b/>
          <w:bCs/>
          <w:sz w:val="23"/>
          <w:szCs w:val="23"/>
        </w:rPr>
        <w:t xml:space="preserve">estabelecer o </w:t>
      </w:r>
      <w:bookmarkStart w:id="1" w:name="_Hlk170806051"/>
      <w:r w:rsidRPr="0053584B">
        <w:rPr>
          <w:rFonts w:ascii="Arial" w:hAnsi="Arial" w:cs="Arial"/>
          <w:b/>
          <w:bCs/>
          <w:sz w:val="23"/>
          <w:szCs w:val="23"/>
        </w:rPr>
        <w:t>processo de análise da consistência dos dados</w:t>
      </w:r>
      <w:r w:rsidRPr="0053584B">
        <w:rPr>
          <w:rFonts w:ascii="Arial" w:hAnsi="Arial" w:cs="Arial"/>
          <w:sz w:val="23"/>
          <w:szCs w:val="23"/>
        </w:rPr>
        <w:t xml:space="preserve"> </w:t>
      </w:r>
      <w:bookmarkEnd w:id="1"/>
      <w:r w:rsidRPr="0053584B">
        <w:rPr>
          <w:rFonts w:ascii="Arial" w:hAnsi="Arial" w:cs="Arial"/>
          <w:sz w:val="23"/>
          <w:szCs w:val="23"/>
        </w:rPr>
        <w:t>junto às contas municipais de governo.</w:t>
      </w:r>
    </w:p>
    <w:p w14:paraId="47254453" w14:textId="75D384C0" w:rsidR="00820FF1" w:rsidRPr="0053584B" w:rsidRDefault="00E44D4D" w:rsidP="00AC77FC">
      <w:pPr>
        <w:spacing w:before="120"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3584B">
        <w:rPr>
          <w:rFonts w:ascii="Arial" w:hAnsi="Arial" w:cs="Arial"/>
          <w:b/>
          <w:bCs/>
          <w:sz w:val="23"/>
          <w:szCs w:val="23"/>
        </w:rPr>
        <w:t>ANÁLISE DE CONSISTÊNCIA DE DADOS</w:t>
      </w:r>
    </w:p>
    <w:p w14:paraId="6546EB67" w14:textId="32847389" w:rsidR="00E82C47" w:rsidRPr="0053584B" w:rsidRDefault="00E82C47" w:rsidP="00601831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 xml:space="preserve">A </w:t>
      </w:r>
      <w:r w:rsidRPr="0053584B">
        <w:rPr>
          <w:rFonts w:ascii="Arial" w:hAnsi="Arial" w:cs="Arial"/>
          <w:b/>
          <w:bCs/>
          <w:sz w:val="23"/>
          <w:szCs w:val="23"/>
        </w:rPr>
        <w:t>análise da consistência de dados</w:t>
      </w:r>
      <w:r w:rsidRPr="0053584B">
        <w:rPr>
          <w:rFonts w:ascii="Arial" w:hAnsi="Arial" w:cs="Arial"/>
          <w:sz w:val="23"/>
          <w:szCs w:val="23"/>
        </w:rPr>
        <w:t xml:space="preserve"> compreende procedimentos a serem realizados com o intuito de aferir a veracidade e fidedignidade das informações prestadas pelos interlocutores participantes do processo de prestação de contas dos prefeitos municipais</w:t>
      </w:r>
      <w:r w:rsidR="00795318" w:rsidRPr="0053584B">
        <w:rPr>
          <w:rFonts w:ascii="Arial" w:hAnsi="Arial" w:cs="Arial"/>
          <w:sz w:val="23"/>
          <w:szCs w:val="23"/>
        </w:rPr>
        <w:t>, nos termos do artigo 9º da IN 172/2022.</w:t>
      </w:r>
    </w:p>
    <w:p w14:paraId="666B384A" w14:textId="07FDC74D" w:rsidR="00617748" w:rsidRPr="0053584B" w:rsidRDefault="00CD45C4" w:rsidP="00601831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 xml:space="preserve">A execução da análise da consistência de dados será realizada pelo </w:t>
      </w:r>
      <w:r w:rsidR="00EF039C" w:rsidRPr="0053584B">
        <w:rPr>
          <w:rFonts w:ascii="Arial" w:hAnsi="Arial" w:cs="Arial"/>
          <w:b/>
          <w:bCs/>
          <w:sz w:val="23"/>
          <w:szCs w:val="23"/>
        </w:rPr>
        <w:t>Tribunal de Contas do Estado do Paraná (</w:t>
      </w:r>
      <w:r w:rsidR="00B547C4">
        <w:rPr>
          <w:rFonts w:ascii="Arial" w:hAnsi="Arial" w:cs="Arial"/>
          <w:b/>
          <w:bCs/>
          <w:sz w:val="23"/>
          <w:szCs w:val="23"/>
        </w:rPr>
        <w:t>T</w:t>
      </w:r>
      <w:r w:rsidR="00617748" w:rsidRPr="0053584B">
        <w:rPr>
          <w:rFonts w:ascii="Arial" w:hAnsi="Arial" w:cs="Arial"/>
          <w:b/>
          <w:bCs/>
          <w:sz w:val="23"/>
          <w:szCs w:val="23"/>
        </w:rPr>
        <w:t>CE</w:t>
      </w:r>
      <w:r w:rsidR="00B547C4">
        <w:rPr>
          <w:rFonts w:ascii="Arial" w:hAnsi="Arial" w:cs="Arial"/>
          <w:b/>
          <w:bCs/>
          <w:sz w:val="23"/>
          <w:szCs w:val="23"/>
        </w:rPr>
        <w:t xml:space="preserve"> – PR)</w:t>
      </w:r>
      <w:r w:rsidR="00617748" w:rsidRPr="0053584B">
        <w:rPr>
          <w:rFonts w:ascii="Arial" w:hAnsi="Arial" w:cs="Arial"/>
          <w:sz w:val="23"/>
          <w:szCs w:val="23"/>
        </w:rPr>
        <w:t xml:space="preserve"> e </w:t>
      </w:r>
      <w:r w:rsidRPr="0053584B">
        <w:rPr>
          <w:rFonts w:ascii="Arial" w:hAnsi="Arial" w:cs="Arial"/>
          <w:sz w:val="23"/>
          <w:szCs w:val="23"/>
        </w:rPr>
        <w:t>pelas</w:t>
      </w:r>
      <w:r w:rsidR="00617748" w:rsidRPr="0053584B">
        <w:rPr>
          <w:rFonts w:ascii="Arial" w:hAnsi="Arial" w:cs="Arial"/>
          <w:sz w:val="23"/>
          <w:szCs w:val="23"/>
        </w:rPr>
        <w:t xml:space="preserve"> </w:t>
      </w:r>
      <w:r w:rsidR="00617748" w:rsidRPr="0053584B">
        <w:rPr>
          <w:rFonts w:ascii="Arial" w:hAnsi="Arial" w:cs="Arial"/>
          <w:b/>
          <w:bCs/>
          <w:sz w:val="23"/>
          <w:szCs w:val="23"/>
        </w:rPr>
        <w:t>Unidades Centrais de Controle Interno (UCCIs)</w:t>
      </w:r>
      <w:r w:rsidR="00CA0FDC" w:rsidRPr="0053584B">
        <w:rPr>
          <w:rFonts w:ascii="Arial" w:hAnsi="Arial" w:cs="Arial"/>
          <w:sz w:val="23"/>
          <w:szCs w:val="23"/>
        </w:rPr>
        <w:t>.</w:t>
      </w:r>
    </w:p>
    <w:p w14:paraId="7164B79B" w14:textId="6FF6BB9F" w:rsidR="00016DDC" w:rsidRPr="0053584B" w:rsidRDefault="00016DDC" w:rsidP="00601831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 xml:space="preserve">A execução da análise da consistência de dados se baseará nos procedimentos estabelecidos em </w:t>
      </w:r>
      <w:r w:rsidRPr="0053584B">
        <w:rPr>
          <w:rFonts w:ascii="Arial" w:hAnsi="Arial" w:cs="Arial"/>
          <w:b/>
          <w:bCs/>
          <w:sz w:val="23"/>
          <w:szCs w:val="23"/>
        </w:rPr>
        <w:t xml:space="preserve">Roteiros de Consistência de Dados (RCD) </w:t>
      </w:r>
      <w:r w:rsidRPr="0053584B">
        <w:rPr>
          <w:rFonts w:ascii="Arial" w:hAnsi="Arial" w:cs="Arial"/>
          <w:sz w:val="23"/>
          <w:szCs w:val="23"/>
        </w:rPr>
        <w:t>publicados pelo TCE</w:t>
      </w:r>
      <w:r w:rsidR="00B547C4">
        <w:rPr>
          <w:rFonts w:ascii="Arial" w:hAnsi="Arial" w:cs="Arial"/>
          <w:sz w:val="23"/>
          <w:szCs w:val="23"/>
        </w:rPr>
        <w:t xml:space="preserve"> – PR</w:t>
      </w:r>
      <w:r w:rsidRPr="0053584B">
        <w:rPr>
          <w:rFonts w:ascii="Arial" w:hAnsi="Arial" w:cs="Arial"/>
          <w:sz w:val="23"/>
          <w:szCs w:val="23"/>
        </w:rPr>
        <w:t>.</w:t>
      </w:r>
    </w:p>
    <w:p w14:paraId="3FE4B849" w14:textId="342AF7DD" w:rsidR="00016DDC" w:rsidRPr="0053584B" w:rsidRDefault="00016DDC" w:rsidP="00AC77FC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Compete à equipe do TCE</w:t>
      </w:r>
      <w:r w:rsidR="00B547C4">
        <w:rPr>
          <w:rFonts w:ascii="Arial" w:hAnsi="Arial" w:cs="Arial"/>
          <w:sz w:val="23"/>
          <w:szCs w:val="23"/>
        </w:rPr>
        <w:t xml:space="preserve"> – PR </w:t>
      </w:r>
      <w:r w:rsidRPr="0053584B">
        <w:rPr>
          <w:rFonts w:ascii="Arial" w:hAnsi="Arial" w:cs="Arial"/>
          <w:sz w:val="23"/>
          <w:szCs w:val="23"/>
        </w:rPr>
        <w:t xml:space="preserve"> responsável pelas contas municipais de governo a elaboração dos RCDs. </w:t>
      </w:r>
    </w:p>
    <w:p w14:paraId="447E8F7A" w14:textId="494E0DBE" w:rsidR="00016DDC" w:rsidRPr="0053584B" w:rsidRDefault="00016DDC" w:rsidP="00AC77FC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Os RCDs propostos serão objeto de ampla divulgação e ficarão disponíveis para apresentação de sugestões de qualquer interessado pelo prazo de 15 (quinze) dias úteis.</w:t>
      </w:r>
    </w:p>
    <w:p w14:paraId="465315AF" w14:textId="299848D9" w:rsidR="00016DDC" w:rsidRPr="0053584B" w:rsidRDefault="00016DDC" w:rsidP="00AC77FC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lastRenderedPageBreak/>
        <w:t xml:space="preserve">Decorrido o prazo mencionado no item </w:t>
      </w:r>
      <w:r w:rsidR="00F909A1" w:rsidRPr="0053584B">
        <w:rPr>
          <w:rFonts w:ascii="Arial" w:hAnsi="Arial" w:cs="Arial"/>
          <w:sz w:val="23"/>
          <w:szCs w:val="23"/>
        </w:rPr>
        <w:t>3.2</w:t>
      </w:r>
      <w:r w:rsidRPr="0053584B">
        <w:rPr>
          <w:rFonts w:ascii="Arial" w:hAnsi="Arial" w:cs="Arial"/>
          <w:sz w:val="23"/>
          <w:szCs w:val="23"/>
        </w:rPr>
        <w:t xml:space="preserve">, a equipe </w:t>
      </w:r>
      <w:r w:rsidR="00322453" w:rsidRPr="0053584B">
        <w:rPr>
          <w:rFonts w:ascii="Arial" w:hAnsi="Arial" w:cs="Arial"/>
          <w:sz w:val="23"/>
          <w:szCs w:val="23"/>
        </w:rPr>
        <w:t>do TCE</w:t>
      </w:r>
      <w:r w:rsidR="00B547C4">
        <w:rPr>
          <w:rFonts w:ascii="Arial" w:hAnsi="Arial" w:cs="Arial"/>
          <w:sz w:val="23"/>
          <w:szCs w:val="23"/>
        </w:rPr>
        <w:t xml:space="preserve"> – PR </w:t>
      </w:r>
      <w:r w:rsidR="00322453" w:rsidRPr="0053584B">
        <w:rPr>
          <w:rFonts w:ascii="Arial" w:hAnsi="Arial" w:cs="Arial"/>
          <w:sz w:val="23"/>
          <w:szCs w:val="23"/>
        </w:rPr>
        <w:t xml:space="preserve"> responsável pelas</w:t>
      </w:r>
      <w:r w:rsidRPr="0053584B">
        <w:rPr>
          <w:rFonts w:ascii="Arial" w:hAnsi="Arial" w:cs="Arial"/>
          <w:sz w:val="23"/>
          <w:szCs w:val="23"/>
        </w:rPr>
        <w:t xml:space="preserve"> contas municipais de governo publicará o RCD no site do TCE</w:t>
      </w:r>
      <w:r w:rsidR="00B547C4">
        <w:rPr>
          <w:rFonts w:ascii="Arial" w:hAnsi="Arial" w:cs="Arial"/>
          <w:sz w:val="23"/>
          <w:szCs w:val="23"/>
        </w:rPr>
        <w:t xml:space="preserve"> – PR </w:t>
      </w:r>
      <w:r w:rsidRPr="0053584B">
        <w:rPr>
          <w:rFonts w:ascii="Arial" w:hAnsi="Arial" w:cs="Arial"/>
          <w:sz w:val="23"/>
          <w:szCs w:val="23"/>
        </w:rPr>
        <w:t>.</w:t>
      </w:r>
    </w:p>
    <w:p w14:paraId="70AFBA7E" w14:textId="77777777" w:rsidR="00CD45C4" w:rsidRDefault="00CD45C4" w:rsidP="00AC77FC">
      <w:pPr>
        <w:spacing w:before="120"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47821A33" w14:textId="371F4CCC" w:rsidR="00684240" w:rsidRPr="0053584B" w:rsidRDefault="00684240" w:rsidP="00684240">
      <w:pPr>
        <w:spacing w:before="120"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bookmarkStart w:id="2" w:name="_Hlk171067312"/>
      <w:r w:rsidRPr="0053584B">
        <w:rPr>
          <w:rFonts w:ascii="Arial" w:hAnsi="Arial" w:cs="Arial"/>
          <w:b/>
          <w:bCs/>
          <w:sz w:val="23"/>
          <w:szCs w:val="23"/>
        </w:rPr>
        <w:t>DISPOSIÇÕES ESPECÍFICAS SOBRE A ANÁLISE DE CONSISTÊNCIA DE DADOS REALIZADA PELO TCE</w:t>
      </w:r>
      <w:r w:rsidR="00B547C4">
        <w:rPr>
          <w:rFonts w:ascii="Arial" w:hAnsi="Arial" w:cs="Arial"/>
          <w:b/>
          <w:bCs/>
          <w:sz w:val="23"/>
          <w:szCs w:val="23"/>
        </w:rPr>
        <w:t xml:space="preserve"> – PR </w:t>
      </w:r>
    </w:p>
    <w:bookmarkEnd w:id="2"/>
    <w:p w14:paraId="6533FCF4" w14:textId="6AABA094" w:rsidR="00684240" w:rsidRPr="005C109F" w:rsidRDefault="00684240" w:rsidP="00684240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Caberá à equipe do TCE</w:t>
      </w:r>
      <w:r w:rsidR="001D3FEB">
        <w:rPr>
          <w:rFonts w:ascii="Arial" w:hAnsi="Arial" w:cs="Arial"/>
          <w:sz w:val="23"/>
          <w:szCs w:val="23"/>
        </w:rPr>
        <w:t xml:space="preserve"> – PR </w:t>
      </w:r>
      <w:r w:rsidRPr="0053584B">
        <w:rPr>
          <w:rFonts w:ascii="Arial" w:hAnsi="Arial" w:cs="Arial"/>
          <w:sz w:val="23"/>
          <w:szCs w:val="23"/>
        </w:rPr>
        <w:t xml:space="preserve"> responsável pelas contas municipais de governo a decisão sobre a execução dos procedimentos estabelecidos nos RCDs</w:t>
      </w:r>
      <w:r>
        <w:rPr>
          <w:rFonts w:ascii="Arial" w:hAnsi="Arial" w:cs="Arial"/>
          <w:sz w:val="23"/>
          <w:szCs w:val="23"/>
        </w:rPr>
        <w:t>. A escolha do(s) objeto(s) consistido(s) será realizada por critérios de oportunidade e conveniência operacional. O(s) RCD(s) referente(s) ao(s) objeto(s) selecionado(s) será(ão) aplicado(s) em todos os municípios paranaenses.</w:t>
      </w:r>
    </w:p>
    <w:p w14:paraId="167C0219" w14:textId="7556742A" w:rsidR="00684240" w:rsidRPr="0053584B" w:rsidRDefault="00684240" w:rsidP="00684240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No decorrer das atividades de análise da consistência de dados, o TCE</w:t>
      </w:r>
      <w:r w:rsidR="001D3FEB">
        <w:rPr>
          <w:rFonts w:ascii="Arial" w:hAnsi="Arial" w:cs="Arial"/>
          <w:sz w:val="23"/>
          <w:szCs w:val="23"/>
        </w:rPr>
        <w:t xml:space="preserve"> – PR </w:t>
      </w:r>
      <w:r w:rsidRPr="0053584B">
        <w:rPr>
          <w:rFonts w:ascii="Arial" w:hAnsi="Arial" w:cs="Arial"/>
          <w:sz w:val="23"/>
          <w:szCs w:val="23"/>
        </w:rPr>
        <w:t xml:space="preserve"> poderá requisitar documentos e informações e realizar visitas técnicas para suprir omissões, lacunas de informações, esclarecer dúvidas, apurar a legalidade, a legitimidade e a economicidade de fatos específicos praticados pela administração.</w:t>
      </w:r>
    </w:p>
    <w:p w14:paraId="2E692A50" w14:textId="06501546" w:rsidR="00684240" w:rsidRPr="0053584B" w:rsidRDefault="00684240" w:rsidP="00684240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Caso seja identificada ilegalidade que demande a adoção imediata de providências necessárias ao exato cumprimento da lei, a equipe do TCE</w:t>
      </w:r>
      <w:r w:rsidR="001D3FEB">
        <w:rPr>
          <w:rFonts w:ascii="Arial" w:hAnsi="Arial" w:cs="Arial"/>
          <w:sz w:val="23"/>
          <w:szCs w:val="23"/>
        </w:rPr>
        <w:t xml:space="preserve"> – PR </w:t>
      </w:r>
      <w:r w:rsidRPr="0053584B">
        <w:rPr>
          <w:rFonts w:ascii="Arial" w:hAnsi="Arial" w:cs="Arial"/>
          <w:sz w:val="23"/>
          <w:szCs w:val="23"/>
        </w:rPr>
        <w:t xml:space="preserve"> poderá propor a instauração de processo para a adoção de providências com o objetivo de sanar o ato ou a situação encontrada, sem prejuízo de eventual apuração de responsabilização dos agentes públicos envolvidos, nos termos do Regimento Interno do TCE</w:t>
      </w:r>
      <w:r w:rsidR="001D3FEB">
        <w:rPr>
          <w:rFonts w:ascii="Arial" w:hAnsi="Arial" w:cs="Arial"/>
          <w:sz w:val="23"/>
          <w:szCs w:val="23"/>
        </w:rPr>
        <w:t xml:space="preserve"> – PR</w:t>
      </w:r>
      <w:r w:rsidRPr="0053584B">
        <w:rPr>
          <w:rFonts w:ascii="Arial" w:hAnsi="Arial" w:cs="Arial"/>
          <w:sz w:val="23"/>
          <w:szCs w:val="23"/>
        </w:rPr>
        <w:t>.</w:t>
      </w:r>
    </w:p>
    <w:p w14:paraId="6FAFD4C2" w14:textId="77777777" w:rsidR="00684240" w:rsidRPr="0053584B" w:rsidRDefault="00684240" w:rsidP="00AC77FC">
      <w:pPr>
        <w:spacing w:before="120"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5DC117E2" w14:textId="7CBDD5A3" w:rsidR="007A26E9" w:rsidRPr="0053584B" w:rsidRDefault="007A26E9" w:rsidP="007A26E9">
      <w:pPr>
        <w:spacing w:before="120"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53584B">
        <w:rPr>
          <w:rFonts w:ascii="Arial" w:hAnsi="Arial" w:cs="Arial"/>
          <w:b/>
          <w:bCs/>
          <w:sz w:val="23"/>
          <w:szCs w:val="23"/>
        </w:rPr>
        <w:t>DISPOSIÇÕES ESPECÍFICAS SOBRE A ANÁLISE DE CONSISTÊNCIA DE DADOS REALIZADA PELAS UCCIS</w:t>
      </w:r>
    </w:p>
    <w:p w14:paraId="414063A9" w14:textId="754E5F0A" w:rsidR="00FB2CA6" w:rsidRPr="0053584B" w:rsidRDefault="00FB2CA6" w:rsidP="00601831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Caberá a cada UCCI a decisão sobre a execução dos procedimentos estabelecidos nos RCDs, de acordo com critérios de oportunidade e conveniência e com respaldo na análise de risco para definição dos objetos a serem fiscalizados durante o exercício.</w:t>
      </w:r>
    </w:p>
    <w:p w14:paraId="3F7BFF11" w14:textId="28E403BD" w:rsidR="00FB2CA6" w:rsidRPr="0053584B" w:rsidRDefault="00FB2CA6" w:rsidP="00601831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A execução da análise da consistência de dados será considerada finalizada</w:t>
      </w:r>
      <w:r w:rsidR="00F0528C" w:rsidRPr="0053584B">
        <w:rPr>
          <w:rFonts w:ascii="Arial" w:hAnsi="Arial" w:cs="Arial"/>
          <w:sz w:val="23"/>
          <w:szCs w:val="23"/>
        </w:rPr>
        <w:t xml:space="preserve"> </w:t>
      </w:r>
      <w:r w:rsidR="00A51BB8" w:rsidRPr="0053584B">
        <w:rPr>
          <w:rFonts w:ascii="Arial" w:hAnsi="Arial" w:cs="Arial"/>
          <w:sz w:val="23"/>
          <w:szCs w:val="23"/>
        </w:rPr>
        <w:t xml:space="preserve">com </w:t>
      </w:r>
      <w:r w:rsidRPr="0053584B">
        <w:rPr>
          <w:rFonts w:ascii="Arial" w:hAnsi="Arial" w:cs="Arial"/>
          <w:sz w:val="23"/>
          <w:szCs w:val="23"/>
        </w:rPr>
        <w:t xml:space="preserve">a emissão do </w:t>
      </w:r>
      <w:r w:rsidRPr="0053584B">
        <w:rPr>
          <w:rFonts w:ascii="Arial" w:hAnsi="Arial" w:cs="Arial"/>
          <w:b/>
          <w:bCs/>
          <w:sz w:val="23"/>
          <w:szCs w:val="23"/>
        </w:rPr>
        <w:t>Relatório Final de Consistência de Dados (RFCD)</w:t>
      </w:r>
      <w:r w:rsidR="00A51BB8" w:rsidRPr="0053584B">
        <w:rPr>
          <w:rFonts w:ascii="Arial" w:hAnsi="Arial" w:cs="Arial"/>
          <w:sz w:val="23"/>
          <w:szCs w:val="23"/>
        </w:rPr>
        <w:t xml:space="preserve"> por parte da UCCI executora.</w:t>
      </w:r>
    </w:p>
    <w:p w14:paraId="715DCD2E" w14:textId="5FDB4EF0" w:rsidR="00FB2CA6" w:rsidRPr="0053584B" w:rsidRDefault="00FB2CA6" w:rsidP="00AC77FC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A emissão do RFCD deverá ser precedida da discussão dos achados com o(s) gestor(es) responsáveis pelos aspectos analisados</w:t>
      </w:r>
      <w:r w:rsidR="008C31A7" w:rsidRPr="0053584B">
        <w:rPr>
          <w:rFonts w:ascii="Arial" w:hAnsi="Arial" w:cs="Arial"/>
          <w:sz w:val="23"/>
          <w:szCs w:val="23"/>
        </w:rPr>
        <w:t>.</w:t>
      </w:r>
    </w:p>
    <w:p w14:paraId="5C8D39F4" w14:textId="7F405AAF" w:rsidR="00FB2CA6" w:rsidRPr="0053584B" w:rsidRDefault="00FB2CA6" w:rsidP="00AC77FC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lastRenderedPageBreak/>
        <w:t>Compete à equipe</w:t>
      </w:r>
      <w:r w:rsidR="004723B5" w:rsidRPr="0053584B">
        <w:rPr>
          <w:rFonts w:ascii="Arial" w:hAnsi="Arial" w:cs="Arial"/>
          <w:sz w:val="23"/>
          <w:szCs w:val="23"/>
        </w:rPr>
        <w:t xml:space="preserve"> do TCE</w:t>
      </w:r>
      <w:r w:rsidR="001D3FEB">
        <w:rPr>
          <w:rFonts w:ascii="Arial" w:hAnsi="Arial" w:cs="Arial"/>
          <w:sz w:val="23"/>
          <w:szCs w:val="23"/>
        </w:rPr>
        <w:t xml:space="preserve"> – PR </w:t>
      </w:r>
      <w:r w:rsidRPr="0053584B">
        <w:rPr>
          <w:rFonts w:ascii="Arial" w:hAnsi="Arial" w:cs="Arial"/>
          <w:sz w:val="23"/>
          <w:szCs w:val="23"/>
        </w:rPr>
        <w:t xml:space="preserve"> responsável pelas contas municipais de governo a disponibilização de modelo de RFCD no site do TCE</w:t>
      </w:r>
      <w:r w:rsidR="001D3FEB">
        <w:rPr>
          <w:rFonts w:ascii="Arial" w:hAnsi="Arial" w:cs="Arial"/>
          <w:sz w:val="23"/>
          <w:szCs w:val="23"/>
        </w:rPr>
        <w:t xml:space="preserve"> – PR</w:t>
      </w:r>
      <w:r w:rsidRPr="0053584B">
        <w:rPr>
          <w:rFonts w:ascii="Arial" w:hAnsi="Arial" w:cs="Arial"/>
          <w:sz w:val="23"/>
          <w:szCs w:val="23"/>
        </w:rPr>
        <w:t>.</w:t>
      </w:r>
    </w:p>
    <w:p w14:paraId="2FE5890F" w14:textId="1850093A" w:rsidR="00FB2CA6" w:rsidRPr="0053584B" w:rsidRDefault="00FB2CA6" w:rsidP="00E54363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Em sintonia com o art. 6º da Lei Complementar nº 113</w:t>
      </w:r>
      <w:r w:rsidR="001D3FEB">
        <w:rPr>
          <w:rFonts w:ascii="Arial" w:hAnsi="Arial" w:cs="Arial"/>
          <w:sz w:val="23"/>
          <w:szCs w:val="23"/>
        </w:rPr>
        <w:t xml:space="preserve">, de 15 de dezembro de </w:t>
      </w:r>
      <w:r w:rsidRPr="0053584B">
        <w:rPr>
          <w:rFonts w:ascii="Arial" w:hAnsi="Arial" w:cs="Arial"/>
          <w:sz w:val="23"/>
          <w:szCs w:val="23"/>
        </w:rPr>
        <w:t>2005, sempre que os procedimentos estabelecidos nos RCDs forem executados, as conclusões obtidas pela UCCI deverão ser informadas ao TCE</w:t>
      </w:r>
      <w:r w:rsidR="001D3FEB">
        <w:rPr>
          <w:rFonts w:ascii="Arial" w:hAnsi="Arial" w:cs="Arial"/>
          <w:sz w:val="23"/>
          <w:szCs w:val="23"/>
        </w:rPr>
        <w:t xml:space="preserve"> – PR</w:t>
      </w:r>
      <w:r w:rsidRPr="0053584B">
        <w:rPr>
          <w:rFonts w:ascii="Arial" w:hAnsi="Arial" w:cs="Arial"/>
          <w:sz w:val="23"/>
          <w:szCs w:val="23"/>
        </w:rPr>
        <w:t xml:space="preserve"> em até 30 (trinta) dias corridos da finalização </w:t>
      </w:r>
      <w:r w:rsidR="00C64BE0" w:rsidRPr="0053584B">
        <w:rPr>
          <w:rFonts w:ascii="Arial" w:hAnsi="Arial" w:cs="Arial"/>
          <w:sz w:val="23"/>
          <w:szCs w:val="23"/>
        </w:rPr>
        <w:t>da análise da consistência de dados</w:t>
      </w:r>
      <w:r w:rsidRPr="0053584B">
        <w:rPr>
          <w:rFonts w:ascii="Arial" w:hAnsi="Arial" w:cs="Arial"/>
          <w:sz w:val="23"/>
          <w:szCs w:val="23"/>
        </w:rPr>
        <w:t>.</w:t>
      </w:r>
    </w:p>
    <w:p w14:paraId="6F2AE684" w14:textId="0C514661" w:rsidR="00016DDC" w:rsidRPr="0053584B" w:rsidRDefault="00016DDC" w:rsidP="00AC77FC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 xml:space="preserve">O cumprimento do item </w:t>
      </w:r>
      <w:r w:rsidR="00F0462D">
        <w:rPr>
          <w:rFonts w:ascii="Arial" w:hAnsi="Arial" w:cs="Arial"/>
          <w:sz w:val="23"/>
          <w:szCs w:val="23"/>
        </w:rPr>
        <w:t>9</w:t>
      </w:r>
      <w:r w:rsidRPr="0053584B">
        <w:rPr>
          <w:rFonts w:ascii="Arial" w:hAnsi="Arial" w:cs="Arial"/>
          <w:sz w:val="23"/>
          <w:szCs w:val="23"/>
        </w:rPr>
        <w:t xml:space="preserve"> será efetivado por meio do envio do RFCD e de informações e documentos complementares que poderão ser requisitados pelo TCE</w:t>
      </w:r>
      <w:r w:rsidR="001D3FEB">
        <w:rPr>
          <w:rFonts w:ascii="Arial" w:hAnsi="Arial" w:cs="Arial"/>
          <w:sz w:val="23"/>
          <w:szCs w:val="23"/>
        </w:rPr>
        <w:t xml:space="preserve"> - PR</w:t>
      </w:r>
      <w:r w:rsidRPr="0053584B">
        <w:rPr>
          <w:rFonts w:ascii="Arial" w:hAnsi="Arial" w:cs="Arial"/>
          <w:sz w:val="23"/>
          <w:szCs w:val="23"/>
        </w:rPr>
        <w:t xml:space="preserve">. </w:t>
      </w:r>
    </w:p>
    <w:p w14:paraId="7C400140" w14:textId="77777777" w:rsidR="00F973B7" w:rsidRDefault="00F973B7" w:rsidP="00F973B7">
      <w:pPr>
        <w:pStyle w:val="PargrafodaLista"/>
        <w:tabs>
          <w:tab w:val="left" w:pos="426"/>
        </w:tabs>
        <w:spacing w:before="120"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</w:p>
    <w:p w14:paraId="5F85DD96" w14:textId="77777777" w:rsidR="00684240" w:rsidRPr="0053584B" w:rsidRDefault="00684240" w:rsidP="00F973B7">
      <w:pPr>
        <w:pStyle w:val="PargrafodaLista"/>
        <w:tabs>
          <w:tab w:val="left" w:pos="426"/>
        </w:tabs>
        <w:spacing w:before="120" w:after="0" w:line="360" w:lineRule="auto"/>
        <w:ind w:left="0"/>
        <w:jc w:val="both"/>
        <w:rPr>
          <w:rFonts w:ascii="Arial" w:hAnsi="Arial" w:cs="Arial"/>
          <w:sz w:val="23"/>
          <w:szCs w:val="23"/>
        </w:rPr>
      </w:pPr>
    </w:p>
    <w:p w14:paraId="3E7CF32E" w14:textId="0274F3D5" w:rsidR="00F973B7" w:rsidRPr="0053584B" w:rsidRDefault="00F973B7" w:rsidP="00F973B7">
      <w:pPr>
        <w:pStyle w:val="PargrafodaLista"/>
        <w:spacing w:before="120" w:after="0" w:line="360" w:lineRule="auto"/>
        <w:jc w:val="center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b/>
          <w:bCs/>
          <w:sz w:val="23"/>
          <w:szCs w:val="23"/>
        </w:rPr>
        <w:t>LEVANTAMENTO DA ATUAÇÃO DAS UCCIS</w:t>
      </w:r>
    </w:p>
    <w:p w14:paraId="385D9E35" w14:textId="6B49EC1E" w:rsidR="00FB2CA6" w:rsidRPr="0053584B" w:rsidRDefault="00016DDC" w:rsidP="00601831">
      <w:pPr>
        <w:pStyle w:val="PargrafodaLista"/>
        <w:numPr>
          <w:ilvl w:val="0"/>
          <w:numId w:val="2"/>
        </w:numPr>
        <w:tabs>
          <w:tab w:val="left" w:pos="426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 xml:space="preserve">A equipe </w:t>
      </w:r>
      <w:r w:rsidR="002843CD" w:rsidRPr="0053584B">
        <w:rPr>
          <w:rFonts w:ascii="Arial" w:hAnsi="Arial" w:cs="Arial"/>
          <w:sz w:val="23"/>
          <w:szCs w:val="23"/>
        </w:rPr>
        <w:t>do TCE</w:t>
      </w:r>
      <w:r w:rsidR="001D3FEB">
        <w:rPr>
          <w:rFonts w:ascii="Arial" w:hAnsi="Arial" w:cs="Arial"/>
          <w:sz w:val="23"/>
          <w:szCs w:val="23"/>
        </w:rPr>
        <w:t xml:space="preserve"> – PR </w:t>
      </w:r>
      <w:r w:rsidR="002843CD" w:rsidRPr="0053584B">
        <w:rPr>
          <w:rFonts w:ascii="Arial" w:hAnsi="Arial" w:cs="Arial"/>
          <w:sz w:val="23"/>
          <w:szCs w:val="23"/>
        </w:rPr>
        <w:t xml:space="preserve"> </w:t>
      </w:r>
      <w:r w:rsidRPr="0053584B">
        <w:rPr>
          <w:rFonts w:ascii="Arial" w:hAnsi="Arial" w:cs="Arial"/>
          <w:sz w:val="23"/>
          <w:szCs w:val="23"/>
        </w:rPr>
        <w:t xml:space="preserve">responsável pelas contas municipais de governo realizará, até o dia 31 de janeiro do exercício subsequente ao da conta em análise, </w:t>
      </w:r>
      <w:r w:rsidRPr="0053584B">
        <w:rPr>
          <w:rFonts w:ascii="Arial" w:hAnsi="Arial" w:cs="Arial"/>
          <w:b/>
          <w:bCs/>
          <w:sz w:val="23"/>
          <w:szCs w:val="23"/>
        </w:rPr>
        <w:t>levantamento da atuação das UCCIs</w:t>
      </w:r>
      <w:r w:rsidRPr="0053584B">
        <w:rPr>
          <w:rFonts w:ascii="Arial" w:hAnsi="Arial" w:cs="Arial"/>
          <w:sz w:val="23"/>
          <w:szCs w:val="23"/>
        </w:rPr>
        <w:t>.</w:t>
      </w:r>
    </w:p>
    <w:p w14:paraId="3260B245" w14:textId="566B5DC9" w:rsidR="00016DDC" w:rsidRPr="0053584B" w:rsidRDefault="00016DDC" w:rsidP="00AC77FC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O levantamento compreenderá, no mínimo, os instrumentos de planejamentos de atividades, a alocação de recursos, a instrumentalização dos processos e a realização dos serviços de auditoria interna, incluindo os resultados dos monitoramentos.</w:t>
      </w:r>
    </w:p>
    <w:p w14:paraId="49406DE0" w14:textId="0ADF2182" w:rsidR="00016DDC" w:rsidRDefault="00016DDC" w:rsidP="0053584B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Excepcionalmente para o exercício de 2024, o levantamento será realizado até 31 de outubro do mesmo ano.</w:t>
      </w:r>
    </w:p>
    <w:p w14:paraId="6563D576" w14:textId="562BED72" w:rsidR="00800C7A" w:rsidRPr="0053584B" w:rsidRDefault="00AB7754" w:rsidP="0053584B">
      <w:pPr>
        <w:pStyle w:val="PargrafodaLista"/>
        <w:numPr>
          <w:ilvl w:val="1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 levantamento realizado deverá compor</w:t>
      </w:r>
      <w:r w:rsidR="0004614C">
        <w:rPr>
          <w:rFonts w:ascii="Arial" w:hAnsi="Arial" w:cs="Arial"/>
          <w:sz w:val="23"/>
          <w:szCs w:val="23"/>
        </w:rPr>
        <w:t xml:space="preserve"> a instrução da </w:t>
      </w:r>
      <w:r w:rsidR="00BD2FA1">
        <w:rPr>
          <w:rFonts w:ascii="Arial" w:hAnsi="Arial" w:cs="Arial"/>
          <w:sz w:val="23"/>
          <w:szCs w:val="23"/>
        </w:rPr>
        <w:t>u</w:t>
      </w:r>
      <w:r w:rsidR="0004614C" w:rsidRPr="0053584B">
        <w:rPr>
          <w:rFonts w:ascii="Arial" w:hAnsi="Arial" w:cs="Arial"/>
          <w:sz w:val="23"/>
          <w:szCs w:val="23"/>
        </w:rPr>
        <w:t>nidade</w:t>
      </w:r>
      <w:r w:rsidR="00BD2FA1">
        <w:rPr>
          <w:rFonts w:ascii="Arial" w:hAnsi="Arial" w:cs="Arial"/>
          <w:sz w:val="23"/>
          <w:szCs w:val="23"/>
        </w:rPr>
        <w:t xml:space="preserve"> técnica</w:t>
      </w:r>
      <w:r w:rsidR="0004614C" w:rsidRPr="0053584B">
        <w:rPr>
          <w:rFonts w:ascii="Arial" w:hAnsi="Arial" w:cs="Arial"/>
          <w:sz w:val="23"/>
          <w:szCs w:val="23"/>
        </w:rPr>
        <w:t xml:space="preserve"> responsável</w:t>
      </w:r>
      <w:r w:rsidR="0004614C">
        <w:rPr>
          <w:rFonts w:ascii="Arial" w:hAnsi="Arial" w:cs="Arial"/>
          <w:sz w:val="23"/>
          <w:szCs w:val="23"/>
        </w:rPr>
        <w:t xml:space="preserve"> </w:t>
      </w:r>
      <w:r w:rsidR="0004614C" w:rsidRPr="00A22044">
        <w:rPr>
          <w:rFonts w:ascii="Arial" w:hAnsi="Arial" w:cs="Arial"/>
          <w:b/>
          <w:bCs/>
          <w:sz w:val="23"/>
          <w:szCs w:val="23"/>
        </w:rPr>
        <w:t>a partir das contas referentes ao exercício de 202</w:t>
      </w:r>
      <w:r w:rsidR="00BD2FA1">
        <w:rPr>
          <w:rFonts w:ascii="Arial" w:hAnsi="Arial" w:cs="Arial"/>
          <w:b/>
          <w:bCs/>
          <w:sz w:val="23"/>
          <w:szCs w:val="23"/>
        </w:rPr>
        <w:t>4.</w:t>
      </w:r>
    </w:p>
    <w:p w14:paraId="05E77949" w14:textId="77777777" w:rsidR="00694867" w:rsidRPr="0053584B" w:rsidRDefault="00694867" w:rsidP="00694867">
      <w:pPr>
        <w:pStyle w:val="PargrafodaLista"/>
        <w:spacing w:before="120" w:after="0" w:line="360" w:lineRule="auto"/>
        <w:rPr>
          <w:rFonts w:ascii="Arial" w:hAnsi="Arial" w:cs="Arial"/>
          <w:b/>
          <w:bCs/>
          <w:sz w:val="23"/>
          <w:szCs w:val="23"/>
        </w:rPr>
      </w:pPr>
    </w:p>
    <w:p w14:paraId="68BA3805" w14:textId="1036159A" w:rsidR="00694867" w:rsidRPr="0053584B" w:rsidRDefault="00694867" w:rsidP="00694867">
      <w:pPr>
        <w:pStyle w:val="PargrafodaLista"/>
        <w:spacing w:before="120" w:after="0" w:line="360" w:lineRule="auto"/>
        <w:jc w:val="center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b/>
          <w:bCs/>
          <w:sz w:val="23"/>
          <w:szCs w:val="23"/>
        </w:rPr>
        <w:t>DISPOSIÇÕES FINAIS</w:t>
      </w:r>
    </w:p>
    <w:p w14:paraId="178A043F" w14:textId="159B0929" w:rsidR="00016DDC" w:rsidRPr="0053584B" w:rsidRDefault="00016DDC" w:rsidP="00601831">
      <w:pPr>
        <w:pStyle w:val="PargrafodaLista"/>
        <w:numPr>
          <w:ilvl w:val="0"/>
          <w:numId w:val="2"/>
        </w:numPr>
        <w:tabs>
          <w:tab w:val="left" w:pos="567"/>
        </w:tabs>
        <w:spacing w:before="120" w:after="0" w:line="360" w:lineRule="auto"/>
        <w:ind w:left="0" w:firstLine="0"/>
        <w:contextualSpacing w:val="0"/>
        <w:jc w:val="both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>As informações decorrentes dos trabalhos de análise da consistência dos dados deverão compor a instrução técnica da unidade responsável</w:t>
      </w:r>
      <w:r w:rsidR="004E2E80">
        <w:rPr>
          <w:rFonts w:ascii="Arial" w:hAnsi="Arial" w:cs="Arial"/>
          <w:sz w:val="23"/>
          <w:szCs w:val="23"/>
        </w:rPr>
        <w:t>,</w:t>
      </w:r>
      <w:r w:rsidR="000C6D32">
        <w:rPr>
          <w:rFonts w:ascii="Arial" w:hAnsi="Arial" w:cs="Arial"/>
          <w:sz w:val="23"/>
          <w:szCs w:val="23"/>
        </w:rPr>
        <w:t xml:space="preserve"> </w:t>
      </w:r>
      <w:r w:rsidR="000C6D32" w:rsidRPr="00A22044">
        <w:rPr>
          <w:rFonts w:ascii="Arial" w:hAnsi="Arial" w:cs="Arial"/>
          <w:b/>
          <w:bCs/>
          <w:sz w:val="23"/>
          <w:szCs w:val="23"/>
        </w:rPr>
        <w:t>a parti</w:t>
      </w:r>
      <w:r w:rsidR="003B6B75" w:rsidRPr="00A22044">
        <w:rPr>
          <w:rFonts w:ascii="Arial" w:hAnsi="Arial" w:cs="Arial"/>
          <w:b/>
          <w:bCs/>
          <w:sz w:val="23"/>
          <w:szCs w:val="23"/>
        </w:rPr>
        <w:t>r d</w:t>
      </w:r>
      <w:r w:rsidR="00A22044" w:rsidRPr="00A22044">
        <w:rPr>
          <w:rFonts w:ascii="Arial" w:hAnsi="Arial" w:cs="Arial"/>
          <w:b/>
          <w:bCs/>
          <w:sz w:val="23"/>
          <w:szCs w:val="23"/>
        </w:rPr>
        <w:t>as contas referentes ao</w:t>
      </w:r>
      <w:r w:rsidR="003B6B75" w:rsidRPr="00A22044">
        <w:rPr>
          <w:rFonts w:ascii="Arial" w:hAnsi="Arial" w:cs="Arial"/>
          <w:b/>
          <w:bCs/>
          <w:sz w:val="23"/>
          <w:szCs w:val="23"/>
        </w:rPr>
        <w:t xml:space="preserve"> exercício de 2025</w:t>
      </w:r>
      <w:r w:rsidRPr="0053584B">
        <w:rPr>
          <w:rFonts w:ascii="Arial" w:hAnsi="Arial" w:cs="Arial"/>
          <w:sz w:val="23"/>
          <w:szCs w:val="23"/>
        </w:rPr>
        <w:t>, de modo a fornecer subsídios à decisão dos conselheiros do TCE</w:t>
      </w:r>
      <w:r w:rsidR="001D3FEB">
        <w:rPr>
          <w:rFonts w:ascii="Arial" w:hAnsi="Arial" w:cs="Arial"/>
          <w:sz w:val="23"/>
          <w:szCs w:val="23"/>
        </w:rPr>
        <w:t xml:space="preserve"> – PR </w:t>
      </w:r>
      <w:r w:rsidRPr="0053584B">
        <w:rPr>
          <w:rFonts w:ascii="Arial" w:hAnsi="Arial" w:cs="Arial"/>
          <w:sz w:val="23"/>
          <w:szCs w:val="23"/>
        </w:rPr>
        <w:t xml:space="preserve"> acerca dos resultados identificados no âmbito da atuação governamental das áreas avaliadas, nos termos da IN 172/2022.</w:t>
      </w:r>
    </w:p>
    <w:p w14:paraId="3B302AF9" w14:textId="7987B658" w:rsidR="00617748" w:rsidRPr="0053584B" w:rsidRDefault="00617748" w:rsidP="00AC77FC">
      <w:pPr>
        <w:spacing w:before="120" w:after="0" w:line="360" w:lineRule="auto"/>
        <w:jc w:val="both"/>
        <w:rPr>
          <w:rFonts w:ascii="Arial" w:hAnsi="Arial" w:cs="Arial"/>
          <w:sz w:val="23"/>
          <w:szCs w:val="23"/>
        </w:rPr>
      </w:pPr>
    </w:p>
    <w:p w14:paraId="414AF8F9" w14:textId="623B1C93" w:rsidR="00171C50" w:rsidRPr="0053584B" w:rsidRDefault="00171C50" w:rsidP="00171C50">
      <w:pPr>
        <w:spacing w:after="0" w:line="288" w:lineRule="auto"/>
        <w:jc w:val="center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 xml:space="preserve">CGF, </w:t>
      </w:r>
      <w:r w:rsidR="001D3FEB" w:rsidRPr="001D3FEB">
        <w:rPr>
          <w:rFonts w:ascii="Arial" w:hAnsi="Arial" w:cs="Arial"/>
          <w:sz w:val="23"/>
          <w:szCs w:val="23"/>
        </w:rPr>
        <w:t>18</w:t>
      </w:r>
      <w:r w:rsidRPr="001D3FEB">
        <w:rPr>
          <w:rFonts w:ascii="Arial" w:hAnsi="Arial" w:cs="Arial"/>
          <w:sz w:val="23"/>
          <w:szCs w:val="23"/>
        </w:rPr>
        <w:t xml:space="preserve"> de julho </w:t>
      </w:r>
      <w:r w:rsidRPr="0053584B">
        <w:rPr>
          <w:rFonts w:ascii="Arial" w:hAnsi="Arial" w:cs="Arial"/>
          <w:sz w:val="23"/>
          <w:szCs w:val="23"/>
        </w:rPr>
        <w:t>de 2024.</w:t>
      </w:r>
    </w:p>
    <w:p w14:paraId="743E4FB5" w14:textId="77777777" w:rsidR="00171C50" w:rsidRPr="0053584B" w:rsidRDefault="00171C50" w:rsidP="00171C50">
      <w:pPr>
        <w:spacing w:after="0" w:line="288" w:lineRule="auto"/>
        <w:jc w:val="center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t xml:space="preserve"> </w:t>
      </w:r>
    </w:p>
    <w:p w14:paraId="1584B823" w14:textId="77777777" w:rsidR="00171C50" w:rsidRPr="0053584B" w:rsidRDefault="00171C50" w:rsidP="00171C50">
      <w:pPr>
        <w:spacing w:after="0" w:line="288" w:lineRule="auto"/>
        <w:jc w:val="center"/>
        <w:rPr>
          <w:rFonts w:ascii="Arial" w:hAnsi="Arial" w:cs="Arial"/>
          <w:sz w:val="23"/>
          <w:szCs w:val="23"/>
        </w:rPr>
      </w:pPr>
      <w:r w:rsidRPr="0053584B">
        <w:rPr>
          <w:rFonts w:ascii="Arial" w:hAnsi="Arial" w:cs="Arial"/>
          <w:sz w:val="23"/>
          <w:szCs w:val="23"/>
        </w:rPr>
        <w:lastRenderedPageBreak/>
        <w:t>-assinatura digital-</w:t>
      </w:r>
    </w:p>
    <w:p w14:paraId="1F98C10D" w14:textId="77777777" w:rsidR="00171C50" w:rsidRPr="0053584B" w:rsidRDefault="00171C50" w:rsidP="00171C50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0053584B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DJALMA RIESEMBERG JUNIOR</w:t>
      </w:r>
    </w:p>
    <w:p w14:paraId="4232DB40" w14:textId="77777777" w:rsidR="00171C50" w:rsidRPr="0053584B" w:rsidRDefault="00171C50" w:rsidP="00171C50">
      <w:pPr>
        <w:jc w:val="center"/>
        <w:rPr>
          <w:rFonts w:ascii="Arial" w:hAnsi="Arial" w:cs="Arial"/>
          <w:sz w:val="23"/>
          <w:szCs w:val="23"/>
        </w:rPr>
      </w:pPr>
      <w:r w:rsidRPr="0053584B">
        <w:rPr>
          <w:rFonts w:ascii="Arial" w:eastAsia="Arial" w:hAnsi="Arial" w:cs="Arial"/>
          <w:color w:val="000000" w:themeColor="text1"/>
          <w:sz w:val="23"/>
          <w:szCs w:val="23"/>
        </w:rPr>
        <w:t>Coordenador-Geral de Fiscalização</w:t>
      </w:r>
    </w:p>
    <w:sectPr w:rsidR="00171C50" w:rsidRPr="0053584B" w:rsidSect="00ED13B8">
      <w:headerReference w:type="default" r:id="rId10"/>
      <w:pgSz w:w="11906" w:h="16838"/>
      <w:pgMar w:top="1134" w:right="1247" w:bottom="102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3F7CD" w14:textId="77777777" w:rsidR="00E0036A" w:rsidRDefault="00E0036A" w:rsidP="00DA41BD">
      <w:pPr>
        <w:spacing w:after="0" w:line="240" w:lineRule="auto"/>
      </w:pPr>
      <w:r>
        <w:separator/>
      </w:r>
    </w:p>
  </w:endnote>
  <w:endnote w:type="continuationSeparator" w:id="0">
    <w:p w14:paraId="5A589A19" w14:textId="77777777" w:rsidR="00E0036A" w:rsidRDefault="00E0036A" w:rsidP="00DA41BD">
      <w:pPr>
        <w:spacing w:after="0" w:line="240" w:lineRule="auto"/>
      </w:pPr>
      <w:r>
        <w:continuationSeparator/>
      </w:r>
    </w:p>
  </w:endnote>
  <w:endnote w:type="continuationNotice" w:id="1">
    <w:p w14:paraId="276EC15F" w14:textId="77777777" w:rsidR="00E0036A" w:rsidRDefault="00E00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5944E" w14:textId="77777777" w:rsidR="00E0036A" w:rsidRDefault="00E0036A" w:rsidP="00DA41BD">
      <w:pPr>
        <w:spacing w:after="0" w:line="240" w:lineRule="auto"/>
      </w:pPr>
      <w:r>
        <w:separator/>
      </w:r>
    </w:p>
  </w:footnote>
  <w:footnote w:type="continuationSeparator" w:id="0">
    <w:p w14:paraId="07E45F4C" w14:textId="77777777" w:rsidR="00E0036A" w:rsidRDefault="00E0036A" w:rsidP="00DA41BD">
      <w:pPr>
        <w:spacing w:after="0" w:line="240" w:lineRule="auto"/>
      </w:pPr>
      <w:r>
        <w:continuationSeparator/>
      </w:r>
    </w:p>
  </w:footnote>
  <w:footnote w:type="continuationNotice" w:id="1">
    <w:p w14:paraId="35FC3506" w14:textId="77777777" w:rsidR="00E0036A" w:rsidRDefault="00E0036A">
      <w:pPr>
        <w:spacing w:after="0" w:line="240" w:lineRule="auto"/>
      </w:pPr>
    </w:p>
  </w:footnote>
  <w:footnote w:id="2">
    <w:p w14:paraId="3E1661C1" w14:textId="77777777" w:rsidR="0084102C" w:rsidRDefault="0084102C" w:rsidP="0084102C">
      <w:pPr>
        <w:pStyle w:val="Textodenotaderodap"/>
        <w:rPr>
          <w:rFonts w:ascii="Aptos" w:hAnsi="Aptos" w:cs="Aptos"/>
          <w:b/>
          <w:sz w:val="22"/>
          <w:szCs w:val="22"/>
        </w:rPr>
      </w:pPr>
      <w:r w:rsidRPr="001A5E4E">
        <w:rPr>
          <w:rStyle w:val="Refdenotaderodap"/>
        </w:rPr>
        <w:sym w:font="Symbol" w:char="F02A"/>
      </w:r>
      <w:r>
        <w:t xml:space="preserve"> </w:t>
      </w:r>
      <w:r w:rsidRPr="00382508">
        <w:rPr>
          <w:rFonts w:ascii="Aptos" w:hAnsi="Aptos" w:cs="Aptos"/>
          <w:b/>
          <w:sz w:val="22"/>
          <w:szCs w:val="22"/>
        </w:rPr>
        <w:t>Notas da Biblioteca:</w:t>
      </w:r>
    </w:p>
    <w:p w14:paraId="55DCC845" w14:textId="77777777" w:rsidR="0084102C" w:rsidRDefault="0084102C" w:rsidP="0084102C">
      <w:pPr>
        <w:pStyle w:val="Textodenotaderodap"/>
        <w:spacing w:before="120" w:after="120"/>
        <w:rPr>
          <w:rFonts w:ascii="Arial" w:hAnsi="Arial" w:cs="Arial"/>
          <w:color w:val="0000FF"/>
          <w:sz w:val="18"/>
          <w:szCs w:val="18"/>
        </w:rPr>
      </w:pPr>
      <w:r w:rsidRPr="00AA5BE3">
        <w:rPr>
          <w:rFonts w:cstheme="minorHAnsi"/>
          <w:sz w:val="18"/>
          <w:szCs w:val="18"/>
        </w:rPr>
        <w:t xml:space="preserve">a)  Este texto não substitui o publicado no periódico: </w:t>
      </w:r>
      <w:bookmarkStart w:id="0" w:name="_Hlk167449788"/>
      <w:r w:rsidRPr="00AA5BE3">
        <w:rPr>
          <w:rFonts w:cstheme="minorHAnsi"/>
          <w:sz w:val="18"/>
          <w:szCs w:val="18"/>
        </w:rPr>
        <w:t xml:space="preserve">Este texto não substitui o publicado no periódico: </w:t>
      </w:r>
      <w:hyperlink r:id="rId1" w:history="1">
        <w:r w:rsidRPr="00D37110">
          <w:rPr>
            <w:rStyle w:val="Hyperlink"/>
            <w:rFonts w:ascii="Arial" w:hAnsi="Arial" w:cs="Arial"/>
            <w:sz w:val="18"/>
            <w:szCs w:val="18"/>
          </w:rPr>
          <w:t>Diário Eletrônico do Tribunal de Contas do Estado do Paraná, Curitiba, PR, ano 19, n. 3.257, 24 julho 2024, p. 77</w:t>
        </w:r>
      </w:hyperlink>
      <w:r w:rsidRPr="00D37110">
        <w:rPr>
          <w:rFonts w:ascii="Arial" w:hAnsi="Arial" w:cs="Arial"/>
          <w:color w:val="0000FF"/>
          <w:sz w:val="18"/>
          <w:szCs w:val="18"/>
        </w:rPr>
        <w:t>.</w:t>
      </w:r>
    </w:p>
    <w:p w14:paraId="11FBF42F" w14:textId="77777777" w:rsidR="0084102C" w:rsidRDefault="0084102C" w:rsidP="0084102C">
      <w:pPr>
        <w:pStyle w:val="Textodenotaderodap"/>
        <w:spacing w:before="120"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b) </w:t>
      </w:r>
      <w:r w:rsidRPr="0063589E">
        <w:rPr>
          <w:rFonts w:ascii="Arial" w:hAnsi="Arial" w:cs="Arial"/>
          <w:b/>
          <w:bCs/>
          <w:sz w:val="18"/>
          <w:szCs w:val="18"/>
        </w:rPr>
        <w:t>Ver também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2CEBEEB1" w14:textId="09D35EE2" w:rsidR="0084102C" w:rsidRDefault="0084102C" w:rsidP="0084102C">
      <w:pPr>
        <w:pStyle w:val="Textodenotaderodap"/>
        <w:ind w:left="284" w:hanging="284"/>
        <w:rPr>
          <w:rFonts w:cs="Arial"/>
        </w:rPr>
      </w:pPr>
      <w:hyperlink r:id="rId2" w:history="1">
        <w:r w:rsidRPr="0063589E">
          <w:rPr>
            <w:rStyle w:val="Hyperlink"/>
            <w:rFonts w:cs="Calibri"/>
            <w:sz w:val="18"/>
            <w:szCs w:val="18"/>
          </w:rPr>
          <w:t>Instrução Normativa n. 172, de 11 de julho de 2022</w:t>
        </w:r>
      </w:hyperlink>
      <w:r>
        <w:rPr>
          <w:rFonts w:cs="Calibri"/>
          <w:sz w:val="18"/>
          <w:szCs w:val="18"/>
        </w:rPr>
        <w:t>.</w:t>
      </w:r>
    </w:p>
    <w:p w14:paraId="7230D0E4" w14:textId="77777777" w:rsidR="0084102C" w:rsidRPr="00A70986" w:rsidRDefault="0084102C" w:rsidP="0084102C">
      <w:pPr>
        <w:pStyle w:val="Textodenotaderodap"/>
        <w:ind w:left="426" w:hanging="284"/>
        <w:rPr>
          <w:rFonts w:cs="Arial"/>
          <w:sz w:val="18"/>
          <w:szCs w:val="18"/>
        </w:rPr>
      </w:pPr>
    </w:p>
    <w:bookmarkEnd w:id="0"/>
    <w:p w14:paraId="55CABDCD" w14:textId="77777777" w:rsidR="0084102C" w:rsidRPr="00382508" w:rsidRDefault="0084102C" w:rsidP="0084102C">
      <w:pPr>
        <w:pStyle w:val="Textodenotaderodap"/>
        <w:ind w:left="142"/>
        <w:jc w:val="both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6024" w14:textId="77777777" w:rsidR="00DA41BD" w:rsidRDefault="00DA41BD" w:rsidP="00DA41BD">
    <w:pPr>
      <w:keepLines/>
      <w:spacing w:before="360"/>
      <w:jc w:val="center"/>
      <w:rPr>
        <w:rFonts w:cs="Arial"/>
        <w:b/>
        <w:bCs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3C440E" wp14:editId="510B7B17">
          <wp:simplePos x="0" y="0"/>
          <wp:positionH relativeFrom="column">
            <wp:posOffset>1905</wp:posOffset>
          </wp:positionH>
          <wp:positionV relativeFrom="paragraph">
            <wp:posOffset>-6985</wp:posOffset>
          </wp:positionV>
          <wp:extent cx="559435" cy="655320"/>
          <wp:effectExtent l="0" t="0" r="0" b="0"/>
          <wp:wrapNone/>
          <wp:docPr id="145480011" name="Imagem 145480011" descr="brasao_pr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pr_peque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5ABE5206">
      <w:rPr>
        <w:rFonts w:cs="Arial"/>
        <w:b/>
        <w:bCs/>
        <w:sz w:val="28"/>
        <w:szCs w:val="28"/>
      </w:rPr>
      <w:t>TRIBUNAL DE CONTAS DO ESTADO DO PARANÁ</w:t>
    </w:r>
  </w:p>
  <w:p w14:paraId="506D2549" w14:textId="77777777" w:rsidR="00DA41BD" w:rsidRPr="00667686" w:rsidRDefault="00DA41BD" w:rsidP="00DA41BD">
    <w:pPr>
      <w:keepLines/>
      <w:spacing w:after="360"/>
      <w:jc w:val="center"/>
      <w:rPr>
        <w:rFonts w:cs="Arial"/>
        <w:bCs/>
        <w:szCs w:val="28"/>
      </w:rPr>
    </w:pPr>
    <w:r w:rsidRPr="00667686">
      <w:rPr>
        <w:rFonts w:cs="Arial"/>
        <w:bCs/>
        <w:szCs w:val="28"/>
      </w:rPr>
      <w:t>COORDENADORIA-GERAL DE FISCALIZAÇÃO</w:t>
    </w:r>
  </w:p>
  <w:p w14:paraId="1F94BC6D" w14:textId="77777777" w:rsidR="00DA41BD" w:rsidRDefault="00DA41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C5096"/>
    <w:multiLevelType w:val="multilevel"/>
    <w:tmpl w:val="11CCF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A882E73"/>
    <w:multiLevelType w:val="multilevel"/>
    <w:tmpl w:val="C18EE1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52906318">
    <w:abstractNumId w:val="0"/>
  </w:num>
  <w:num w:numId="2" w16cid:durableId="139312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4D"/>
    <w:rsid w:val="00015A3B"/>
    <w:rsid w:val="00016DDC"/>
    <w:rsid w:val="00043643"/>
    <w:rsid w:val="0004614C"/>
    <w:rsid w:val="00064D2E"/>
    <w:rsid w:val="000816D5"/>
    <w:rsid w:val="00081F31"/>
    <w:rsid w:val="000C1E6E"/>
    <w:rsid w:val="000C6D32"/>
    <w:rsid w:val="000F4F7A"/>
    <w:rsid w:val="00123DD0"/>
    <w:rsid w:val="001465A7"/>
    <w:rsid w:val="00151F5D"/>
    <w:rsid w:val="00171C50"/>
    <w:rsid w:val="00186053"/>
    <w:rsid w:val="00193D93"/>
    <w:rsid w:val="001B4A34"/>
    <w:rsid w:val="001D2354"/>
    <w:rsid w:val="001D3FEB"/>
    <w:rsid w:val="001E709E"/>
    <w:rsid w:val="00204E78"/>
    <w:rsid w:val="0025694C"/>
    <w:rsid w:val="002843CD"/>
    <w:rsid w:val="00291FDE"/>
    <w:rsid w:val="002964A9"/>
    <w:rsid w:val="002B362B"/>
    <w:rsid w:val="002B6E2F"/>
    <w:rsid w:val="002D3DF2"/>
    <w:rsid w:val="002E5650"/>
    <w:rsid w:val="002F0111"/>
    <w:rsid w:val="002F1151"/>
    <w:rsid w:val="00322453"/>
    <w:rsid w:val="003249C5"/>
    <w:rsid w:val="003531FA"/>
    <w:rsid w:val="003558FA"/>
    <w:rsid w:val="003633C2"/>
    <w:rsid w:val="00366557"/>
    <w:rsid w:val="00372CE2"/>
    <w:rsid w:val="00386A33"/>
    <w:rsid w:val="003A72F9"/>
    <w:rsid w:val="003B560E"/>
    <w:rsid w:val="003B6B75"/>
    <w:rsid w:val="003C0755"/>
    <w:rsid w:val="003D17D2"/>
    <w:rsid w:val="003F6579"/>
    <w:rsid w:val="003F7F94"/>
    <w:rsid w:val="00416ED0"/>
    <w:rsid w:val="00422BE5"/>
    <w:rsid w:val="00425BA9"/>
    <w:rsid w:val="00441BCA"/>
    <w:rsid w:val="00444607"/>
    <w:rsid w:val="00444C82"/>
    <w:rsid w:val="004623D8"/>
    <w:rsid w:val="004723B5"/>
    <w:rsid w:val="004745EE"/>
    <w:rsid w:val="0048329D"/>
    <w:rsid w:val="004B117B"/>
    <w:rsid w:val="004B753C"/>
    <w:rsid w:val="004C689D"/>
    <w:rsid w:val="004D33BE"/>
    <w:rsid w:val="004E2E80"/>
    <w:rsid w:val="004E4A86"/>
    <w:rsid w:val="004F21F8"/>
    <w:rsid w:val="00513510"/>
    <w:rsid w:val="00517487"/>
    <w:rsid w:val="0053584B"/>
    <w:rsid w:val="00552909"/>
    <w:rsid w:val="00553A1C"/>
    <w:rsid w:val="00574F1C"/>
    <w:rsid w:val="005D44E4"/>
    <w:rsid w:val="005E2D83"/>
    <w:rsid w:val="00601831"/>
    <w:rsid w:val="00602BFD"/>
    <w:rsid w:val="00611D3D"/>
    <w:rsid w:val="0061758B"/>
    <w:rsid w:val="00617748"/>
    <w:rsid w:val="00622527"/>
    <w:rsid w:val="00624685"/>
    <w:rsid w:val="00640E03"/>
    <w:rsid w:val="00674310"/>
    <w:rsid w:val="0068041B"/>
    <w:rsid w:val="00681453"/>
    <w:rsid w:val="00684240"/>
    <w:rsid w:val="00694867"/>
    <w:rsid w:val="006B1F36"/>
    <w:rsid w:val="006B7EA2"/>
    <w:rsid w:val="006F0788"/>
    <w:rsid w:val="007055C7"/>
    <w:rsid w:val="007148A0"/>
    <w:rsid w:val="00714A65"/>
    <w:rsid w:val="00722A09"/>
    <w:rsid w:val="00727675"/>
    <w:rsid w:val="00727CCD"/>
    <w:rsid w:val="00727DE4"/>
    <w:rsid w:val="00737B9E"/>
    <w:rsid w:val="00756DF8"/>
    <w:rsid w:val="0076462D"/>
    <w:rsid w:val="00776893"/>
    <w:rsid w:val="00792E14"/>
    <w:rsid w:val="00793071"/>
    <w:rsid w:val="00795318"/>
    <w:rsid w:val="007A0C35"/>
    <w:rsid w:val="007A26E9"/>
    <w:rsid w:val="007B508A"/>
    <w:rsid w:val="007E5DCB"/>
    <w:rsid w:val="007F211B"/>
    <w:rsid w:val="00800C7A"/>
    <w:rsid w:val="00814B28"/>
    <w:rsid w:val="00820FF1"/>
    <w:rsid w:val="00827C71"/>
    <w:rsid w:val="00831A01"/>
    <w:rsid w:val="0084102C"/>
    <w:rsid w:val="00851FFF"/>
    <w:rsid w:val="008561BC"/>
    <w:rsid w:val="00856C63"/>
    <w:rsid w:val="00866CF8"/>
    <w:rsid w:val="00872A06"/>
    <w:rsid w:val="008739D8"/>
    <w:rsid w:val="008C25C6"/>
    <w:rsid w:val="008C31A7"/>
    <w:rsid w:val="008E067A"/>
    <w:rsid w:val="008F34BD"/>
    <w:rsid w:val="00921F48"/>
    <w:rsid w:val="00924BDD"/>
    <w:rsid w:val="0093439B"/>
    <w:rsid w:val="0097236F"/>
    <w:rsid w:val="0097382A"/>
    <w:rsid w:val="00976E08"/>
    <w:rsid w:val="00980AE9"/>
    <w:rsid w:val="0098319E"/>
    <w:rsid w:val="00985B3E"/>
    <w:rsid w:val="009931FF"/>
    <w:rsid w:val="009B5A14"/>
    <w:rsid w:val="009B5FC5"/>
    <w:rsid w:val="009B79C0"/>
    <w:rsid w:val="009E7019"/>
    <w:rsid w:val="009F07BC"/>
    <w:rsid w:val="00A1337D"/>
    <w:rsid w:val="00A22044"/>
    <w:rsid w:val="00A22B43"/>
    <w:rsid w:val="00A47C2E"/>
    <w:rsid w:val="00A51BB8"/>
    <w:rsid w:val="00A52DA9"/>
    <w:rsid w:val="00A5315D"/>
    <w:rsid w:val="00A6639C"/>
    <w:rsid w:val="00A67CE9"/>
    <w:rsid w:val="00A71166"/>
    <w:rsid w:val="00A748EA"/>
    <w:rsid w:val="00A811FA"/>
    <w:rsid w:val="00A945F1"/>
    <w:rsid w:val="00AB1157"/>
    <w:rsid w:val="00AB2C70"/>
    <w:rsid w:val="00AB7754"/>
    <w:rsid w:val="00AC70C0"/>
    <w:rsid w:val="00AC77FC"/>
    <w:rsid w:val="00AE3B21"/>
    <w:rsid w:val="00AE3E0C"/>
    <w:rsid w:val="00AE4AA7"/>
    <w:rsid w:val="00B01A3C"/>
    <w:rsid w:val="00B35CFB"/>
    <w:rsid w:val="00B404A6"/>
    <w:rsid w:val="00B43CD1"/>
    <w:rsid w:val="00B46545"/>
    <w:rsid w:val="00B547C4"/>
    <w:rsid w:val="00B6502F"/>
    <w:rsid w:val="00B91BA5"/>
    <w:rsid w:val="00BA1922"/>
    <w:rsid w:val="00BA3F9D"/>
    <w:rsid w:val="00BD2FA1"/>
    <w:rsid w:val="00BF42C5"/>
    <w:rsid w:val="00C26C23"/>
    <w:rsid w:val="00C27AAF"/>
    <w:rsid w:val="00C56D28"/>
    <w:rsid w:val="00C64BE0"/>
    <w:rsid w:val="00C800EB"/>
    <w:rsid w:val="00C820FF"/>
    <w:rsid w:val="00C92E50"/>
    <w:rsid w:val="00CA0FDC"/>
    <w:rsid w:val="00CA7153"/>
    <w:rsid w:val="00CD104F"/>
    <w:rsid w:val="00CD45C4"/>
    <w:rsid w:val="00D172BF"/>
    <w:rsid w:val="00D61A68"/>
    <w:rsid w:val="00DA07D3"/>
    <w:rsid w:val="00DA41BD"/>
    <w:rsid w:val="00DA625A"/>
    <w:rsid w:val="00DE0BA9"/>
    <w:rsid w:val="00E0036A"/>
    <w:rsid w:val="00E12A4F"/>
    <w:rsid w:val="00E21762"/>
    <w:rsid w:val="00E44D4D"/>
    <w:rsid w:val="00E50C06"/>
    <w:rsid w:val="00E541F4"/>
    <w:rsid w:val="00E54363"/>
    <w:rsid w:val="00E55E1D"/>
    <w:rsid w:val="00E716C3"/>
    <w:rsid w:val="00E82C47"/>
    <w:rsid w:val="00ED13B8"/>
    <w:rsid w:val="00EF039C"/>
    <w:rsid w:val="00EF136E"/>
    <w:rsid w:val="00EF2282"/>
    <w:rsid w:val="00F0462D"/>
    <w:rsid w:val="00F0528C"/>
    <w:rsid w:val="00F37E48"/>
    <w:rsid w:val="00F41168"/>
    <w:rsid w:val="00F448EA"/>
    <w:rsid w:val="00F909A1"/>
    <w:rsid w:val="00F973B7"/>
    <w:rsid w:val="00FB2CA6"/>
    <w:rsid w:val="00FD2DE9"/>
    <w:rsid w:val="00FD4DC3"/>
    <w:rsid w:val="00FE5B43"/>
    <w:rsid w:val="6556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AE04"/>
  <w15:chartTrackingRefBased/>
  <w15:docId w15:val="{F1098DFE-2B7C-429E-A425-43850249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6E9"/>
  </w:style>
  <w:style w:type="paragraph" w:styleId="Ttulo1">
    <w:name w:val="heading 1"/>
    <w:aliases w:val="Título 1 - PROGOV"/>
    <w:basedOn w:val="Normal"/>
    <w:next w:val="Normal"/>
    <w:link w:val="Ttulo1Char"/>
    <w:uiPriority w:val="9"/>
    <w:qFormat/>
    <w:rsid w:val="00B35CFB"/>
    <w:pPr>
      <w:keepNext/>
      <w:keepLines/>
      <w:spacing w:after="240"/>
      <w:outlineLvl w:val="0"/>
    </w:pPr>
    <w:rPr>
      <w:rFonts w:ascii="Roboto Black" w:eastAsiaTheme="majorEastAsia" w:hAnsi="Roboto Black" w:cstheme="majorBidi"/>
      <w:color w:val="501549" w:themeColor="accent5" w:themeShade="80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4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4D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4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4D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4D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4D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4D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4D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PROGOV Char"/>
    <w:basedOn w:val="Fontepargpadro"/>
    <w:link w:val="Ttulo1"/>
    <w:uiPriority w:val="9"/>
    <w:rsid w:val="00B35CFB"/>
    <w:rPr>
      <w:rFonts w:ascii="Roboto Black" w:eastAsiaTheme="majorEastAsia" w:hAnsi="Roboto Black" w:cstheme="majorBidi"/>
      <w:color w:val="501549" w:themeColor="accent5" w:themeShade="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4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4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4D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4D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4D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4D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4D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4D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4D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4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4D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4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4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4D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4D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4D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4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4D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4D4D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basedOn w:val="Normal"/>
    <w:rsid w:val="00016DDC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016DDC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DA4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41BD"/>
  </w:style>
  <w:style w:type="paragraph" w:styleId="Rodap">
    <w:name w:val="footer"/>
    <w:basedOn w:val="Normal"/>
    <w:link w:val="RodapChar"/>
    <w:uiPriority w:val="99"/>
    <w:unhideWhenUsed/>
    <w:rsid w:val="00DA4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41BD"/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63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639C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0C1E6E"/>
    <w:rPr>
      <w:color w:val="2B579A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8410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4102C"/>
    <w:rPr>
      <w:sz w:val="20"/>
      <w:szCs w:val="20"/>
    </w:rPr>
  </w:style>
  <w:style w:type="character" w:styleId="Hyperlink">
    <w:name w:val="Hyperlink"/>
    <w:rsid w:val="00841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instrucao-normativa-n-172-de-11-de-julho-de-2022/342097/area/10" TargetMode="External"/><Relationship Id="rId1" Type="http://schemas.openxmlformats.org/officeDocument/2006/relationships/hyperlink" Target="https://www1.tce.pr.gov.br/conteudo/diario-eletronico-3257-2024-de-24-de-julho-de-2024/355842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1998BEEB1FC14EAEC9A5490AA47FAD" ma:contentTypeVersion="19" ma:contentTypeDescription="Crie um novo documento." ma:contentTypeScope="" ma:versionID="8501bf76fa53599e3dc864821817ddc9">
  <xsd:schema xmlns:xsd="http://www.w3.org/2001/XMLSchema" xmlns:xs="http://www.w3.org/2001/XMLSchema" xmlns:p="http://schemas.microsoft.com/office/2006/metadata/properties" xmlns:ns1="http://schemas.microsoft.com/sharepoint/v3" xmlns:ns2="27d75b74-0293-44f3-96fb-7ade5a3a7225" xmlns:ns3="42f17760-a34e-4bd7-9da5-a024c6b85a9d" targetNamespace="http://schemas.microsoft.com/office/2006/metadata/properties" ma:root="true" ma:fieldsID="1ecd67cec1c693bc6ca4a75183ee6c12" ns1:_="" ns2:_="" ns3:_="">
    <xsd:import namespace="http://schemas.microsoft.com/sharepoint/v3"/>
    <xsd:import namespace="27d75b74-0293-44f3-96fb-7ade5a3a7225"/>
    <xsd:import namespace="42f17760-a34e-4bd7-9da5-a024c6b8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5b74-0293-44f3-96fb-7ade5a3a7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ca295c2-3d40-4c80-8124-a67926e83b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17760-a34e-4bd7-9da5-a024c6b8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f5d648-62f2-4d8f-b998-a387fcd5b584}" ma:internalName="TaxCatchAll" ma:showField="CatchAllData" ma:web="42f17760-a34e-4bd7-9da5-a024c6b8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75b74-0293-44f3-96fb-7ade5a3a7225">
      <Terms xmlns="http://schemas.microsoft.com/office/infopath/2007/PartnerControls"/>
    </lcf76f155ced4ddcb4097134ff3c332f>
    <TaxCatchAll xmlns="42f17760-a34e-4bd7-9da5-a024c6b85a9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DE851A-E5B2-4CE0-9F1F-3633581F8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d75b74-0293-44f3-96fb-7ade5a3a7225"/>
    <ds:schemaRef ds:uri="42f17760-a34e-4bd7-9da5-a024c6b8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42DCD-AB16-40EB-B58E-E78F8F022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832C63-0C34-45FB-A4D5-8E425D7F9E0E}">
  <ds:schemaRefs>
    <ds:schemaRef ds:uri="http://schemas.microsoft.com/office/2006/documentManagement/types"/>
    <ds:schemaRef ds:uri="27d75b74-0293-44f3-96fb-7ade5a3a7225"/>
    <ds:schemaRef ds:uri="http://purl.org/dc/dcmitype/"/>
    <ds:schemaRef ds:uri="http://purl.org/dc/elements/1.1/"/>
    <ds:schemaRef ds:uri="http://schemas.microsoft.com/sharepoint/v3"/>
    <ds:schemaRef ds:uri="http://schemas.microsoft.com/office/infopath/2007/PartnerControls"/>
    <ds:schemaRef ds:uri="http://www.w3.org/XML/1998/namespace"/>
    <ds:schemaRef ds:uri="42f17760-a34e-4bd7-9da5-a024c6b85a9d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Halberto Balduino Maciel</dc:creator>
  <cp:keywords/>
  <dc:description/>
  <cp:lastModifiedBy>Milena Caroline Antunes dos Santos da Luz</cp:lastModifiedBy>
  <cp:revision>2</cp:revision>
  <cp:lastPrinted>2024-07-06T01:19:00Z</cp:lastPrinted>
  <dcterms:created xsi:type="dcterms:W3CDTF">2024-07-24T13:10:00Z</dcterms:created>
  <dcterms:modified xsi:type="dcterms:W3CDTF">2024-07-24T13:10:00Z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0x010100451998BEEB1FC14EAEC9A5490AA47FAD</vt:lpwstr>
  </property>
</Properties>
</file>