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46C9" w14:textId="4AEF5982" w:rsidR="007D49D2" w:rsidRPr="00A05B68" w:rsidRDefault="007D49D2" w:rsidP="00A05B68">
      <w:pPr>
        <w:spacing w:before="240" w:after="240" w:line="240" w:lineRule="auto"/>
        <w:jc w:val="center"/>
        <w:rPr>
          <w:rFonts w:ascii="Arial" w:hAnsi="Arial" w:cs="Arial"/>
          <w:b/>
          <w:bCs/>
          <w:sz w:val="28"/>
          <w:szCs w:val="28"/>
        </w:rPr>
      </w:pPr>
      <w:r w:rsidRPr="00A05B68">
        <w:rPr>
          <w:rFonts w:ascii="Arial" w:hAnsi="Arial" w:cs="Arial"/>
          <w:b/>
          <w:bCs/>
          <w:sz w:val="28"/>
          <w:szCs w:val="28"/>
        </w:rPr>
        <w:t xml:space="preserve">NOTA TÉCNICA Nº </w:t>
      </w:r>
      <w:r w:rsidR="007114B4" w:rsidRPr="00A05B68">
        <w:rPr>
          <w:rFonts w:ascii="Arial" w:hAnsi="Arial" w:cs="Arial"/>
          <w:b/>
          <w:bCs/>
          <w:sz w:val="28"/>
          <w:szCs w:val="28"/>
        </w:rPr>
        <w:t>14/2022</w:t>
      </w:r>
      <w:r w:rsidRPr="00A05B68">
        <w:rPr>
          <w:rFonts w:ascii="Arial" w:hAnsi="Arial" w:cs="Arial"/>
          <w:b/>
          <w:bCs/>
          <w:sz w:val="28"/>
          <w:szCs w:val="28"/>
        </w:rPr>
        <w:t xml:space="preserve"> - CGF/TCEPR</w:t>
      </w:r>
      <w:r w:rsidR="0007518F">
        <w:rPr>
          <w:rStyle w:val="Refdenotaderodap"/>
          <w:rFonts w:ascii="Arial" w:hAnsi="Arial" w:cs="Arial"/>
          <w:b/>
          <w:bCs/>
          <w:sz w:val="28"/>
          <w:szCs w:val="28"/>
        </w:rPr>
        <w:footnoteReference w:id="1"/>
      </w:r>
    </w:p>
    <w:p w14:paraId="2CE47324" w14:textId="77777777" w:rsidR="0007518F" w:rsidRDefault="007D49D2" w:rsidP="00A05B68">
      <w:pPr>
        <w:spacing w:before="240" w:after="240" w:line="240" w:lineRule="auto"/>
        <w:ind w:left="4536"/>
        <w:jc w:val="both"/>
        <w:rPr>
          <w:rFonts w:ascii="Arial" w:hAnsi="Arial" w:cs="Arial"/>
          <w:i/>
          <w:iCs/>
        </w:rPr>
        <w:sectPr w:rsidR="0007518F" w:rsidSect="00626338">
          <w:headerReference w:type="default" r:id="rId10"/>
          <w:footnotePr>
            <w:numFmt w:val="chicago"/>
            <w:numRestart w:val="eachSect"/>
          </w:footnotePr>
          <w:pgSz w:w="11906" w:h="16838"/>
          <w:pgMar w:top="1418" w:right="1701" w:bottom="1418" w:left="1701" w:header="708" w:footer="708" w:gutter="0"/>
          <w:cols w:space="708"/>
          <w:docGrid w:linePitch="360"/>
        </w:sectPr>
      </w:pPr>
      <w:r w:rsidRPr="00A05B68">
        <w:rPr>
          <w:rFonts w:ascii="Arial" w:hAnsi="Arial" w:cs="Arial"/>
          <w:i/>
          <w:iCs/>
        </w:rPr>
        <w:t>Dispõe sobre a revisão periódica da Planta Genérica de Valores – PGV pelos municípios do Estado do Paraná, a fim de se propiciar melhorias na arrecadação tributária municipal do Imposto sobre Propriedade Territorial Urbana – IPTU.</w:t>
      </w:r>
    </w:p>
    <w:p w14:paraId="5C9C964E" w14:textId="5417E3CD" w:rsidR="007D49D2" w:rsidRPr="00A05B68" w:rsidRDefault="007D49D2" w:rsidP="00A05B68">
      <w:pPr>
        <w:spacing w:before="240" w:after="240" w:line="240" w:lineRule="auto"/>
        <w:ind w:left="4536"/>
        <w:jc w:val="both"/>
        <w:rPr>
          <w:rFonts w:ascii="Arial" w:hAnsi="Arial" w:cs="Arial"/>
          <w:i/>
          <w:iCs/>
        </w:rPr>
      </w:pPr>
    </w:p>
    <w:p w14:paraId="5336C9AD" w14:textId="77E5C02A" w:rsidR="007D49D2" w:rsidRDefault="007D49D2" w:rsidP="00A05B68">
      <w:pPr>
        <w:spacing w:before="120" w:after="0" w:line="240" w:lineRule="auto"/>
        <w:ind w:firstLine="1134"/>
        <w:jc w:val="both"/>
        <w:rPr>
          <w:rFonts w:ascii="Arial" w:hAnsi="Arial" w:cs="Arial"/>
          <w:sz w:val="24"/>
          <w:szCs w:val="24"/>
        </w:rPr>
      </w:pPr>
      <w:r w:rsidRPr="00A05B68">
        <w:rPr>
          <w:rFonts w:ascii="Arial" w:hAnsi="Arial" w:cs="Arial"/>
          <w:sz w:val="24"/>
          <w:szCs w:val="24"/>
        </w:rPr>
        <w:t>A</w:t>
      </w:r>
      <w:r w:rsidRPr="00A05B68">
        <w:rPr>
          <w:rFonts w:ascii="Arial" w:hAnsi="Arial" w:cs="Arial"/>
          <w:b/>
          <w:bCs/>
          <w:sz w:val="24"/>
          <w:szCs w:val="24"/>
        </w:rPr>
        <w:t xml:space="preserve"> COORDENADORIA – GERAL DE FISCALIZAÇÃO (CGF) do TRIBUNAL DE CONTAS DO ESTADO DO PARANÁ (TCEPR)</w:t>
      </w:r>
      <w:r w:rsidRPr="00A05B68">
        <w:rPr>
          <w:rFonts w:ascii="Arial" w:hAnsi="Arial" w:cs="Arial"/>
          <w:sz w:val="24"/>
          <w:szCs w:val="24"/>
        </w:rPr>
        <w:t>, em observância ao contido no art. 151-A, inciso IX, do Regimento Interno, a partir do diagnóstico de gestão apresentado pelo Relatório de Fiscalização nº 75/2021 – CAUD (Relatório de Levantamento), proveniente do Plano Anual de Fiscalização do ano de 2021</w:t>
      </w:r>
      <w:r w:rsidR="00CA544B">
        <w:rPr>
          <w:rStyle w:val="Refdenotaderodap"/>
          <w:rFonts w:ascii="Arial" w:hAnsi="Arial" w:cs="Arial"/>
          <w:sz w:val="24"/>
          <w:szCs w:val="24"/>
        </w:rPr>
        <w:footnoteReference w:id="2"/>
      </w:r>
      <w:r w:rsidRPr="00A05B68">
        <w:rPr>
          <w:rFonts w:ascii="Arial" w:hAnsi="Arial" w:cs="Arial"/>
          <w:sz w:val="24"/>
          <w:szCs w:val="24"/>
        </w:rPr>
        <w:t xml:space="preserve">, e </w:t>
      </w:r>
      <w:r w:rsidR="00926349" w:rsidRPr="00A05B68">
        <w:rPr>
          <w:rFonts w:ascii="Arial" w:hAnsi="Arial" w:cs="Arial"/>
          <w:sz w:val="24"/>
          <w:szCs w:val="24"/>
        </w:rPr>
        <w:t>do Acórdão nº 508/22 – Tribunal Pleno, do Processo de Homologação de Recomendação nº 697680/21</w:t>
      </w:r>
      <w:r w:rsidRPr="00A05B68">
        <w:rPr>
          <w:rFonts w:ascii="Arial" w:hAnsi="Arial" w:cs="Arial"/>
          <w:sz w:val="24"/>
          <w:szCs w:val="24"/>
        </w:rPr>
        <w:t xml:space="preserve">, apresenta esta </w:t>
      </w:r>
      <w:r w:rsidR="00CA443D" w:rsidRPr="00A05B68">
        <w:rPr>
          <w:rFonts w:ascii="Arial" w:hAnsi="Arial" w:cs="Arial"/>
          <w:sz w:val="24"/>
          <w:szCs w:val="24"/>
        </w:rPr>
        <w:t>Nota</w:t>
      </w:r>
      <w:r w:rsidRPr="00A05B68">
        <w:rPr>
          <w:rFonts w:ascii="Arial" w:hAnsi="Arial" w:cs="Arial"/>
          <w:sz w:val="24"/>
          <w:szCs w:val="24"/>
        </w:rPr>
        <w:t xml:space="preserve"> </w:t>
      </w:r>
      <w:r w:rsidR="00CA443D" w:rsidRPr="00A05B68">
        <w:rPr>
          <w:rFonts w:ascii="Arial" w:hAnsi="Arial" w:cs="Arial"/>
          <w:sz w:val="24"/>
          <w:szCs w:val="24"/>
        </w:rPr>
        <w:t>T</w:t>
      </w:r>
      <w:r w:rsidRPr="00A05B68">
        <w:rPr>
          <w:rFonts w:ascii="Arial" w:hAnsi="Arial" w:cs="Arial"/>
          <w:sz w:val="24"/>
          <w:szCs w:val="24"/>
        </w:rPr>
        <w:t>écnica, com o objetivo de reafirmar a necessidade de os municípios do Estado do Paraná estabelecerem providências a respeito da necessária revisão periódica da Planta Genérica de Valores (PGV), utilizada para subsidiar o cálculo do Imposto sobre Propriedade Territorial Urbana (IPTU), justificando-o nos termos a seguir.</w:t>
      </w:r>
    </w:p>
    <w:p w14:paraId="4CE45F9F" w14:textId="77777777" w:rsidR="0016106E" w:rsidRPr="00A05B68" w:rsidRDefault="0016106E" w:rsidP="0016106E">
      <w:pPr>
        <w:spacing w:before="120" w:after="0" w:line="240" w:lineRule="auto"/>
        <w:ind w:firstLine="1134"/>
        <w:jc w:val="both"/>
        <w:rPr>
          <w:rFonts w:ascii="Arial" w:hAnsi="Arial" w:cs="Arial"/>
          <w:sz w:val="24"/>
          <w:szCs w:val="24"/>
        </w:rPr>
      </w:pPr>
    </w:p>
    <w:p w14:paraId="0EE9F6E2" w14:textId="1AB7452E" w:rsidR="007D49D2" w:rsidRPr="00A05B68" w:rsidRDefault="007D49D2" w:rsidP="0007518F">
      <w:pPr>
        <w:spacing w:before="120" w:after="0" w:line="240" w:lineRule="auto"/>
        <w:jc w:val="center"/>
        <w:rPr>
          <w:rFonts w:ascii="Arial" w:hAnsi="Arial" w:cs="Arial"/>
          <w:b/>
          <w:bCs/>
          <w:sz w:val="24"/>
          <w:szCs w:val="24"/>
        </w:rPr>
      </w:pPr>
      <w:r w:rsidRPr="00A05B68">
        <w:rPr>
          <w:rFonts w:ascii="Arial" w:hAnsi="Arial" w:cs="Arial"/>
          <w:b/>
          <w:bCs/>
          <w:sz w:val="24"/>
          <w:szCs w:val="24"/>
        </w:rPr>
        <w:t>INTRODUÇÃO</w:t>
      </w:r>
    </w:p>
    <w:p w14:paraId="5FAD0962" w14:textId="0B8E8305" w:rsidR="007D49D2" w:rsidRPr="00A05B68" w:rsidRDefault="007D49D2" w:rsidP="00A05B68">
      <w:pPr>
        <w:spacing w:before="120" w:after="0" w:line="240" w:lineRule="auto"/>
        <w:ind w:firstLine="1134"/>
        <w:jc w:val="both"/>
        <w:rPr>
          <w:rFonts w:ascii="Arial" w:hAnsi="Arial" w:cs="Arial"/>
          <w:sz w:val="24"/>
          <w:szCs w:val="24"/>
        </w:rPr>
      </w:pPr>
      <w:r w:rsidRPr="00A05B68">
        <w:rPr>
          <w:rFonts w:ascii="Arial" w:hAnsi="Arial" w:cs="Arial"/>
          <w:sz w:val="24"/>
          <w:szCs w:val="24"/>
        </w:rPr>
        <w:t>A presente Nota Técnica visa reafirmar a necessidade de os municípios do Estado do Paraná estabelecerem providências a respeito da necessária revisão periódica da PGV, utilizada para subsidiar o cálculo do IPTU.</w:t>
      </w:r>
    </w:p>
    <w:p w14:paraId="0C4DE06D" w14:textId="33859445" w:rsidR="007D49D2" w:rsidRPr="00A05B68" w:rsidRDefault="007D49D2" w:rsidP="00A05B68">
      <w:pPr>
        <w:spacing w:before="120" w:after="0" w:line="240" w:lineRule="auto"/>
        <w:ind w:firstLine="1134"/>
        <w:jc w:val="both"/>
        <w:rPr>
          <w:rFonts w:ascii="Segoe UI" w:hAnsi="Segoe UI" w:cs="Segoe UI"/>
          <w:sz w:val="24"/>
          <w:szCs w:val="24"/>
        </w:rPr>
      </w:pPr>
      <w:r w:rsidRPr="00A05B68">
        <w:rPr>
          <w:rStyle w:val="normaltextrun"/>
          <w:rFonts w:ascii="Arial" w:hAnsi="Arial" w:cs="Arial"/>
          <w:sz w:val="24"/>
          <w:szCs w:val="24"/>
        </w:rPr>
        <w:t xml:space="preserve">Tal iniciativa da CGF visa alinhar-se às Diretrizes de Controle Externo da </w:t>
      </w:r>
      <w:r w:rsidR="00FB5C7B" w:rsidRPr="00A05B68">
        <w:rPr>
          <w:rStyle w:val="normaltextrun"/>
          <w:rFonts w:ascii="Arial" w:hAnsi="Arial" w:cs="Arial"/>
          <w:sz w:val="24"/>
          <w:szCs w:val="24"/>
        </w:rPr>
        <w:t>Associação dos Membros dos Tribunais de Contas do Brasil (</w:t>
      </w:r>
      <w:r w:rsidRPr="00A05B68">
        <w:rPr>
          <w:rStyle w:val="normaltextrun"/>
          <w:rFonts w:ascii="Arial" w:hAnsi="Arial" w:cs="Arial"/>
          <w:sz w:val="24"/>
          <w:szCs w:val="24"/>
        </w:rPr>
        <w:t>ATRICON</w:t>
      </w:r>
      <w:r w:rsidR="00FB5C7B" w:rsidRPr="00A05B68">
        <w:rPr>
          <w:rStyle w:val="normaltextrun"/>
          <w:rFonts w:ascii="Arial" w:hAnsi="Arial" w:cs="Arial"/>
          <w:sz w:val="24"/>
          <w:szCs w:val="24"/>
        </w:rPr>
        <w:t>)</w:t>
      </w:r>
      <w:r w:rsidRPr="00A05B68">
        <w:rPr>
          <w:rStyle w:val="normaltextrun"/>
          <w:rFonts w:ascii="Arial" w:hAnsi="Arial" w:cs="Arial"/>
          <w:sz w:val="24"/>
          <w:szCs w:val="24"/>
        </w:rPr>
        <w:t xml:space="preserve"> sobre Controle Externo da Receita e da Renúncia de Receita Pública, implementada pela Resolução ATRICON nº 06, de 25 de novembro de 2016</w:t>
      </w:r>
      <w:r w:rsidR="005B2D68">
        <w:rPr>
          <w:rStyle w:val="normaltextrun"/>
          <w:rFonts w:ascii="Arial" w:hAnsi="Arial" w:cs="Arial"/>
          <w:sz w:val="24"/>
          <w:szCs w:val="24"/>
          <w:vertAlign w:val="superscript"/>
        </w:rPr>
        <w:t>2</w:t>
      </w:r>
      <w:r w:rsidRPr="00A05B68">
        <w:rPr>
          <w:rStyle w:val="normaltextrun"/>
          <w:rFonts w:ascii="Arial" w:hAnsi="Arial" w:cs="Arial"/>
          <w:sz w:val="24"/>
          <w:szCs w:val="24"/>
        </w:rPr>
        <w:t>, especialmente no que diz respeito à diretriz constante do item 16.3 do anexo único da referida Resolução, que enuncia:</w:t>
      </w:r>
    </w:p>
    <w:p w14:paraId="7416ADEB" w14:textId="77777777" w:rsidR="008827FB" w:rsidRDefault="007D49D2" w:rsidP="008A357C">
      <w:pPr>
        <w:pStyle w:val="paragraph"/>
        <w:spacing w:before="240" w:beforeAutospacing="0" w:after="0" w:afterAutospacing="0"/>
        <w:ind w:left="1134"/>
        <w:jc w:val="both"/>
        <w:textAlignment w:val="baseline"/>
        <w:rPr>
          <w:rStyle w:val="eop"/>
          <w:rFonts w:ascii="Arial" w:hAnsi="Arial" w:cs="Arial"/>
          <w:sz w:val="20"/>
          <w:szCs w:val="20"/>
        </w:rPr>
      </w:pPr>
      <w:r>
        <w:rPr>
          <w:rStyle w:val="normaltextrun"/>
          <w:rFonts w:ascii="Arial" w:hAnsi="Arial" w:cs="Arial"/>
          <w:sz w:val="20"/>
          <w:szCs w:val="20"/>
        </w:rPr>
        <w:t>16. A fiscalização da receita e da renúncia de receita pública terá como escopo, prioritariamente e no que couber, pontos de controle selecionados entre os seguintes:</w:t>
      </w:r>
      <w:r>
        <w:rPr>
          <w:rStyle w:val="eop"/>
          <w:rFonts w:ascii="Arial" w:hAnsi="Arial" w:cs="Arial"/>
          <w:sz w:val="20"/>
          <w:szCs w:val="20"/>
        </w:rPr>
        <w:t> </w:t>
      </w:r>
    </w:p>
    <w:p w14:paraId="67A8BC78" w14:textId="68392A3F" w:rsidR="007D49D2" w:rsidRDefault="007D49D2" w:rsidP="008827FB">
      <w:pPr>
        <w:pStyle w:val="paragraph"/>
        <w:spacing w:before="0" w:beforeAutospacing="0" w:after="0" w:afterAutospacing="0"/>
        <w:ind w:left="1134"/>
        <w:jc w:val="both"/>
        <w:textAlignment w:val="baseline"/>
        <w:rPr>
          <w:rFonts w:ascii="Segoe UI" w:hAnsi="Segoe UI" w:cs="Segoe UI"/>
          <w:sz w:val="18"/>
          <w:szCs w:val="18"/>
        </w:rPr>
      </w:pPr>
      <w:r>
        <w:rPr>
          <w:rStyle w:val="normaltextrun"/>
          <w:rFonts w:ascii="Arial" w:hAnsi="Arial" w:cs="Arial"/>
          <w:sz w:val="20"/>
          <w:szCs w:val="20"/>
        </w:rPr>
        <w:t>(...)</w:t>
      </w:r>
      <w:r>
        <w:rPr>
          <w:rStyle w:val="eop"/>
          <w:rFonts w:ascii="Arial" w:hAnsi="Arial" w:cs="Arial"/>
          <w:sz w:val="20"/>
          <w:szCs w:val="20"/>
        </w:rPr>
        <w:t> </w:t>
      </w:r>
    </w:p>
    <w:p w14:paraId="4F533883" w14:textId="77777777" w:rsidR="007D49D2" w:rsidRDefault="007D49D2" w:rsidP="008827FB">
      <w:pPr>
        <w:pStyle w:val="paragraph"/>
        <w:spacing w:before="0" w:beforeAutospacing="0" w:after="0" w:afterAutospacing="0"/>
        <w:ind w:left="1134"/>
        <w:jc w:val="both"/>
        <w:textAlignment w:val="baseline"/>
        <w:rPr>
          <w:rFonts w:ascii="Segoe UI" w:hAnsi="Segoe UI" w:cs="Segoe UI"/>
          <w:sz w:val="18"/>
          <w:szCs w:val="18"/>
        </w:rPr>
      </w:pPr>
      <w:r>
        <w:rPr>
          <w:rStyle w:val="normaltextrun"/>
          <w:rFonts w:ascii="Arial" w:hAnsi="Arial" w:cs="Arial"/>
          <w:b/>
          <w:bCs/>
          <w:sz w:val="20"/>
          <w:szCs w:val="20"/>
        </w:rPr>
        <w:t xml:space="preserve">16.3 Se são observados os requisitos essenciais da responsabilidade na gestão fiscal: instituição, previsão e efetiva arrecadação de todos os tributos </w:t>
      </w:r>
      <w:r>
        <w:rPr>
          <w:rStyle w:val="normaltextrun"/>
          <w:rFonts w:ascii="Arial" w:hAnsi="Arial" w:cs="Arial"/>
          <w:b/>
          <w:bCs/>
          <w:sz w:val="20"/>
          <w:szCs w:val="20"/>
        </w:rPr>
        <w:lastRenderedPageBreak/>
        <w:t>da competência constitucional do ente da Federação (art. 11, LRF);</w:t>
      </w:r>
      <w:r>
        <w:rPr>
          <w:rStyle w:val="normaltextrun"/>
          <w:rFonts w:ascii="Arial" w:hAnsi="Arial" w:cs="Arial"/>
          <w:sz w:val="20"/>
          <w:szCs w:val="20"/>
        </w:rPr>
        <w:t xml:space="preserve"> (grifo nosso)</w:t>
      </w:r>
      <w:r>
        <w:rPr>
          <w:rStyle w:val="eop"/>
          <w:rFonts w:ascii="Arial" w:hAnsi="Arial" w:cs="Arial"/>
          <w:sz w:val="20"/>
          <w:szCs w:val="20"/>
        </w:rPr>
        <w:t> </w:t>
      </w:r>
    </w:p>
    <w:p w14:paraId="60DF0214" w14:textId="77777777" w:rsidR="00B23DE0" w:rsidRDefault="00B23DE0" w:rsidP="00A05B68">
      <w:pPr>
        <w:spacing w:after="0" w:line="360" w:lineRule="auto"/>
        <w:jc w:val="center"/>
        <w:rPr>
          <w:rFonts w:ascii="Arial" w:hAnsi="Arial" w:cs="Arial"/>
          <w:b/>
          <w:bCs/>
          <w:sz w:val="24"/>
          <w:szCs w:val="24"/>
        </w:rPr>
      </w:pPr>
    </w:p>
    <w:p w14:paraId="1C8960F9" w14:textId="76E8ED28" w:rsidR="007D49D2" w:rsidRPr="00087116" w:rsidRDefault="007D49D2" w:rsidP="00A05B68">
      <w:pPr>
        <w:spacing w:after="0" w:line="360" w:lineRule="auto"/>
        <w:jc w:val="center"/>
        <w:rPr>
          <w:rFonts w:ascii="Arial" w:hAnsi="Arial" w:cs="Arial"/>
          <w:b/>
          <w:bCs/>
        </w:rPr>
      </w:pPr>
      <w:r w:rsidRPr="3EED2A0B">
        <w:rPr>
          <w:rFonts w:ascii="Arial" w:hAnsi="Arial" w:cs="Arial"/>
          <w:b/>
          <w:bCs/>
          <w:sz w:val="24"/>
          <w:szCs w:val="24"/>
        </w:rPr>
        <w:t>DEFINIÇÃO</w:t>
      </w:r>
    </w:p>
    <w:p w14:paraId="5DBDABA8" w14:textId="77777777" w:rsidR="007D49D2" w:rsidRDefault="007D49D2" w:rsidP="00A05B68">
      <w:pPr>
        <w:spacing w:before="120" w:after="0" w:line="240" w:lineRule="auto"/>
        <w:ind w:firstLine="1134"/>
        <w:jc w:val="both"/>
        <w:rPr>
          <w:rFonts w:ascii="Arial" w:hAnsi="Arial" w:cs="Arial"/>
          <w:sz w:val="24"/>
          <w:szCs w:val="24"/>
        </w:rPr>
      </w:pPr>
      <w:r>
        <w:rPr>
          <w:rFonts w:ascii="Arial" w:hAnsi="Arial" w:cs="Arial"/>
          <w:sz w:val="24"/>
          <w:szCs w:val="24"/>
        </w:rPr>
        <w:t xml:space="preserve">É possível extrair a definição de PGV a partir do que designava a respeito </w:t>
      </w:r>
      <w:proofErr w:type="spellStart"/>
      <w:r>
        <w:rPr>
          <w:rFonts w:ascii="Arial" w:hAnsi="Arial" w:cs="Arial"/>
          <w:sz w:val="24"/>
          <w:szCs w:val="24"/>
        </w:rPr>
        <w:t>a</w:t>
      </w:r>
      <w:proofErr w:type="spellEnd"/>
      <w:r w:rsidRPr="00087116">
        <w:rPr>
          <w:rFonts w:ascii="Arial" w:hAnsi="Arial" w:cs="Arial"/>
          <w:sz w:val="24"/>
          <w:szCs w:val="24"/>
        </w:rPr>
        <w:t xml:space="preserve"> extinta</w:t>
      </w:r>
      <w:r>
        <w:rPr>
          <w:rFonts w:ascii="Arial" w:hAnsi="Arial" w:cs="Arial"/>
          <w:sz w:val="24"/>
          <w:szCs w:val="24"/>
        </w:rPr>
        <w:t xml:space="preserve"> </w:t>
      </w:r>
      <w:r w:rsidRPr="00087116">
        <w:rPr>
          <w:rFonts w:ascii="Arial" w:hAnsi="Arial" w:cs="Arial"/>
          <w:sz w:val="24"/>
          <w:szCs w:val="24"/>
        </w:rPr>
        <w:t>Empresa Metropolitana de Planejamento da Grande São Paulo (EMPLASA)</w:t>
      </w:r>
      <w:r>
        <w:rPr>
          <w:rFonts w:ascii="Arial" w:hAnsi="Arial" w:cs="Arial"/>
          <w:sz w:val="24"/>
          <w:szCs w:val="24"/>
        </w:rPr>
        <w:t>. Ela definia a PGV</w:t>
      </w:r>
      <w:r w:rsidRPr="00087116">
        <w:rPr>
          <w:rFonts w:ascii="Arial" w:hAnsi="Arial" w:cs="Arial"/>
          <w:sz w:val="24"/>
          <w:szCs w:val="24"/>
        </w:rPr>
        <w:t xml:space="preserve"> como um </w:t>
      </w:r>
      <w:r w:rsidRPr="00F03CB2">
        <w:rPr>
          <w:rFonts w:ascii="Arial" w:hAnsi="Arial" w:cs="Arial"/>
          <w:b/>
          <w:bCs/>
          <w:sz w:val="24"/>
          <w:szCs w:val="24"/>
        </w:rPr>
        <w:t>conjunto de plantas de zona urbana nas quais são representados os valores básicos do metro quadrado de terreno por face de quadra, devidamente homogeneizados</w:t>
      </w:r>
      <w:r w:rsidRPr="00087116">
        <w:rPr>
          <w:rFonts w:ascii="Arial" w:hAnsi="Arial" w:cs="Arial"/>
          <w:sz w:val="24"/>
          <w:szCs w:val="24"/>
        </w:rPr>
        <w:t xml:space="preserve">. </w:t>
      </w:r>
      <w:r>
        <w:rPr>
          <w:rFonts w:ascii="Arial" w:hAnsi="Arial" w:cs="Arial"/>
          <w:sz w:val="24"/>
          <w:szCs w:val="24"/>
        </w:rPr>
        <w:t>E a função</w:t>
      </w:r>
      <w:r w:rsidRPr="00087116">
        <w:rPr>
          <w:rFonts w:ascii="Arial" w:hAnsi="Arial" w:cs="Arial"/>
          <w:sz w:val="24"/>
          <w:szCs w:val="24"/>
        </w:rPr>
        <w:t xml:space="preserve"> precípua </w:t>
      </w:r>
      <w:r>
        <w:rPr>
          <w:rFonts w:ascii="Arial" w:hAnsi="Arial" w:cs="Arial"/>
          <w:sz w:val="24"/>
          <w:szCs w:val="24"/>
        </w:rPr>
        <w:t>da PGV é</w:t>
      </w:r>
      <w:r w:rsidRPr="00087116">
        <w:rPr>
          <w:rFonts w:ascii="Arial" w:hAnsi="Arial" w:cs="Arial"/>
          <w:sz w:val="24"/>
          <w:szCs w:val="24"/>
        </w:rPr>
        <w:t xml:space="preserve"> compor a formação do valor venal dos imóveis que posteriormente servirá de base para o cálculo do IPTU.</w:t>
      </w:r>
    </w:p>
    <w:p w14:paraId="55E3ECF7" w14:textId="77777777" w:rsidR="007D49D2" w:rsidRDefault="007D49D2" w:rsidP="007D49D2">
      <w:pPr>
        <w:spacing w:after="0" w:line="360" w:lineRule="auto"/>
        <w:ind w:firstLine="1701"/>
        <w:jc w:val="both"/>
        <w:rPr>
          <w:rFonts w:ascii="Arial" w:hAnsi="Arial" w:cs="Arial"/>
          <w:sz w:val="24"/>
          <w:szCs w:val="24"/>
        </w:rPr>
      </w:pPr>
    </w:p>
    <w:p w14:paraId="2406924E" w14:textId="77777777" w:rsidR="007D49D2" w:rsidRDefault="007D49D2" w:rsidP="00A05B68">
      <w:pPr>
        <w:spacing w:after="0" w:line="360" w:lineRule="auto"/>
        <w:jc w:val="center"/>
        <w:rPr>
          <w:rFonts w:ascii="Arial" w:hAnsi="Arial" w:cs="Arial"/>
          <w:b/>
          <w:bCs/>
          <w:sz w:val="24"/>
          <w:szCs w:val="24"/>
        </w:rPr>
      </w:pPr>
      <w:r w:rsidRPr="3EED2A0B">
        <w:rPr>
          <w:rFonts w:ascii="Arial" w:hAnsi="Arial" w:cs="Arial"/>
          <w:b/>
          <w:bCs/>
          <w:sz w:val="24"/>
          <w:szCs w:val="24"/>
        </w:rPr>
        <w:t>MOTIVAÇÃO</w:t>
      </w:r>
    </w:p>
    <w:p w14:paraId="23A3CB1D" w14:textId="27ECEF20" w:rsidR="007D49D2" w:rsidRDefault="007D49D2" w:rsidP="008827FB">
      <w:pPr>
        <w:spacing w:before="120" w:after="0" w:line="240" w:lineRule="auto"/>
        <w:ind w:firstLine="1134"/>
        <w:jc w:val="both"/>
        <w:rPr>
          <w:rFonts w:ascii="Arial" w:hAnsi="Arial" w:cs="Arial"/>
          <w:sz w:val="24"/>
          <w:szCs w:val="24"/>
        </w:rPr>
      </w:pPr>
      <w:r>
        <w:rPr>
          <w:rFonts w:ascii="Arial" w:hAnsi="Arial" w:cs="Arial"/>
          <w:sz w:val="24"/>
          <w:szCs w:val="24"/>
        </w:rPr>
        <w:t xml:space="preserve">Consoante argumentado no Relatório de Fiscalização nº 75/2021 – CAUD (Relatório de Levantamento), pesquisas em torno do potencial arrecadatório do IPTU têm demonstrado que, no Brasil, a arrecadação desse imposto está abaixo do ideal. </w:t>
      </w:r>
    </w:p>
    <w:p w14:paraId="5DB3E7C8" w14:textId="721F2ADD" w:rsidR="007D49D2" w:rsidRDefault="007D49D2" w:rsidP="008827FB">
      <w:pPr>
        <w:spacing w:before="120" w:after="0" w:line="240" w:lineRule="auto"/>
        <w:ind w:firstLine="1134"/>
        <w:jc w:val="both"/>
        <w:rPr>
          <w:rFonts w:ascii="Arial" w:hAnsi="Arial" w:cs="Arial"/>
          <w:sz w:val="24"/>
          <w:szCs w:val="24"/>
        </w:rPr>
      </w:pPr>
      <w:r>
        <w:rPr>
          <w:rFonts w:ascii="Arial" w:hAnsi="Arial" w:cs="Arial"/>
          <w:sz w:val="24"/>
          <w:szCs w:val="24"/>
        </w:rPr>
        <w:t>Com base nos dados da Secretaria do Tesouro Nacional (STN), por meio do levantamento realizado pelo Instituto de Pesquisa Econômica Aplicada (IPEA)</w:t>
      </w:r>
      <w:r w:rsidR="00591A1F">
        <w:rPr>
          <w:rStyle w:val="Refdenotaderodap"/>
          <w:rFonts w:ascii="Arial" w:hAnsi="Arial" w:cs="Arial"/>
          <w:sz w:val="24"/>
          <w:szCs w:val="24"/>
        </w:rPr>
        <w:footnoteReference w:id="3"/>
      </w:r>
      <w:r>
        <w:rPr>
          <w:rFonts w:ascii="Arial" w:hAnsi="Arial" w:cs="Arial"/>
          <w:sz w:val="24"/>
          <w:szCs w:val="24"/>
        </w:rPr>
        <w:t xml:space="preserve">, foi possível constatar que, historicamente, há defasagem no nível da receita do IPTU em quase todos os 5.568 (cinco mil, quinhentos e sessenta e oito) municípios brasileiros, </w:t>
      </w:r>
    </w:p>
    <w:p w14:paraId="14BBFF3F" w14:textId="77777777" w:rsidR="007D49D2" w:rsidRPr="00FE0A57" w:rsidRDefault="007D49D2" w:rsidP="008827FB">
      <w:pPr>
        <w:spacing w:before="240" w:after="240" w:line="240" w:lineRule="auto"/>
        <w:ind w:left="1134"/>
        <w:jc w:val="both"/>
        <w:rPr>
          <w:rFonts w:ascii="Arial" w:hAnsi="Arial" w:cs="Arial"/>
          <w:sz w:val="20"/>
          <w:szCs w:val="20"/>
        </w:rPr>
      </w:pPr>
      <w:r w:rsidRPr="00FE0A57">
        <w:rPr>
          <w:rFonts w:ascii="Arial" w:hAnsi="Arial" w:cs="Arial"/>
          <w:sz w:val="20"/>
          <w:szCs w:val="20"/>
        </w:rPr>
        <w:t>considerando que a mediana da participação do IPTU nas receitas correntes municipais tem sido cerca de 1%</w:t>
      </w:r>
      <w:r>
        <w:rPr>
          <w:rStyle w:val="Refdenotaderodap"/>
          <w:rFonts w:ascii="Arial" w:hAnsi="Arial" w:cs="Arial"/>
          <w:sz w:val="20"/>
          <w:szCs w:val="20"/>
        </w:rPr>
        <w:footnoteReference w:id="4"/>
      </w:r>
      <w:r w:rsidRPr="00FE0A57">
        <w:rPr>
          <w:rFonts w:ascii="Arial" w:hAnsi="Arial" w:cs="Arial"/>
          <w:sz w:val="20"/>
          <w:szCs w:val="20"/>
        </w:rPr>
        <w:t xml:space="preserve"> desde a década de 2000. Mesmo considerando-se as dezesseis cidades brasileiras com população superior a 1 milhão de habitantes (incluindo o Distrito Federal), o IPTU tem representado, em média, apenas 7% das receitas municipais, o que indica que há muito espaço para incrementar as suas receitas.</w:t>
      </w:r>
      <w:r>
        <w:rPr>
          <w:rStyle w:val="Refdenotaderodap"/>
          <w:rFonts w:ascii="Arial" w:hAnsi="Arial" w:cs="Arial"/>
          <w:sz w:val="20"/>
          <w:szCs w:val="20"/>
        </w:rPr>
        <w:footnoteReference w:id="5"/>
      </w:r>
    </w:p>
    <w:p w14:paraId="11EE4ED8" w14:textId="77777777" w:rsidR="007D49D2" w:rsidRDefault="007D49D2" w:rsidP="008827FB">
      <w:pPr>
        <w:spacing w:before="120" w:after="0" w:line="240" w:lineRule="auto"/>
        <w:ind w:firstLine="1134"/>
        <w:jc w:val="both"/>
        <w:rPr>
          <w:rFonts w:ascii="Arial" w:hAnsi="Arial" w:cs="Arial"/>
          <w:sz w:val="24"/>
          <w:szCs w:val="24"/>
        </w:rPr>
      </w:pPr>
      <w:r w:rsidRPr="6D9E6B41">
        <w:rPr>
          <w:rFonts w:ascii="Arial" w:hAnsi="Arial" w:cs="Arial"/>
          <w:sz w:val="24"/>
          <w:szCs w:val="24"/>
        </w:rPr>
        <w:t>O mesmo estudo menciona, ainda, outros trabalhos, utilizando os indicadores de arrecadação da STN, da base de dados do Finanças do Brasil (</w:t>
      </w:r>
      <w:proofErr w:type="spellStart"/>
      <w:r w:rsidRPr="6D9E6B41">
        <w:rPr>
          <w:rFonts w:ascii="Arial" w:hAnsi="Arial" w:cs="Arial"/>
          <w:sz w:val="24"/>
          <w:szCs w:val="24"/>
        </w:rPr>
        <w:t>Finbra</w:t>
      </w:r>
      <w:proofErr w:type="spellEnd"/>
      <w:r w:rsidRPr="6D9E6B41">
        <w:rPr>
          <w:rFonts w:ascii="Arial" w:hAnsi="Arial" w:cs="Arial"/>
          <w:sz w:val="24"/>
          <w:szCs w:val="24"/>
        </w:rPr>
        <w:t>) e do Sistema de Informações Contábeis e Fiscais do Setor Público Brasileiro (</w:t>
      </w:r>
      <w:proofErr w:type="spellStart"/>
      <w:r w:rsidRPr="6D9E6B41">
        <w:rPr>
          <w:rFonts w:ascii="Arial" w:hAnsi="Arial" w:cs="Arial"/>
          <w:sz w:val="24"/>
          <w:szCs w:val="24"/>
        </w:rPr>
        <w:t>Siconfi</w:t>
      </w:r>
      <w:proofErr w:type="spellEnd"/>
      <w:r w:rsidRPr="6D9E6B41">
        <w:rPr>
          <w:rFonts w:ascii="Arial" w:hAnsi="Arial" w:cs="Arial"/>
          <w:sz w:val="24"/>
          <w:szCs w:val="24"/>
        </w:rPr>
        <w:t xml:space="preserve">), que chegaram à mesma conclusão: os níveis de arrecadação do IPTU operam aquém do potencial. </w:t>
      </w:r>
    </w:p>
    <w:p w14:paraId="7E5376DA" w14:textId="77777777" w:rsidR="007D49D2" w:rsidRDefault="007D49D2" w:rsidP="008827FB">
      <w:pPr>
        <w:spacing w:before="120" w:after="0" w:line="240" w:lineRule="auto"/>
        <w:ind w:firstLine="1134"/>
        <w:jc w:val="both"/>
        <w:rPr>
          <w:rFonts w:ascii="Arial" w:hAnsi="Arial" w:cs="Arial"/>
          <w:sz w:val="24"/>
          <w:szCs w:val="24"/>
        </w:rPr>
      </w:pPr>
      <w:r w:rsidRPr="38E92563">
        <w:rPr>
          <w:rFonts w:ascii="Arial" w:hAnsi="Arial" w:cs="Arial"/>
          <w:sz w:val="24"/>
          <w:szCs w:val="24"/>
        </w:rPr>
        <w:lastRenderedPageBreak/>
        <w:t xml:space="preserve">Diversas são as causas apontadas para tentar justificar esse fraco desempenho arrecadatório: o alto nível de transferências governamentais </w:t>
      </w:r>
      <w:r>
        <w:rPr>
          <w:rFonts w:ascii="Arial" w:hAnsi="Arial" w:cs="Arial"/>
          <w:sz w:val="24"/>
          <w:szCs w:val="24"/>
        </w:rPr>
        <w:t xml:space="preserve">que </w:t>
      </w:r>
      <w:r w:rsidRPr="38E92563">
        <w:rPr>
          <w:rFonts w:ascii="Arial" w:hAnsi="Arial" w:cs="Arial"/>
          <w:sz w:val="24"/>
          <w:szCs w:val="24"/>
        </w:rPr>
        <w:t xml:space="preserve">desencoraja a tributação própria, a baixa cultura fiscal, a falta de infraestrutura administrativa e recursos humanos capacitados, a economia de escala, as avaliações imobiliárias em descompasso com os valores de mercado e, a mais recorrente, a defasagem das PGV, em face dos entraves políticos para a sua atualização. </w:t>
      </w:r>
    </w:p>
    <w:p w14:paraId="630386D9" w14:textId="77777777" w:rsidR="007D49D2" w:rsidRDefault="007D49D2" w:rsidP="008827FB">
      <w:pPr>
        <w:spacing w:before="120" w:after="0" w:line="240" w:lineRule="auto"/>
        <w:ind w:firstLine="1134"/>
        <w:jc w:val="both"/>
        <w:rPr>
          <w:rFonts w:ascii="Arial" w:hAnsi="Arial" w:cs="Arial"/>
          <w:sz w:val="24"/>
          <w:szCs w:val="24"/>
        </w:rPr>
      </w:pPr>
      <w:r>
        <w:rPr>
          <w:rFonts w:ascii="Arial" w:hAnsi="Arial" w:cs="Arial"/>
          <w:sz w:val="24"/>
          <w:szCs w:val="24"/>
        </w:rPr>
        <w:t xml:space="preserve">No Estado do Paraná, os trabalhos desenvolvidos por esta Corte de Contas no Plano Anual de Fiscalização (PAF) – Receita, por intermédio da Coordenadoria de Auditorias (CAUD), coletaram evidências que apontam à mesma direção: o lançamento e a arrecadação do IPTU nos municípios paranaenses situam-se em patamares inferiores à sua capacidade. </w:t>
      </w:r>
    </w:p>
    <w:p w14:paraId="19592434" w14:textId="3B0F4E20" w:rsidR="007D49D2" w:rsidRDefault="007D49D2" w:rsidP="008827FB">
      <w:pPr>
        <w:spacing w:before="120" w:after="0" w:line="240" w:lineRule="auto"/>
        <w:ind w:firstLine="1134"/>
        <w:jc w:val="both"/>
        <w:rPr>
          <w:rFonts w:ascii="Arial" w:hAnsi="Arial" w:cs="Arial"/>
          <w:sz w:val="24"/>
          <w:szCs w:val="24"/>
        </w:rPr>
      </w:pPr>
      <w:r>
        <w:rPr>
          <w:rFonts w:ascii="Arial" w:hAnsi="Arial" w:cs="Arial"/>
          <w:sz w:val="24"/>
          <w:szCs w:val="24"/>
        </w:rPr>
        <w:t>Desde 2019, apurou-se que 41 (quarenta e um) municípios foram objeto de auditorias, cuja avaliação dos aspectos atinentes ao IPTU esteve abarcada no seu escopo. Dentre outros aspectos avaliados, o alto grau de defasagem da PGV e o impacto na base de cálculo do IPTU foram observações recorrentes, alcançando 34 (trinta e quatro) dos entes fiscalizados, o que representa 83% (oitenta e três por cento) da amostra</w:t>
      </w:r>
      <w:r>
        <w:rPr>
          <w:rStyle w:val="Refdenotaderodap"/>
          <w:rFonts w:ascii="Arial" w:hAnsi="Arial" w:cs="Arial"/>
          <w:sz w:val="24"/>
          <w:szCs w:val="24"/>
        </w:rPr>
        <w:footnoteReference w:id="6"/>
      </w:r>
      <w:r>
        <w:rPr>
          <w:rFonts w:ascii="Arial" w:hAnsi="Arial" w:cs="Arial"/>
          <w:sz w:val="24"/>
          <w:szCs w:val="24"/>
        </w:rPr>
        <w:t xml:space="preserve">. </w:t>
      </w:r>
    </w:p>
    <w:p w14:paraId="76D1FAEC" w14:textId="34A7B3F8"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Em 2021, além da auditoria operacional, realizou-se um levantamento junto aos 399 (trezentos e noventa e nove) municípios paranaenses, de modo a traçar o panorama atual sobre a defasagem dos instrumentos de avaliação em massa para fins de IPTU vigentes nos municípios paranaenses (vide Relatório de Levantamento)</w:t>
      </w:r>
      <w:r>
        <w:rPr>
          <w:rStyle w:val="Refdenotaderodap"/>
          <w:rFonts w:ascii="Arial" w:hAnsi="Arial" w:cs="Arial"/>
          <w:sz w:val="24"/>
          <w:szCs w:val="24"/>
        </w:rPr>
        <w:footnoteReference w:id="7"/>
      </w:r>
      <w:r>
        <w:rPr>
          <w:rFonts w:ascii="Arial" w:hAnsi="Arial" w:cs="Arial"/>
          <w:sz w:val="24"/>
          <w:szCs w:val="24"/>
        </w:rPr>
        <w:t>.</w:t>
      </w:r>
    </w:p>
    <w:p w14:paraId="70942764" w14:textId="77777777"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Neste levantamento, constatou-se, após o tratamento de dados, fragilidades nas PGV da maioria dos municípios. Primeiramente, quanto à existência de norma que determine os parâmetros para apuração da base de cálculo do IPTU, verificou-se que uma quantidade expressiva de municípios nem sequer editou a norma. Há, ainda, outros municípios que o fizeram por meio de ato infralegal. Ambas as situações caracterizam franca desobediência ao princípio da legalidade tributária, previsto no art. 150, I, da Constituição Federal, e no art. 97 da Lei nº 5.172, de 25 de outubro de 1966 - Código Tributário Nacional (CTN).</w:t>
      </w:r>
    </w:p>
    <w:p w14:paraId="7EB82AAD" w14:textId="20AFEF49"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 xml:space="preserve">Em se tratando de defasagem das PGV, observou-se a inércia de sucessivas Administrações na gestão do IPTU na maioria absoluta dos municípios. O diagnóstico revelou um quadro generalizado de PGV desatualizadas, sem revisões periódicas que acompanhem a dinâmica de ocupação do solo urbano nas municipalidades, conforme exposto na tabela a seguir: </w:t>
      </w:r>
    </w:p>
    <w:p w14:paraId="31941124" w14:textId="10019FD7" w:rsidR="0053472D" w:rsidRDefault="0053472D" w:rsidP="0053472D">
      <w:pPr>
        <w:spacing w:after="0" w:line="360" w:lineRule="auto"/>
        <w:ind w:firstLine="1701"/>
        <w:jc w:val="both"/>
        <w:rPr>
          <w:rFonts w:ascii="Arial" w:hAnsi="Arial" w:cs="Arial"/>
          <w:sz w:val="24"/>
          <w:szCs w:val="24"/>
        </w:rPr>
      </w:pPr>
    </w:p>
    <w:p w14:paraId="7E381F68" w14:textId="77777777" w:rsidR="005F5160" w:rsidRDefault="005F5160" w:rsidP="0053472D">
      <w:pPr>
        <w:spacing w:after="0" w:line="360" w:lineRule="auto"/>
        <w:ind w:firstLine="1701"/>
        <w:jc w:val="both"/>
        <w:rPr>
          <w:rFonts w:ascii="Arial" w:hAnsi="Arial" w:cs="Arial"/>
          <w:sz w:val="24"/>
          <w:szCs w:val="24"/>
        </w:rPr>
      </w:pPr>
    </w:p>
    <w:tbl>
      <w:tblPr>
        <w:tblpPr w:leftFromText="141" w:rightFromText="141" w:vertAnchor="text" w:horzAnchor="margin" w:tblpY="9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1843"/>
        <w:gridCol w:w="1842"/>
        <w:gridCol w:w="1701"/>
      </w:tblGrid>
      <w:tr w:rsidR="0053472D" w:rsidRPr="004A74D8" w14:paraId="298D3C31" w14:textId="77777777" w:rsidTr="0065278A">
        <w:trPr>
          <w:trHeight w:val="820"/>
        </w:trPr>
        <w:tc>
          <w:tcPr>
            <w:tcW w:w="3114" w:type="dxa"/>
            <w:vMerge w:val="restart"/>
            <w:shd w:val="clear" w:color="000000" w:fill="2F75B5"/>
            <w:noWrap/>
            <w:vAlign w:val="center"/>
            <w:hideMark/>
          </w:tcPr>
          <w:p w14:paraId="7A4A18B8" w14:textId="77777777" w:rsidR="0053472D" w:rsidRPr="0053472D" w:rsidRDefault="0053472D" w:rsidP="0065278A">
            <w:pPr>
              <w:spacing w:after="0" w:line="240" w:lineRule="auto"/>
              <w:jc w:val="center"/>
              <w:rPr>
                <w:rFonts w:eastAsia="Times New Roman" w:cs="Calibri"/>
                <w:b/>
                <w:bCs/>
                <w:color w:val="F2F2F2"/>
                <w:sz w:val="28"/>
                <w:szCs w:val="28"/>
                <w:lang w:eastAsia="pt-BR"/>
              </w:rPr>
            </w:pPr>
            <w:r w:rsidRPr="0053472D">
              <w:rPr>
                <w:rFonts w:eastAsia="Times New Roman" w:cs="Calibri"/>
                <w:b/>
                <w:bCs/>
                <w:color w:val="F2F2F2"/>
                <w:sz w:val="28"/>
                <w:szCs w:val="28"/>
                <w:lang w:eastAsia="pt-BR"/>
              </w:rPr>
              <w:lastRenderedPageBreak/>
              <w:t>População</w:t>
            </w:r>
          </w:p>
        </w:tc>
        <w:tc>
          <w:tcPr>
            <w:tcW w:w="3685" w:type="dxa"/>
            <w:gridSpan w:val="2"/>
            <w:shd w:val="clear" w:color="000000" w:fill="D9E1F2"/>
            <w:noWrap/>
            <w:hideMark/>
          </w:tcPr>
          <w:p w14:paraId="07A33E03" w14:textId="77777777" w:rsidR="0053472D" w:rsidRPr="0053472D" w:rsidRDefault="0053472D" w:rsidP="0065278A">
            <w:pPr>
              <w:spacing w:after="0" w:line="240" w:lineRule="auto"/>
              <w:jc w:val="center"/>
              <w:rPr>
                <w:rFonts w:eastAsia="Times New Roman" w:cs="Calibri"/>
                <w:b/>
                <w:bCs/>
                <w:color w:val="2F5496" w:themeColor="accent1" w:themeShade="BF"/>
                <w:sz w:val="28"/>
                <w:szCs w:val="28"/>
                <w:lang w:eastAsia="pt-BR"/>
              </w:rPr>
            </w:pPr>
            <w:r w:rsidRPr="0053472D">
              <w:rPr>
                <w:rFonts w:eastAsia="Times New Roman" w:cs="Calibri"/>
                <w:b/>
                <w:bCs/>
                <w:color w:val="2F5496" w:themeColor="accent1" w:themeShade="BF"/>
                <w:sz w:val="28"/>
                <w:szCs w:val="28"/>
                <w:lang w:eastAsia="pt-BR"/>
              </w:rPr>
              <w:t>Municípios com PGV</w:t>
            </w:r>
          </w:p>
        </w:tc>
        <w:tc>
          <w:tcPr>
            <w:tcW w:w="1701" w:type="dxa"/>
            <w:vMerge w:val="restart"/>
            <w:shd w:val="clear" w:color="000000" w:fill="D9E1F2"/>
            <w:noWrap/>
            <w:vAlign w:val="center"/>
            <w:hideMark/>
          </w:tcPr>
          <w:p w14:paraId="1C8EB39D" w14:textId="77777777" w:rsidR="0053472D" w:rsidRPr="0053472D" w:rsidRDefault="0053472D" w:rsidP="0065278A">
            <w:pPr>
              <w:spacing w:after="0" w:line="240" w:lineRule="auto"/>
              <w:jc w:val="center"/>
              <w:rPr>
                <w:rFonts w:eastAsia="Times New Roman" w:cs="Calibri"/>
                <w:b/>
                <w:bCs/>
                <w:color w:val="2F5496" w:themeColor="accent1" w:themeShade="BF"/>
                <w:sz w:val="28"/>
                <w:szCs w:val="28"/>
                <w:lang w:eastAsia="pt-BR"/>
              </w:rPr>
            </w:pPr>
            <w:r w:rsidRPr="0053472D">
              <w:rPr>
                <w:rFonts w:eastAsia="Times New Roman" w:cs="Calibri"/>
                <w:b/>
                <w:bCs/>
                <w:color w:val="2F5496" w:themeColor="accent1" w:themeShade="BF"/>
                <w:sz w:val="28"/>
                <w:szCs w:val="28"/>
                <w:lang w:eastAsia="pt-BR"/>
              </w:rPr>
              <w:t>%</w:t>
            </w:r>
          </w:p>
        </w:tc>
      </w:tr>
      <w:tr w:rsidR="0053472D" w:rsidRPr="004A74D8" w14:paraId="46EB40ED" w14:textId="77777777" w:rsidTr="0065278A">
        <w:trPr>
          <w:trHeight w:val="740"/>
        </w:trPr>
        <w:tc>
          <w:tcPr>
            <w:tcW w:w="3114" w:type="dxa"/>
            <w:vMerge/>
            <w:vAlign w:val="center"/>
            <w:hideMark/>
          </w:tcPr>
          <w:p w14:paraId="2A4AF972" w14:textId="77777777" w:rsidR="0053472D" w:rsidRPr="0053472D" w:rsidRDefault="0053472D" w:rsidP="0065278A">
            <w:pPr>
              <w:spacing w:after="0" w:line="240" w:lineRule="auto"/>
              <w:rPr>
                <w:rFonts w:eastAsia="Times New Roman" w:cs="Calibri"/>
                <w:b/>
                <w:bCs/>
                <w:color w:val="F2F2F2"/>
                <w:sz w:val="28"/>
                <w:szCs w:val="28"/>
                <w:lang w:eastAsia="pt-BR"/>
              </w:rPr>
            </w:pPr>
          </w:p>
        </w:tc>
        <w:tc>
          <w:tcPr>
            <w:tcW w:w="1843" w:type="dxa"/>
            <w:shd w:val="clear" w:color="000000" w:fill="D9E1F2"/>
            <w:noWrap/>
            <w:hideMark/>
          </w:tcPr>
          <w:p w14:paraId="1950557F" w14:textId="77777777" w:rsidR="0053472D" w:rsidRPr="0053472D" w:rsidRDefault="0053472D" w:rsidP="0065278A">
            <w:pPr>
              <w:spacing w:after="0" w:line="240" w:lineRule="auto"/>
              <w:jc w:val="center"/>
              <w:rPr>
                <w:rFonts w:eastAsia="Times New Roman" w:cs="Calibri"/>
                <w:b/>
                <w:bCs/>
                <w:color w:val="2F5496" w:themeColor="accent1" w:themeShade="BF"/>
                <w:sz w:val="28"/>
                <w:szCs w:val="28"/>
                <w:lang w:eastAsia="pt-BR"/>
              </w:rPr>
            </w:pPr>
            <w:r w:rsidRPr="0053472D">
              <w:rPr>
                <w:rFonts w:eastAsia="Times New Roman" w:cs="Calibri"/>
                <w:b/>
                <w:bCs/>
                <w:color w:val="2F5496" w:themeColor="accent1" w:themeShade="BF"/>
                <w:sz w:val="28"/>
                <w:szCs w:val="28"/>
                <w:lang w:eastAsia="pt-BR"/>
              </w:rPr>
              <w:t xml:space="preserve">Total </w:t>
            </w:r>
          </w:p>
        </w:tc>
        <w:tc>
          <w:tcPr>
            <w:tcW w:w="1842" w:type="dxa"/>
            <w:shd w:val="clear" w:color="000000" w:fill="D9E1F2"/>
            <w:noWrap/>
            <w:hideMark/>
          </w:tcPr>
          <w:p w14:paraId="39EC9CC3" w14:textId="77777777" w:rsidR="0053472D" w:rsidRPr="0053472D" w:rsidRDefault="0053472D" w:rsidP="0065278A">
            <w:pPr>
              <w:spacing w:after="0" w:line="240" w:lineRule="auto"/>
              <w:jc w:val="center"/>
              <w:rPr>
                <w:rFonts w:eastAsia="Times New Roman" w:cs="Calibri"/>
                <w:b/>
                <w:bCs/>
                <w:color w:val="2F5496" w:themeColor="accent1" w:themeShade="BF"/>
                <w:sz w:val="28"/>
                <w:szCs w:val="28"/>
                <w:lang w:eastAsia="pt-BR"/>
              </w:rPr>
            </w:pPr>
            <w:r w:rsidRPr="0053472D">
              <w:rPr>
                <w:rFonts w:eastAsia="Times New Roman" w:cs="Calibri"/>
                <w:b/>
                <w:bCs/>
                <w:color w:val="2F5496" w:themeColor="accent1" w:themeShade="BF"/>
                <w:sz w:val="28"/>
                <w:szCs w:val="28"/>
                <w:lang w:eastAsia="pt-BR"/>
              </w:rPr>
              <w:t>PGV desatualizada</w:t>
            </w:r>
          </w:p>
        </w:tc>
        <w:tc>
          <w:tcPr>
            <w:tcW w:w="1701" w:type="dxa"/>
            <w:vMerge/>
            <w:vAlign w:val="center"/>
            <w:hideMark/>
          </w:tcPr>
          <w:p w14:paraId="4546C473" w14:textId="77777777" w:rsidR="0053472D" w:rsidRPr="0053472D" w:rsidRDefault="0053472D" w:rsidP="0065278A">
            <w:pPr>
              <w:spacing w:after="0" w:line="240" w:lineRule="auto"/>
              <w:rPr>
                <w:rFonts w:eastAsia="Times New Roman" w:cs="Calibri"/>
                <w:b/>
                <w:bCs/>
                <w:color w:val="2F5496" w:themeColor="accent1" w:themeShade="BF"/>
                <w:sz w:val="28"/>
                <w:szCs w:val="28"/>
                <w:lang w:eastAsia="pt-BR"/>
              </w:rPr>
            </w:pPr>
          </w:p>
        </w:tc>
      </w:tr>
      <w:tr w:rsidR="0053472D" w:rsidRPr="004A74D8" w14:paraId="284CD322" w14:textId="77777777" w:rsidTr="0065278A">
        <w:trPr>
          <w:trHeight w:val="500"/>
        </w:trPr>
        <w:tc>
          <w:tcPr>
            <w:tcW w:w="3114" w:type="dxa"/>
            <w:shd w:val="clear" w:color="000000" w:fill="2F75B5"/>
            <w:noWrap/>
            <w:vAlign w:val="bottom"/>
            <w:hideMark/>
          </w:tcPr>
          <w:p w14:paraId="4A269312" w14:textId="77777777" w:rsidR="0053472D" w:rsidRPr="0053472D" w:rsidRDefault="0053472D" w:rsidP="0065278A">
            <w:pPr>
              <w:spacing w:after="0" w:line="240" w:lineRule="auto"/>
              <w:jc w:val="center"/>
              <w:rPr>
                <w:rFonts w:eastAsia="Times New Roman" w:cs="Calibri"/>
                <w:color w:val="F2F2F2"/>
                <w:sz w:val="28"/>
                <w:szCs w:val="28"/>
                <w:lang w:eastAsia="pt-BR"/>
              </w:rPr>
            </w:pPr>
            <w:r w:rsidRPr="0053472D">
              <w:rPr>
                <w:rFonts w:eastAsia="Times New Roman" w:cs="Calibri"/>
                <w:color w:val="F2F2F2"/>
                <w:sz w:val="28"/>
                <w:szCs w:val="28"/>
                <w:lang w:eastAsia="pt-BR"/>
              </w:rPr>
              <w:t>Mais de 20.000 habitantes</w:t>
            </w:r>
          </w:p>
        </w:tc>
        <w:tc>
          <w:tcPr>
            <w:tcW w:w="1843" w:type="dxa"/>
            <w:shd w:val="clear" w:color="000000" w:fill="D9E1F2"/>
            <w:noWrap/>
            <w:vAlign w:val="bottom"/>
            <w:hideMark/>
          </w:tcPr>
          <w:p w14:paraId="44E5049D" w14:textId="77777777" w:rsidR="0053472D" w:rsidRPr="0053472D" w:rsidRDefault="0053472D" w:rsidP="0065278A">
            <w:pPr>
              <w:spacing w:after="0" w:line="240" w:lineRule="auto"/>
              <w:jc w:val="center"/>
              <w:rPr>
                <w:rFonts w:eastAsia="Times New Roman" w:cs="Calibri"/>
                <w:color w:val="375623"/>
                <w:sz w:val="28"/>
                <w:szCs w:val="28"/>
                <w:lang w:eastAsia="pt-BR"/>
              </w:rPr>
            </w:pPr>
            <w:r w:rsidRPr="0053472D">
              <w:rPr>
                <w:rFonts w:eastAsia="Times New Roman" w:cs="Calibri"/>
                <w:color w:val="375623"/>
                <w:sz w:val="28"/>
                <w:szCs w:val="28"/>
                <w:lang w:eastAsia="pt-BR"/>
              </w:rPr>
              <w:t>79</w:t>
            </w:r>
          </w:p>
        </w:tc>
        <w:tc>
          <w:tcPr>
            <w:tcW w:w="1842" w:type="dxa"/>
            <w:shd w:val="clear" w:color="000000" w:fill="D9E1F2"/>
            <w:noWrap/>
            <w:vAlign w:val="bottom"/>
            <w:hideMark/>
          </w:tcPr>
          <w:p w14:paraId="20EEC42B" w14:textId="77777777" w:rsidR="0053472D" w:rsidRPr="0053472D" w:rsidRDefault="0053472D" w:rsidP="0065278A">
            <w:pPr>
              <w:spacing w:after="0" w:line="240" w:lineRule="auto"/>
              <w:jc w:val="center"/>
              <w:rPr>
                <w:rFonts w:eastAsia="Times New Roman" w:cs="Calibri"/>
                <w:color w:val="375623"/>
                <w:sz w:val="28"/>
                <w:szCs w:val="28"/>
                <w:lang w:eastAsia="pt-BR"/>
              </w:rPr>
            </w:pPr>
            <w:r w:rsidRPr="0053472D">
              <w:rPr>
                <w:rFonts w:eastAsia="Times New Roman" w:cs="Calibri"/>
                <w:color w:val="375623"/>
                <w:sz w:val="28"/>
                <w:szCs w:val="28"/>
                <w:lang w:eastAsia="pt-BR"/>
              </w:rPr>
              <w:t>63</w:t>
            </w:r>
          </w:p>
        </w:tc>
        <w:tc>
          <w:tcPr>
            <w:tcW w:w="1701" w:type="dxa"/>
            <w:shd w:val="clear" w:color="000000" w:fill="D9E1F2"/>
            <w:noWrap/>
            <w:vAlign w:val="bottom"/>
            <w:hideMark/>
          </w:tcPr>
          <w:p w14:paraId="02E863E4" w14:textId="77777777" w:rsidR="0053472D" w:rsidRPr="0053472D" w:rsidRDefault="0053472D" w:rsidP="0065278A">
            <w:pPr>
              <w:spacing w:after="0" w:line="240" w:lineRule="auto"/>
              <w:jc w:val="center"/>
              <w:rPr>
                <w:rFonts w:eastAsia="Times New Roman" w:cs="Calibri"/>
                <w:color w:val="375623"/>
                <w:sz w:val="28"/>
                <w:szCs w:val="28"/>
                <w:lang w:eastAsia="pt-BR"/>
              </w:rPr>
            </w:pPr>
            <w:r w:rsidRPr="0053472D">
              <w:rPr>
                <w:rFonts w:eastAsia="Times New Roman" w:cs="Calibri"/>
                <w:color w:val="375623"/>
                <w:sz w:val="28"/>
                <w:szCs w:val="28"/>
                <w:lang w:eastAsia="pt-BR"/>
              </w:rPr>
              <w:t>80%</w:t>
            </w:r>
          </w:p>
        </w:tc>
      </w:tr>
      <w:tr w:rsidR="0053472D" w:rsidRPr="004A74D8" w14:paraId="2315502E" w14:textId="77777777" w:rsidTr="0065278A">
        <w:trPr>
          <w:trHeight w:val="550"/>
        </w:trPr>
        <w:tc>
          <w:tcPr>
            <w:tcW w:w="3114" w:type="dxa"/>
            <w:shd w:val="clear" w:color="000000" w:fill="2F75B5"/>
            <w:noWrap/>
            <w:vAlign w:val="bottom"/>
            <w:hideMark/>
          </w:tcPr>
          <w:p w14:paraId="264C86C3" w14:textId="77777777" w:rsidR="0053472D" w:rsidRPr="0053472D" w:rsidRDefault="0053472D" w:rsidP="0065278A">
            <w:pPr>
              <w:spacing w:after="0" w:line="240" w:lineRule="auto"/>
              <w:jc w:val="center"/>
              <w:rPr>
                <w:rFonts w:eastAsia="Times New Roman" w:cs="Calibri"/>
                <w:color w:val="F2F2F2"/>
                <w:sz w:val="28"/>
                <w:szCs w:val="28"/>
                <w:lang w:eastAsia="pt-BR"/>
              </w:rPr>
            </w:pPr>
            <w:r w:rsidRPr="0053472D">
              <w:rPr>
                <w:rFonts w:eastAsia="Times New Roman" w:cs="Calibri"/>
                <w:color w:val="F2F2F2"/>
                <w:sz w:val="28"/>
                <w:szCs w:val="28"/>
                <w:lang w:eastAsia="pt-BR"/>
              </w:rPr>
              <w:t>Menos de 20.000 habitantes</w:t>
            </w:r>
          </w:p>
        </w:tc>
        <w:tc>
          <w:tcPr>
            <w:tcW w:w="1843" w:type="dxa"/>
            <w:shd w:val="clear" w:color="000000" w:fill="D9E1F2"/>
            <w:noWrap/>
            <w:vAlign w:val="bottom"/>
            <w:hideMark/>
          </w:tcPr>
          <w:p w14:paraId="60DAB54A" w14:textId="77777777" w:rsidR="0053472D" w:rsidRPr="0053472D" w:rsidRDefault="0053472D" w:rsidP="0065278A">
            <w:pPr>
              <w:spacing w:after="0" w:line="240" w:lineRule="auto"/>
              <w:jc w:val="center"/>
              <w:rPr>
                <w:rFonts w:eastAsia="Times New Roman" w:cs="Calibri"/>
                <w:color w:val="375623"/>
                <w:sz w:val="28"/>
                <w:szCs w:val="28"/>
                <w:lang w:eastAsia="pt-BR"/>
              </w:rPr>
            </w:pPr>
            <w:r w:rsidRPr="0053472D">
              <w:rPr>
                <w:rFonts w:eastAsia="Times New Roman" w:cs="Calibri"/>
                <w:color w:val="375623"/>
                <w:sz w:val="28"/>
                <w:szCs w:val="28"/>
                <w:lang w:eastAsia="pt-BR"/>
              </w:rPr>
              <w:t>232</w:t>
            </w:r>
          </w:p>
        </w:tc>
        <w:tc>
          <w:tcPr>
            <w:tcW w:w="1842" w:type="dxa"/>
            <w:shd w:val="clear" w:color="000000" w:fill="D9E1F2"/>
            <w:noWrap/>
            <w:vAlign w:val="bottom"/>
            <w:hideMark/>
          </w:tcPr>
          <w:p w14:paraId="4169B88A" w14:textId="77777777" w:rsidR="0053472D" w:rsidRPr="0053472D" w:rsidRDefault="0053472D" w:rsidP="0065278A">
            <w:pPr>
              <w:spacing w:after="0" w:line="240" w:lineRule="auto"/>
              <w:jc w:val="center"/>
              <w:rPr>
                <w:rFonts w:eastAsia="Times New Roman" w:cs="Calibri"/>
                <w:color w:val="375623"/>
                <w:sz w:val="28"/>
                <w:szCs w:val="28"/>
                <w:lang w:eastAsia="pt-BR"/>
              </w:rPr>
            </w:pPr>
            <w:r w:rsidRPr="0053472D">
              <w:rPr>
                <w:rFonts w:eastAsia="Times New Roman" w:cs="Calibri"/>
                <w:color w:val="375623"/>
                <w:sz w:val="28"/>
                <w:szCs w:val="28"/>
                <w:lang w:eastAsia="pt-BR"/>
              </w:rPr>
              <w:t>143</w:t>
            </w:r>
          </w:p>
        </w:tc>
        <w:tc>
          <w:tcPr>
            <w:tcW w:w="1701" w:type="dxa"/>
            <w:shd w:val="clear" w:color="000000" w:fill="D9E1F2"/>
            <w:noWrap/>
            <w:vAlign w:val="bottom"/>
            <w:hideMark/>
          </w:tcPr>
          <w:p w14:paraId="0FD96C1D" w14:textId="77777777" w:rsidR="0053472D" w:rsidRPr="0053472D" w:rsidRDefault="0053472D" w:rsidP="0065278A">
            <w:pPr>
              <w:spacing w:after="0" w:line="240" w:lineRule="auto"/>
              <w:jc w:val="center"/>
              <w:rPr>
                <w:rFonts w:eastAsia="Times New Roman" w:cs="Calibri"/>
                <w:color w:val="375623"/>
                <w:sz w:val="28"/>
                <w:szCs w:val="28"/>
                <w:lang w:eastAsia="pt-BR"/>
              </w:rPr>
            </w:pPr>
            <w:r w:rsidRPr="0053472D">
              <w:rPr>
                <w:rFonts w:eastAsia="Times New Roman" w:cs="Calibri"/>
                <w:color w:val="375623"/>
                <w:sz w:val="28"/>
                <w:szCs w:val="28"/>
                <w:lang w:eastAsia="pt-BR"/>
              </w:rPr>
              <w:t>62%</w:t>
            </w:r>
          </w:p>
        </w:tc>
      </w:tr>
      <w:tr w:rsidR="0053472D" w:rsidRPr="004A74D8" w14:paraId="01865097" w14:textId="77777777" w:rsidTr="0053472D">
        <w:trPr>
          <w:trHeight w:val="1157"/>
        </w:trPr>
        <w:tc>
          <w:tcPr>
            <w:tcW w:w="3114" w:type="dxa"/>
            <w:shd w:val="clear" w:color="000000" w:fill="2F75B5"/>
            <w:noWrap/>
            <w:vAlign w:val="bottom"/>
            <w:hideMark/>
          </w:tcPr>
          <w:p w14:paraId="03B1BEAB" w14:textId="77777777" w:rsidR="0053472D" w:rsidRPr="0053472D" w:rsidRDefault="0053472D" w:rsidP="0065278A">
            <w:pPr>
              <w:spacing w:after="0" w:line="240" w:lineRule="auto"/>
              <w:jc w:val="center"/>
              <w:rPr>
                <w:rFonts w:eastAsia="Times New Roman" w:cs="Calibri"/>
                <w:b/>
                <w:bCs/>
                <w:color w:val="F2F2F2"/>
                <w:sz w:val="28"/>
                <w:szCs w:val="28"/>
                <w:lang w:eastAsia="pt-BR"/>
              </w:rPr>
            </w:pPr>
            <w:r w:rsidRPr="0053472D">
              <w:rPr>
                <w:rFonts w:eastAsia="Times New Roman" w:cs="Calibri"/>
                <w:b/>
                <w:bCs/>
                <w:color w:val="F2F2F2"/>
                <w:sz w:val="28"/>
                <w:szCs w:val="28"/>
                <w:lang w:eastAsia="pt-BR"/>
              </w:rPr>
              <w:t xml:space="preserve">Total </w:t>
            </w:r>
          </w:p>
        </w:tc>
        <w:tc>
          <w:tcPr>
            <w:tcW w:w="1843" w:type="dxa"/>
            <w:shd w:val="clear" w:color="000000" w:fill="D9E1F2"/>
            <w:noWrap/>
            <w:vAlign w:val="bottom"/>
            <w:hideMark/>
          </w:tcPr>
          <w:p w14:paraId="54EC6450" w14:textId="77777777" w:rsidR="0053472D" w:rsidRPr="0053472D" w:rsidRDefault="0053472D" w:rsidP="0065278A">
            <w:pPr>
              <w:spacing w:after="0" w:line="240" w:lineRule="auto"/>
              <w:jc w:val="center"/>
              <w:rPr>
                <w:rFonts w:eastAsia="Times New Roman" w:cs="Calibri"/>
                <w:b/>
                <w:bCs/>
                <w:color w:val="1F3864" w:themeColor="accent1" w:themeShade="80"/>
                <w:sz w:val="28"/>
                <w:szCs w:val="28"/>
                <w:lang w:eastAsia="pt-BR"/>
              </w:rPr>
            </w:pPr>
            <w:r w:rsidRPr="0053472D">
              <w:rPr>
                <w:rFonts w:eastAsia="Times New Roman" w:cs="Calibri"/>
                <w:b/>
                <w:bCs/>
                <w:color w:val="1F3864" w:themeColor="accent1" w:themeShade="80"/>
                <w:sz w:val="28"/>
                <w:szCs w:val="28"/>
                <w:lang w:eastAsia="pt-BR"/>
              </w:rPr>
              <w:t>311</w:t>
            </w:r>
            <w:r w:rsidRPr="0053472D">
              <w:rPr>
                <w:rStyle w:val="Refdenotaderodap"/>
                <w:rFonts w:eastAsia="Times New Roman" w:cs="Calibri"/>
                <w:b/>
                <w:bCs/>
                <w:color w:val="1F3864" w:themeColor="accent1" w:themeShade="80"/>
                <w:sz w:val="28"/>
                <w:szCs w:val="28"/>
                <w:lang w:eastAsia="pt-BR"/>
              </w:rPr>
              <w:footnoteReference w:id="8"/>
            </w:r>
          </w:p>
        </w:tc>
        <w:tc>
          <w:tcPr>
            <w:tcW w:w="1842" w:type="dxa"/>
            <w:shd w:val="clear" w:color="000000" w:fill="D9E1F2"/>
            <w:noWrap/>
            <w:vAlign w:val="bottom"/>
            <w:hideMark/>
          </w:tcPr>
          <w:p w14:paraId="0BD121C4" w14:textId="77777777" w:rsidR="0053472D" w:rsidRPr="0053472D" w:rsidRDefault="0053472D" w:rsidP="0065278A">
            <w:pPr>
              <w:spacing w:after="0" w:line="240" w:lineRule="auto"/>
              <w:jc w:val="center"/>
              <w:rPr>
                <w:rFonts w:eastAsia="Times New Roman" w:cs="Calibri"/>
                <w:b/>
                <w:bCs/>
                <w:color w:val="1F3864" w:themeColor="accent1" w:themeShade="80"/>
                <w:sz w:val="28"/>
                <w:szCs w:val="28"/>
                <w:lang w:eastAsia="pt-BR"/>
              </w:rPr>
            </w:pPr>
            <w:r w:rsidRPr="0053472D">
              <w:rPr>
                <w:rFonts w:eastAsia="Times New Roman" w:cs="Calibri"/>
                <w:b/>
                <w:bCs/>
                <w:color w:val="1F3864" w:themeColor="accent1" w:themeShade="80"/>
                <w:sz w:val="28"/>
                <w:szCs w:val="28"/>
                <w:lang w:eastAsia="pt-BR"/>
              </w:rPr>
              <w:t>206</w:t>
            </w:r>
          </w:p>
        </w:tc>
        <w:tc>
          <w:tcPr>
            <w:tcW w:w="1701" w:type="dxa"/>
            <w:shd w:val="clear" w:color="000000" w:fill="D9E1F2"/>
            <w:noWrap/>
            <w:vAlign w:val="bottom"/>
            <w:hideMark/>
          </w:tcPr>
          <w:p w14:paraId="7109015D" w14:textId="77777777" w:rsidR="0053472D" w:rsidRPr="0053472D" w:rsidRDefault="0053472D" w:rsidP="0065278A">
            <w:pPr>
              <w:spacing w:after="0" w:line="240" w:lineRule="auto"/>
              <w:jc w:val="center"/>
              <w:rPr>
                <w:rFonts w:eastAsia="Times New Roman" w:cs="Calibri"/>
                <w:b/>
                <w:bCs/>
                <w:color w:val="1F3864" w:themeColor="accent1" w:themeShade="80"/>
                <w:sz w:val="28"/>
                <w:szCs w:val="28"/>
                <w:lang w:eastAsia="pt-BR"/>
              </w:rPr>
            </w:pPr>
            <w:r w:rsidRPr="0053472D">
              <w:rPr>
                <w:rFonts w:eastAsia="Times New Roman" w:cs="Calibri"/>
                <w:b/>
                <w:bCs/>
                <w:color w:val="1F3864" w:themeColor="accent1" w:themeShade="80"/>
                <w:sz w:val="28"/>
                <w:szCs w:val="28"/>
                <w:lang w:eastAsia="pt-BR"/>
              </w:rPr>
              <w:t>66%</w:t>
            </w:r>
          </w:p>
        </w:tc>
      </w:tr>
    </w:tbl>
    <w:p w14:paraId="18CE5174" w14:textId="77777777" w:rsidR="0053472D" w:rsidRPr="00B409FC" w:rsidRDefault="0053472D" w:rsidP="0053472D">
      <w:pPr>
        <w:spacing w:after="0" w:line="360" w:lineRule="auto"/>
        <w:jc w:val="both"/>
        <w:rPr>
          <w:rFonts w:ascii="Arial" w:hAnsi="Arial" w:cs="Arial"/>
          <w:sz w:val="20"/>
          <w:szCs w:val="20"/>
        </w:rPr>
      </w:pPr>
      <w:r w:rsidRPr="00B409FC">
        <w:rPr>
          <w:rFonts w:ascii="Arial" w:hAnsi="Arial" w:cs="Arial"/>
          <w:sz w:val="20"/>
          <w:szCs w:val="20"/>
        </w:rPr>
        <w:t>Tabela 1 - Nível de atualização da PGV de acordo com o porte dos municípios</w:t>
      </w:r>
    </w:p>
    <w:p w14:paraId="3E178324" w14:textId="77777777" w:rsidR="0053472D" w:rsidRPr="00B409FC" w:rsidRDefault="0053472D" w:rsidP="0053472D">
      <w:pPr>
        <w:spacing w:after="0" w:line="360" w:lineRule="auto"/>
        <w:ind w:firstLine="1701"/>
        <w:jc w:val="both"/>
        <w:rPr>
          <w:rFonts w:ascii="Arial" w:hAnsi="Arial" w:cs="Arial"/>
          <w:sz w:val="20"/>
          <w:szCs w:val="20"/>
        </w:rPr>
      </w:pPr>
    </w:p>
    <w:p w14:paraId="270EE3AB" w14:textId="77777777"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 xml:space="preserve">Como consequência, compromete-se a arrecadação municipal e as capacidades de financiamento dos gastos públicos, tendo em vista que os valores atribuídos aos imóveis por meio dos parâmetros estabelecidos em PGV obsoletas não refletem os preços praticados em condições usuais de mercado. </w:t>
      </w:r>
    </w:p>
    <w:p w14:paraId="0140E25A" w14:textId="17878E57"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Os dados complementares ao levantamento, reunidos durante as auditorias operacionais no tema da receita desde 2019</w:t>
      </w:r>
      <w:r>
        <w:rPr>
          <w:rStyle w:val="Refdenotaderodap"/>
          <w:rFonts w:ascii="Arial" w:hAnsi="Arial" w:cs="Arial"/>
          <w:sz w:val="24"/>
          <w:szCs w:val="24"/>
        </w:rPr>
        <w:footnoteReference w:id="9"/>
      </w:r>
      <w:r>
        <w:rPr>
          <w:rFonts w:ascii="Arial" w:hAnsi="Arial" w:cs="Arial"/>
          <w:sz w:val="24"/>
          <w:szCs w:val="24"/>
        </w:rPr>
        <w:t xml:space="preserve">, </w:t>
      </w:r>
      <w:r w:rsidRPr="00181C6E">
        <w:rPr>
          <w:rFonts w:ascii="Arial" w:hAnsi="Arial" w:cs="Arial"/>
          <w:b/>
          <w:bCs/>
          <w:sz w:val="24"/>
          <w:szCs w:val="24"/>
        </w:rPr>
        <w:t>evidenciam exatamente essa relação de causalidade entre instrumentos de avaliação em massa defasados e subavaliação da base de cálculo do IPTU</w:t>
      </w:r>
      <w:r>
        <w:rPr>
          <w:rFonts w:ascii="Arial" w:hAnsi="Arial" w:cs="Arial"/>
          <w:sz w:val="24"/>
          <w:szCs w:val="24"/>
        </w:rPr>
        <w:t>. O trabalho demonstrou que o valor venal utilizado para apuração do IPTU, nos municípios paranaenses, representa, em média, 30% (trinta por cento) do valor de mercado dos imóveis. Tomando como referencial o mínimo de 70% (setenta por cento) recomendado pela Portaria nº 511, de 08 de dezembro de 2009, do</w:t>
      </w:r>
      <w:r w:rsidR="00601ECE">
        <w:rPr>
          <w:rFonts w:ascii="Arial" w:hAnsi="Arial" w:cs="Arial"/>
          <w:sz w:val="24"/>
          <w:szCs w:val="24"/>
        </w:rPr>
        <w:t xml:space="preserve"> antigo</w:t>
      </w:r>
      <w:r>
        <w:rPr>
          <w:rFonts w:ascii="Arial" w:hAnsi="Arial" w:cs="Arial"/>
          <w:sz w:val="24"/>
          <w:szCs w:val="24"/>
        </w:rPr>
        <w:t xml:space="preserve"> Ministérios das Cidades</w:t>
      </w:r>
      <w:r>
        <w:rPr>
          <w:rStyle w:val="Refdenotaderodap"/>
          <w:rFonts w:ascii="Arial" w:hAnsi="Arial" w:cs="Arial"/>
          <w:sz w:val="24"/>
          <w:szCs w:val="24"/>
        </w:rPr>
        <w:t xml:space="preserve"> </w:t>
      </w:r>
      <w:r>
        <w:rPr>
          <w:rFonts w:ascii="Arial" w:hAnsi="Arial" w:cs="Arial"/>
          <w:sz w:val="24"/>
          <w:szCs w:val="24"/>
        </w:rPr>
        <w:t>(</w:t>
      </w:r>
      <w:proofErr w:type="spellStart"/>
      <w:r>
        <w:rPr>
          <w:rFonts w:ascii="Arial" w:hAnsi="Arial" w:cs="Arial"/>
          <w:sz w:val="24"/>
          <w:szCs w:val="24"/>
        </w:rPr>
        <w:t>MCid</w:t>
      </w:r>
      <w:proofErr w:type="spellEnd"/>
      <w:r>
        <w:rPr>
          <w:rFonts w:ascii="Arial" w:hAnsi="Arial" w:cs="Arial"/>
          <w:sz w:val="24"/>
          <w:szCs w:val="24"/>
        </w:rPr>
        <w:t>)</w:t>
      </w:r>
      <w:r>
        <w:rPr>
          <w:rStyle w:val="Refdenotaderodap"/>
          <w:rFonts w:ascii="Arial" w:hAnsi="Arial" w:cs="Arial"/>
          <w:sz w:val="24"/>
          <w:szCs w:val="24"/>
        </w:rPr>
        <w:footnoteReference w:id="10"/>
      </w:r>
      <w:r>
        <w:rPr>
          <w:rFonts w:ascii="Arial" w:hAnsi="Arial" w:cs="Arial"/>
          <w:sz w:val="24"/>
          <w:szCs w:val="24"/>
        </w:rPr>
        <w:t xml:space="preserve">, conclui-se, ao final, que há margem para expansão da base de cálculo do IPTU na ordem de 40 (quarenta) pontos percentuais. </w:t>
      </w:r>
    </w:p>
    <w:p w14:paraId="31385842" w14:textId="77777777"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 xml:space="preserve">Assim, a defasagem das PGV em relação aos valores de mercado demonstra uma deficiência na gestão fiscal local, que, por outro prisma, reflete </w:t>
      </w:r>
      <w:r>
        <w:rPr>
          <w:rFonts w:ascii="Arial" w:hAnsi="Arial" w:cs="Arial"/>
          <w:sz w:val="24"/>
          <w:szCs w:val="24"/>
        </w:rPr>
        <w:lastRenderedPageBreak/>
        <w:t xml:space="preserve">potencial arrecadatório disponível. Ademais, o incremento das receitas municipais imprime melhorias na autonomia orçamentária e promove incrementos qualitativos em políticas públicas afetas aos munícipes. </w:t>
      </w:r>
    </w:p>
    <w:p w14:paraId="599EB358" w14:textId="77777777"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 xml:space="preserve">Nesse contexto, é indisfarçável a necessidade de que as PGV traduzam as condições do mercado imobiliário. </w:t>
      </w:r>
    </w:p>
    <w:p w14:paraId="3853145E" w14:textId="77777777"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Pois a revisão periódica das plantas genéricas de valores possui uma finalidade legítima, qual seja, a efetividade na arrecadação do IPTU, marcadamente através da plena exploração da sua base de incidência, requisito essencial de uma gestão baseada na responsabilidade fiscal, conforme previsão contida no art. 11 da Lei Complementar nº 101, de 4 de maio de 2000 – Lei de Responsabilidade Fiscal (LRF)</w:t>
      </w:r>
      <w:r>
        <w:rPr>
          <w:rStyle w:val="Refdenotaderodap"/>
          <w:rFonts w:ascii="Arial" w:hAnsi="Arial" w:cs="Arial"/>
          <w:sz w:val="24"/>
          <w:szCs w:val="24"/>
        </w:rPr>
        <w:footnoteReference w:id="11"/>
      </w:r>
      <w:r>
        <w:rPr>
          <w:rFonts w:ascii="Arial" w:hAnsi="Arial" w:cs="Arial"/>
          <w:sz w:val="24"/>
          <w:szCs w:val="24"/>
        </w:rPr>
        <w:t xml:space="preserve">. </w:t>
      </w:r>
    </w:p>
    <w:p w14:paraId="664130C3" w14:textId="77777777" w:rsidR="0053472D" w:rsidRDefault="0053472D" w:rsidP="008827FB">
      <w:pPr>
        <w:spacing w:before="120" w:after="0" w:line="240" w:lineRule="auto"/>
        <w:ind w:firstLine="1134"/>
        <w:jc w:val="both"/>
        <w:rPr>
          <w:rFonts w:ascii="Arial" w:hAnsi="Arial" w:cs="Arial"/>
          <w:sz w:val="24"/>
          <w:szCs w:val="24"/>
        </w:rPr>
      </w:pPr>
      <w:r w:rsidRPr="38E92563">
        <w:rPr>
          <w:rFonts w:ascii="Arial" w:hAnsi="Arial" w:cs="Arial"/>
          <w:sz w:val="24"/>
          <w:szCs w:val="24"/>
        </w:rPr>
        <w:t xml:space="preserve"> Importante destacar que, nos termos do inciso I do artigo 156 da Constituição Federal, aos municípios compete instituir impostos sobre a propriedade predial e territorial urbana. </w:t>
      </w:r>
      <w:r>
        <w:rPr>
          <w:rFonts w:ascii="Arial" w:hAnsi="Arial" w:cs="Arial"/>
          <w:sz w:val="24"/>
          <w:szCs w:val="24"/>
        </w:rPr>
        <w:t xml:space="preserve">Assim sendo, cabe ao município observar o art. 33 do CTN, segundo o qual a base de cálculo do IPTU é o valor venal do imóvel. </w:t>
      </w:r>
    </w:p>
    <w:p w14:paraId="6DF8A824" w14:textId="77777777"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E o valor venal, conforme entendimento consolidado em doutrina, é o valor que o imóvel alcançaria em operações de compra e venda à vista, em condições normais de mercado</w:t>
      </w:r>
      <w:r>
        <w:rPr>
          <w:rStyle w:val="Refdenotaderodap"/>
          <w:rFonts w:ascii="Arial" w:hAnsi="Arial" w:cs="Arial"/>
          <w:sz w:val="24"/>
          <w:szCs w:val="24"/>
        </w:rPr>
        <w:footnoteReference w:id="12"/>
      </w:r>
      <w:r>
        <w:rPr>
          <w:rFonts w:ascii="Arial" w:hAnsi="Arial" w:cs="Arial"/>
          <w:sz w:val="24"/>
          <w:szCs w:val="24"/>
        </w:rPr>
        <w:t>.</w:t>
      </w:r>
    </w:p>
    <w:p w14:paraId="77575E38" w14:textId="77777777"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 xml:space="preserve">Portanto, o ente municipal deve estar atento às diretrizes do §1º do art. 30 da Portaria Ministerial nº 511/2009 - </w:t>
      </w:r>
      <w:proofErr w:type="spellStart"/>
      <w:r>
        <w:rPr>
          <w:rFonts w:ascii="Arial" w:hAnsi="Arial" w:cs="Arial"/>
          <w:sz w:val="24"/>
          <w:szCs w:val="24"/>
        </w:rPr>
        <w:t>MCid</w:t>
      </w:r>
      <w:proofErr w:type="spellEnd"/>
      <w:r>
        <w:rPr>
          <w:rStyle w:val="Refdenotaderodap"/>
          <w:rFonts w:ascii="Arial" w:hAnsi="Arial" w:cs="Arial"/>
          <w:sz w:val="24"/>
          <w:szCs w:val="24"/>
        </w:rPr>
        <w:footnoteReference w:id="13"/>
      </w:r>
      <w:r>
        <w:rPr>
          <w:rFonts w:ascii="Arial" w:hAnsi="Arial" w:cs="Arial"/>
          <w:sz w:val="24"/>
          <w:szCs w:val="24"/>
        </w:rPr>
        <w:t xml:space="preserve">, em que se estabelece que a atividade de avaliação dos imóveis e a necessidade de manter os seus valores atualizados cabe ao administrador municipal, que tem na revisão periódica da PGV o instrumental apto para atender a essa diretriz. </w:t>
      </w:r>
    </w:p>
    <w:p w14:paraId="6DC66EF8" w14:textId="7AA380E3" w:rsidR="0053472D" w:rsidRDefault="0053472D" w:rsidP="008827FB">
      <w:pPr>
        <w:spacing w:before="120" w:after="0" w:line="240" w:lineRule="auto"/>
        <w:ind w:firstLine="1134"/>
        <w:jc w:val="both"/>
        <w:rPr>
          <w:rFonts w:ascii="Arial" w:hAnsi="Arial" w:cs="Arial"/>
        </w:rPr>
      </w:pPr>
    </w:p>
    <w:p w14:paraId="303F58FB" w14:textId="77777777" w:rsidR="0053472D" w:rsidRPr="00820B7C" w:rsidRDefault="0053472D" w:rsidP="008827FB">
      <w:pPr>
        <w:spacing w:before="120" w:after="0" w:line="240" w:lineRule="auto"/>
        <w:jc w:val="center"/>
        <w:rPr>
          <w:rFonts w:ascii="Arial" w:hAnsi="Arial" w:cs="Arial"/>
          <w:b/>
          <w:bCs/>
          <w:sz w:val="24"/>
          <w:szCs w:val="24"/>
        </w:rPr>
      </w:pPr>
      <w:r w:rsidRPr="3EED2A0B">
        <w:rPr>
          <w:rFonts w:ascii="Arial" w:hAnsi="Arial" w:cs="Arial"/>
          <w:b/>
          <w:bCs/>
          <w:sz w:val="24"/>
          <w:szCs w:val="24"/>
        </w:rPr>
        <w:t>CONCLUSÃO</w:t>
      </w:r>
    </w:p>
    <w:p w14:paraId="68446C81" w14:textId="6F391FF1" w:rsidR="0053472D" w:rsidRPr="00FC287E" w:rsidRDefault="0053472D" w:rsidP="008827FB">
      <w:pPr>
        <w:spacing w:before="120" w:after="0" w:line="240" w:lineRule="auto"/>
        <w:ind w:firstLine="1134"/>
        <w:jc w:val="both"/>
        <w:rPr>
          <w:rFonts w:ascii="Arial" w:hAnsi="Arial" w:cs="Arial"/>
          <w:sz w:val="24"/>
          <w:szCs w:val="24"/>
        </w:rPr>
      </w:pPr>
      <w:r w:rsidRPr="00FC287E">
        <w:rPr>
          <w:rFonts w:ascii="Arial" w:hAnsi="Arial" w:cs="Arial"/>
          <w:sz w:val="24"/>
          <w:szCs w:val="24"/>
        </w:rPr>
        <w:t xml:space="preserve">Pelo exposto, em face das observações acima colocadas, das auditorias </w:t>
      </w:r>
      <w:r w:rsidR="00926349" w:rsidRPr="00926349">
        <w:rPr>
          <w:rFonts w:ascii="Arial" w:hAnsi="Arial" w:cs="Arial"/>
          <w:sz w:val="24"/>
          <w:szCs w:val="24"/>
        </w:rPr>
        <w:t>realizadas e</w:t>
      </w:r>
      <w:r w:rsidRPr="00926349">
        <w:rPr>
          <w:rFonts w:ascii="Arial" w:hAnsi="Arial" w:cs="Arial"/>
          <w:sz w:val="24"/>
          <w:szCs w:val="24"/>
        </w:rPr>
        <w:t xml:space="preserve"> tendo por base </w:t>
      </w:r>
      <w:r w:rsidR="00A840D4">
        <w:rPr>
          <w:rFonts w:ascii="Arial" w:hAnsi="Arial" w:cs="Arial"/>
          <w:sz w:val="24"/>
          <w:szCs w:val="24"/>
        </w:rPr>
        <w:t>a</w:t>
      </w:r>
      <w:r w:rsidR="00926349">
        <w:rPr>
          <w:rFonts w:ascii="Arial" w:hAnsi="Arial" w:cs="Arial"/>
          <w:sz w:val="24"/>
          <w:szCs w:val="24"/>
        </w:rPr>
        <w:t xml:space="preserve"> expedição do Acórdão nº 508/22 – Tribunal Pleno, do Processo de Homologação de Recomendação nº 697680/21, </w:t>
      </w:r>
      <w:r w:rsidRPr="00FC287E">
        <w:rPr>
          <w:rFonts w:ascii="Arial" w:hAnsi="Arial" w:cs="Arial"/>
          <w:sz w:val="24"/>
          <w:szCs w:val="24"/>
        </w:rPr>
        <w:t>essa Coordenadoria – Geral de Fiscalização, no intuito de contribuir com as boas práticas na atividade de gestão fiscal dos municípios</w:t>
      </w:r>
      <w:r w:rsidRPr="00FC287E">
        <w:rPr>
          <w:rFonts w:ascii="Arial" w:hAnsi="Arial" w:cs="Arial"/>
          <w:b/>
          <w:bCs/>
          <w:sz w:val="24"/>
          <w:szCs w:val="24"/>
        </w:rPr>
        <w:t>, emite entendimento</w:t>
      </w:r>
      <w:r w:rsidRPr="00FC287E">
        <w:rPr>
          <w:rFonts w:ascii="Arial" w:hAnsi="Arial" w:cs="Arial"/>
          <w:sz w:val="24"/>
          <w:szCs w:val="24"/>
        </w:rPr>
        <w:t xml:space="preserve"> no sentido de que </w:t>
      </w:r>
      <w:r w:rsidRPr="00FC287E">
        <w:rPr>
          <w:rFonts w:ascii="Arial" w:hAnsi="Arial" w:cs="Arial"/>
          <w:b/>
          <w:bCs/>
          <w:sz w:val="24"/>
          <w:szCs w:val="24"/>
        </w:rPr>
        <w:t>é relevante</w:t>
      </w:r>
      <w:r w:rsidRPr="00FC287E">
        <w:rPr>
          <w:rFonts w:ascii="Arial" w:hAnsi="Arial" w:cs="Arial"/>
          <w:sz w:val="24"/>
          <w:szCs w:val="24"/>
        </w:rPr>
        <w:t xml:space="preserve"> que os titulares do Poder Executivo dos Municípios do Estado do Paraná adotem as providências necessárias para a revisão periódica da PGV utilizada para subsidiar o cálculo do IPTU, em consonância com o disposto no do §1º do artigo 30 da Portaria Ministerial nº 511/2009 – </w:t>
      </w:r>
      <w:proofErr w:type="spellStart"/>
      <w:r w:rsidRPr="00FC287E">
        <w:rPr>
          <w:rFonts w:ascii="Arial" w:hAnsi="Arial" w:cs="Arial"/>
          <w:sz w:val="24"/>
          <w:szCs w:val="24"/>
        </w:rPr>
        <w:t>MCid</w:t>
      </w:r>
      <w:proofErr w:type="spellEnd"/>
      <w:r w:rsidRPr="00FC287E">
        <w:rPr>
          <w:rStyle w:val="Refdenotaderodap"/>
          <w:rFonts w:ascii="Arial" w:hAnsi="Arial" w:cs="Arial"/>
          <w:sz w:val="24"/>
          <w:szCs w:val="24"/>
        </w:rPr>
        <w:footnoteReference w:id="14"/>
      </w:r>
      <w:r w:rsidRPr="00FC287E">
        <w:rPr>
          <w:rFonts w:ascii="Arial" w:hAnsi="Arial" w:cs="Arial"/>
          <w:sz w:val="24"/>
          <w:szCs w:val="24"/>
        </w:rPr>
        <w:t>.</w:t>
      </w:r>
    </w:p>
    <w:p w14:paraId="2403818F" w14:textId="77777777"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lastRenderedPageBreak/>
        <w:t xml:space="preserve">Nesse sentido, vale reforçar que a avaliação de imóveis, a ser realizada para a atualização das PGV, é um processo técnico que necessita ser transparente, estar em conformidade com as normas da Associação Brasileira de Normas Técnicas (ABNT) e fornecer ao município o valor venal, entendido esse como a conjugação do valor de mercado, que é a base de cálculo do IPTU, conforme entendimento consolidado no artigo 29 da Portaria Ministerial nº 511/2009 – </w:t>
      </w:r>
      <w:proofErr w:type="spellStart"/>
      <w:r>
        <w:rPr>
          <w:rFonts w:ascii="Arial" w:hAnsi="Arial" w:cs="Arial"/>
          <w:sz w:val="24"/>
          <w:szCs w:val="24"/>
        </w:rPr>
        <w:t>MCid</w:t>
      </w:r>
      <w:proofErr w:type="spellEnd"/>
      <w:r>
        <w:rPr>
          <w:rStyle w:val="Refdenotaderodap"/>
          <w:rFonts w:ascii="Arial" w:hAnsi="Arial" w:cs="Arial"/>
          <w:sz w:val="24"/>
          <w:szCs w:val="24"/>
        </w:rPr>
        <w:footnoteReference w:id="15"/>
      </w:r>
      <w:r>
        <w:rPr>
          <w:rFonts w:ascii="Arial" w:hAnsi="Arial" w:cs="Arial"/>
          <w:sz w:val="24"/>
          <w:szCs w:val="24"/>
        </w:rPr>
        <w:t xml:space="preserve">. </w:t>
      </w:r>
    </w:p>
    <w:p w14:paraId="358E059E" w14:textId="77777777"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 xml:space="preserve">E se espera que o resultado dessa avaliação espelhe a real situação dos valores dos imóveis no mercado, permitindo o fortalecimento da arrecadação local dos tributos imobiliários e a promoção da justiça fiscal e social com o tratamento isonômico dos contribuintes, nos termos do artigo 30, </w:t>
      </w:r>
      <w:r w:rsidRPr="01A57237">
        <w:rPr>
          <w:rFonts w:ascii="Arial" w:hAnsi="Arial" w:cs="Arial"/>
          <w:i/>
          <w:iCs/>
          <w:sz w:val="24"/>
          <w:szCs w:val="24"/>
        </w:rPr>
        <w:t>caput</w:t>
      </w:r>
      <w:r>
        <w:rPr>
          <w:rFonts w:ascii="Arial" w:hAnsi="Arial" w:cs="Arial"/>
          <w:sz w:val="24"/>
          <w:szCs w:val="24"/>
        </w:rPr>
        <w:t xml:space="preserve">, da Portaria Ministerial nº 511/2022 – </w:t>
      </w:r>
      <w:proofErr w:type="spellStart"/>
      <w:r>
        <w:rPr>
          <w:rFonts w:ascii="Arial" w:hAnsi="Arial" w:cs="Arial"/>
          <w:sz w:val="24"/>
          <w:szCs w:val="24"/>
        </w:rPr>
        <w:t>MCid</w:t>
      </w:r>
      <w:proofErr w:type="spellEnd"/>
      <w:r>
        <w:rPr>
          <w:rStyle w:val="Refdenotaderodap"/>
          <w:rFonts w:ascii="Arial" w:hAnsi="Arial" w:cs="Arial"/>
          <w:sz w:val="24"/>
          <w:szCs w:val="24"/>
        </w:rPr>
        <w:footnoteReference w:id="16"/>
      </w:r>
      <w:r>
        <w:rPr>
          <w:rFonts w:ascii="Arial" w:hAnsi="Arial" w:cs="Arial"/>
          <w:sz w:val="24"/>
          <w:szCs w:val="24"/>
        </w:rPr>
        <w:t xml:space="preserve">. </w:t>
      </w:r>
    </w:p>
    <w:p w14:paraId="247A60DB" w14:textId="77777777"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 xml:space="preserve">Assim, conforme orientação das recomendações do §2º do artigo 30 da Portaria Ministerial nº 511/2009 – </w:t>
      </w:r>
      <w:proofErr w:type="spellStart"/>
      <w:r>
        <w:rPr>
          <w:rFonts w:ascii="Arial" w:hAnsi="Arial" w:cs="Arial"/>
          <w:sz w:val="24"/>
          <w:szCs w:val="24"/>
        </w:rPr>
        <w:t>MCid</w:t>
      </w:r>
      <w:proofErr w:type="spellEnd"/>
      <w:r>
        <w:rPr>
          <w:rStyle w:val="Refdenotaderodap"/>
          <w:rFonts w:ascii="Arial" w:hAnsi="Arial" w:cs="Arial"/>
          <w:sz w:val="24"/>
          <w:szCs w:val="24"/>
        </w:rPr>
        <w:footnoteReference w:id="17"/>
      </w:r>
      <w:r>
        <w:rPr>
          <w:rFonts w:ascii="Arial" w:hAnsi="Arial" w:cs="Arial"/>
          <w:sz w:val="24"/>
          <w:szCs w:val="24"/>
        </w:rPr>
        <w:t xml:space="preserve">, relativamente aos municípios com população superior a 20.000 (vinte mil) habitantes, </w:t>
      </w:r>
      <w:r w:rsidRPr="009656A1">
        <w:rPr>
          <w:rFonts w:ascii="Arial" w:hAnsi="Arial" w:cs="Arial"/>
          <w:b/>
          <w:bCs/>
          <w:sz w:val="24"/>
          <w:szCs w:val="24"/>
        </w:rPr>
        <w:t xml:space="preserve">sugere-se </w:t>
      </w:r>
      <w:r w:rsidRPr="00B47292">
        <w:rPr>
          <w:rFonts w:ascii="Arial" w:hAnsi="Arial" w:cs="Arial"/>
          <w:sz w:val="24"/>
          <w:szCs w:val="24"/>
        </w:rPr>
        <w:t>que</w:t>
      </w:r>
      <w:r>
        <w:rPr>
          <w:rFonts w:ascii="Arial" w:hAnsi="Arial" w:cs="Arial"/>
          <w:sz w:val="24"/>
          <w:szCs w:val="24"/>
        </w:rPr>
        <w:t xml:space="preserve"> o ciclo de avaliação dos imóveis ocorra, no máximo, a cada 4 (quatro) anos. </w:t>
      </w:r>
    </w:p>
    <w:p w14:paraId="05E27EF7" w14:textId="77777777"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 xml:space="preserve">E no que diz respeito aos municípios com população até 20.000 (vinte mil) habitantes e em que não ocorra evidência de variação significativa nos valores dos imóveis, comprovada por meio de relatórios e pareceres técnicos, </w:t>
      </w:r>
      <w:r w:rsidRPr="00B47292">
        <w:rPr>
          <w:rFonts w:ascii="Arial" w:hAnsi="Arial" w:cs="Arial"/>
          <w:b/>
          <w:bCs/>
          <w:sz w:val="24"/>
          <w:szCs w:val="24"/>
        </w:rPr>
        <w:t xml:space="preserve">a CGF entende </w:t>
      </w:r>
      <w:r w:rsidRPr="00B47292">
        <w:rPr>
          <w:rFonts w:ascii="Arial" w:hAnsi="Arial" w:cs="Arial"/>
          <w:sz w:val="24"/>
          <w:szCs w:val="24"/>
        </w:rPr>
        <w:t>que a avaliação poderá ser dispensada</w:t>
      </w:r>
      <w:r>
        <w:rPr>
          <w:rFonts w:ascii="Arial" w:hAnsi="Arial" w:cs="Arial"/>
          <w:sz w:val="24"/>
          <w:szCs w:val="24"/>
        </w:rPr>
        <w:t xml:space="preserve">, de forma motivada, no período de um ciclo, desde que observado o limite máximo de 8 (oito) anos, nos termos das recomendações do §3º do artigo 30 da Portaria Ministerial nº 511/2009 – </w:t>
      </w:r>
      <w:proofErr w:type="spellStart"/>
      <w:r>
        <w:rPr>
          <w:rFonts w:ascii="Arial" w:hAnsi="Arial" w:cs="Arial"/>
          <w:sz w:val="24"/>
          <w:szCs w:val="24"/>
        </w:rPr>
        <w:t>MCid</w:t>
      </w:r>
      <w:proofErr w:type="spellEnd"/>
      <w:r>
        <w:rPr>
          <w:rStyle w:val="Refdenotaderodap"/>
          <w:rFonts w:ascii="Arial" w:hAnsi="Arial" w:cs="Arial"/>
          <w:sz w:val="24"/>
          <w:szCs w:val="24"/>
        </w:rPr>
        <w:footnoteReference w:id="18"/>
      </w:r>
      <w:r>
        <w:rPr>
          <w:rFonts w:ascii="Arial" w:hAnsi="Arial" w:cs="Arial"/>
          <w:sz w:val="24"/>
          <w:szCs w:val="24"/>
        </w:rPr>
        <w:t>.</w:t>
      </w:r>
    </w:p>
    <w:p w14:paraId="5D2D6F31" w14:textId="77777777" w:rsidR="0053472D" w:rsidRDefault="0053472D" w:rsidP="008827FB">
      <w:pPr>
        <w:spacing w:before="120" w:after="0" w:line="240" w:lineRule="auto"/>
        <w:ind w:firstLine="1134"/>
        <w:jc w:val="both"/>
        <w:rPr>
          <w:rFonts w:ascii="Arial" w:hAnsi="Arial" w:cs="Arial"/>
          <w:sz w:val="24"/>
          <w:szCs w:val="24"/>
        </w:rPr>
      </w:pPr>
      <w:r>
        <w:rPr>
          <w:rFonts w:ascii="Arial" w:hAnsi="Arial" w:cs="Arial"/>
          <w:sz w:val="24"/>
          <w:szCs w:val="24"/>
        </w:rPr>
        <w:t xml:space="preserve">Por fim, quanto à verificação da atualidade dos valores venais dos imóveis constantes das PGV, consoante recomendação do §4º do artigo 30 da Portaria nº 511/2009 </w:t>
      </w:r>
      <w:proofErr w:type="spellStart"/>
      <w:r>
        <w:rPr>
          <w:rFonts w:ascii="Arial" w:hAnsi="Arial" w:cs="Arial"/>
          <w:sz w:val="24"/>
          <w:szCs w:val="24"/>
        </w:rPr>
        <w:t>MCid</w:t>
      </w:r>
      <w:proofErr w:type="spellEnd"/>
      <w:r>
        <w:rPr>
          <w:rStyle w:val="Refdenotaderodap"/>
          <w:rFonts w:ascii="Arial" w:hAnsi="Arial" w:cs="Arial"/>
          <w:sz w:val="24"/>
          <w:szCs w:val="24"/>
        </w:rPr>
        <w:footnoteReference w:id="19"/>
      </w:r>
      <w:r>
        <w:rPr>
          <w:rFonts w:ascii="Arial" w:hAnsi="Arial" w:cs="Arial"/>
          <w:sz w:val="24"/>
          <w:szCs w:val="24"/>
        </w:rPr>
        <w:t xml:space="preserve">, </w:t>
      </w:r>
      <w:r w:rsidRPr="00B7663A">
        <w:rPr>
          <w:rFonts w:ascii="Arial" w:hAnsi="Arial" w:cs="Arial"/>
          <w:b/>
          <w:bCs/>
          <w:sz w:val="24"/>
          <w:szCs w:val="24"/>
        </w:rPr>
        <w:t>entende essa CGF</w:t>
      </w:r>
      <w:r>
        <w:rPr>
          <w:rFonts w:ascii="Arial" w:hAnsi="Arial" w:cs="Arial"/>
          <w:sz w:val="24"/>
          <w:szCs w:val="24"/>
        </w:rPr>
        <w:t xml:space="preserve"> que o nível de avaliação será definido como a média dos quocientes dos valores avaliados, conforme constam no cadastro fiscal, em relação aos preços praticados no mercado para cada tipo de imóvel. Assim, a ocorrência de nível de avaliação para cada tipo de imóvel inferior a 70% (setenta por cento) ou acima de 100% (cem por cento) significará a necessidade de atualização de valores. </w:t>
      </w:r>
    </w:p>
    <w:p w14:paraId="7A17A2EE" w14:textId="77777777" w:rsidR="0053472D" w:rsidRPr="009D7D0B" w:rsidRDefault="0053472D" w:rsidP="008827FB">
      <w:pPr>
        <w:spacing w:before="120" w:after="0" w:line="240" w:lineRule="auto"/>
        <w:ind w:firstLine="1134"/>
        <w:jc w:val="both"/>
        <w:rPr>
          <w:rFonts w:ascii="Arial" w:hAnsi="Arial" w:cs="Arial"/>
          <w:sz w:val="24"/>
          <w:szCs w:val="24"/>
        </w:rPr>
      </w:pPr>
      <w:r w:rsidRPr="51D9E3C7">
        <w:rPr>
          <w:rFonts w:ascii="Arial" w:hAnsi="Arial" w:cs="Arial"/>
          <w:sz w:val="24"/>
          <w:szCs w:val="24"/>
        </w:rPr>
        <w:t xml:space="preserve">É o entendimento. </w:t>
      </w:r>
    </w:p>
    <w:p w14:paraId="77D27FB7" w14:textId="77777777" w:rsidR="0053472D" w:rsidRDefault="0053472D" w:rsidP="008827FB">
      <w:pPr>
        <w:spacing w:before="120" w:after="0" w:line="240" w:lineRule="auto"/>
        <w:ind w:firstLine="1134"/>
        <w:jc w:val="both"/>
        <w:rPr>
          <w:rFonts w:ascii="Arial" w:hAnsi="Arial" w:cs="Arial"/>
        </w:rPr>
      </w:pPr>
    </w:p>
    <w:p w14:paraId="34C1CB83" w14:textId="0F1DF78E" w:rsidR="0053472D" w:rsidRPr="001A2D37" w:rsidRDefault="0053472D" w:rsidP="0053472D">
      <w:pPr>
        <w:spacing w:after="0" w:line="288" w:lineRule="auto"/>
        <w:jc w:val="center"/>
        <w:rPr>
          <w:rFonts w:ascii="Arial" w:eastAsia="Arial" w:hAnsi="Arial" w:cs="Arial"/>
          <w:color w:val="000000" w:themeColor="text1"/>
          <w:sz w:val="24"/>
          <w:szCs w:val="24"/>
        </w:rPr>
      </w:pPr>
      <w:r w:rsidRPr="51D9E3C7">
        <w:rPr>
          <w:rFonts w:ascii="Arial" w:eastAsia="Arial" w:hAnsi="Arial" w:cs="Arial"/>
          <w:color w:val="000000" w:themeColor="text1"/>
          <w:sz w:val="24"/>
          <w:szCs w:val="24"/>
        </w:rPr>
        <w:t xml:space="preserve">CGF, </w:t>
      </w:r>
      <w:r w:rsidR="007114B4">
        <w:rPr>
          <w:rFonts w:ascii="Arial" w:eastAsia="Arial" w:hAnsi="Arial" w:cs="Arial"/>
          <w:color w:val="000000" w:themeColor="text1"/>
          <w:sz w:val="24"/>
          <w:szCs w:val="24"/>
        </w:rPr>
        <w:t xml:space="preserve">18 </w:t>
      </w:r>
      <w:r w:rsidRPr="51D9E3C7">
        <w:rPr>
          <w:rFonts w:ascii="Arial" w:eastAsia="Arial" w:hAnsi="Arial" w:cs="Arial"/>
          <w:color w:val="000000" w:themeColor="text1"/>
          <w:sz w:val="24"/>
          <w:szCs w:val="24"/>
        </w:rPr>
        <w:t xml:space="preserve">de </w:t>
      </w:r>
      <w:r w:rsidR="007114B4">
        <w:rPr>
          <w:rFonts w:ascii="Arial" w:eastAsia="Arial" w:hAnsi="Arial" w:cs="Arial"/>
          <w:color w:val="000000" w:themeColor="text1"/>
          <w:sz w:val="24"/>
          <w:szCs w:val="24"/>
        </w:rPr>
        <w:t xml:space="preserve">julho </w:t>
      </w:r>
      <w:r w:rsidRPr="51D9E3C7">
        <w:rPr>
          <w:rFonts w:ascii="Arial" w:eastAsia="Arial" w:hAnsi="Arial" w:cs="Arial"/>
          <w:color w:val="000000" w:themeColor="text1"/>
          <w:sz w:val="24"/>
          <w:szCs w:val="24"/>
        </w:rPr>
        <w:t xml:space="preserve">de </w:t>
      </w:r>
      <w:r w:rsidR="007114B4">
        <w:rPr>
          <w:rFonts w:ascii="Arial" w:eastAsia="Arial" w:hAnsi="Arial" w:cs="Arial"/>
          <w:color w:val="000000" w:themeColor="text1"/>
          <w:sz w:val="24"/>
          <w:szCs w:val="24"/>
        </w:rPr>
        <w:t>2022</w:t>
      </w:r>
      <w:r w:rsidRPr="51D9E3C7">
        <w:rPr>
          <w:rFonts w:ascii="Arial" w:eastAsia="Arial" w:hAnsi="Arial" w:cs="Arial"/>
          <w:color w:val="000000" w:themeColor="text1"/>
          <w:sz w:val="24"/>
          <w:szCs w:val="24"/>
        </w:rPr>
        <w:t>.</w:t>
      </w:r>
    </w:p>
    <w:p w14:paraId="09A93F4E" w14:textId="4EB1894B" w:rsidR="0053472D" w:rsidRDefault="0053472D" w:rsidP="0053472D">
      <w:pPr>
        <w:spacing w:after="0" w:line="288" w:lineRule="auto"/>
        <w:jc w:val="center"/>
        <w:rPr>
          <w:rFonts w:ascii="Arial" w:eastAsia="Arial" w:hAnsi="Arial" w:cs="Arial"/>
          <w:color w:val="000000" w:themeColor="text1"/>
          <w:sz w:val="24"/>
          <w:szCs w:val="24"/>
        </w:rPr>
      </w:pPr>
    </w:p>
    <w:p w14:paraId="2EFD83AE" w14:textId="77777777" w:rsidR="0004061A" w:rsidRPr="001A2D37" w:rsidRDefault="0004061A" w:rsidP="0053472D">
      <w:pPr>
        <w:spacing w:after="0" w:line="288" w:lineRule="auto"/>
        <w:jc w:val="center"/>
        <w:rPr>
          <w:rFonts w:ascii="Arial" w:eastAsia="Arial" w:hAnsi="Arial" w:cs="Arial"/>
          <w:color w:val="000000" w:themeColor="text1"/>
          <w:sz w:val="24"/>
          <w:szCs w:val="24"/>
        </w:rPr>
      </w:pPr>
    </w:p>
    <w:p w14:paraId="3CEE373A" w14:textId="77777777" w:rsidR="0053472D" w:rsidRPr="001A2D37" w:rsidRDefault="0053472D" w:rsidP="0053472D">
      <w:pPr>
        <w:spacing w:after="0" w:line="288" w:lineRule="auto"/>
        <w:jc w:val="center"/>
        <w:rPr>
          <w:rFonts w:ascii="Arial" w:eastAsia="Arial" w:hAnsi="Arial" w:cs="Arial"/>
          <w:color w:val="000000" w:themeColor="text1"/>
          <w:sz w:val="24"/>
          <w:szCs w:val="24"/>
        </w:rPr>
      </w:pPr>
      <w:r w:rsidRPr="51D9E3C7">
        <w:rPr>
          <w:rFonts w:ascii="Arial" w:eastAsia="Arial" w:hAnsi="Arial" w:cs="Arial"/>
          <w:color w:val="000000" w:themeColor="text1"/>
          <w:sz w:val="24"/>
          <w:szCs w:val="24"/>
        </w:rPr>
        <w:t>-assinatura digital-</w:t>
      </w:r>
    </w:p>
    <w:p w14:paraId="19C98623" w14:textId="25F9E044" w:rsidR="0053472D" w:rsidRPr="0004061A" w:rsidRDefault="0053472D" w:rsidP="0053472D">
      <w:pPr>
        <w:spacing w:after="0" w:line="240" w:lineRule="auto"/>
        <w:jc w:val="center"/>
        <w:rPr>
          <w:rFonts w:ascii="Arial" w:eastAsia="Arial" w:hAnsi="Arial" w:cs="Arial"/>
          <w:b/>
          <w:bCs/>
          <w:color w:val="000000" w:themeColor="text1"/>
          <w:sz w:val="24"/>
          <w:szCs w:val="24"/>
        </w:rPr>
      </w:pPr>
      <w:r w:rsidRPr="0004061A">
        <w:rPr>
          <w:rFonts w:ascii="Arial" w:eastAsia="Arial" w:hAnsi="Arial" w:cs="Arial"/>
          <w:b/>
          <w:bCs/>
          <w:color w:val="000000" w:themeColor="text1"/>
          <w:sz w:val="24"/>
          <w:szCs w:val="24"/>
        </w:rPr>
        <w:t>VIVIANÉLI ARAUJO PRESTES</w:t>
      </w:r>
    </w:p>
    <w:p w14:paraId="5534E882" w14:textId="0A4DE44A" w:rsidR="007D49D2" w:rsidRDefault="0053472D" w:rsidP="0004061A">
      <w:pPr>
        <w:spacing w:after="0" w:line="240" w:lineRule="auto"/>
        <w:jc w:val="center"/>
        <w:rPr>
          <w:rFonts w:ascii="Arial" w:hAnsi="Arial" w:cs="Arial"/>
          <w:sz w:val="24"/>
          <w:szCs w:val="24"/>
        </w:rPr>
      </w:pPr>
      <w:r w:rsidRPr="51D9E3C7">
        <w:rPr>
          <w:rFonts w:ascii="Arial" w:eastAsia="Arial" w:hAnsi="Arial" w:cs="Arial"/>
          <w:color w:val="000000" w:themeColor="text1"/>
          <w:sz w:val="24"/>
          <w:szCs w:val="24"/>
        </w:rPr>
        <w:t>Coordenadora-Geral de Fiscalização</w:t>
      </w:r>
    </w:p>
    <w:sectPr w:rsidR="007D49D2" w:rsidSect="0007518F">
      <w:footnotePr>
        <w:numRestart w:val="eachSect"/>
      </w:footnotePr>
      <w:type w:val="continuous"/>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F74BD" w14:textId="77777777" w:rsidR="00652659" w:rsidRDefault="00652659" w:rsidP="007D49D2">
      <w:pPr>
        <w:spacing w:after="0" w:line="240" w:lineRule="auto"/>
      </w:pPr>
      <w:r>
        <w:separator/>
      </w:r>
    </w:p>
  </w:endnote>
  <w:endnote w:type="continuationSeparator" w:id="0">
    <w:p w14:paraId="5DCEA035" w14:textId="77777777" w:rsidR="00652659" w:rsidRDefault="00652659" w:rsidP="007D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93A8" w14:textId="77777777" w:rsidR="00652659" w:rsidRDefault="00652659" w:rsidP="007D49D2">
      <w:pPr>
        <w:spacing w:after="0" w:line="240" w:lineRule="auto"/>
      </w:pPr>
      <w:r>
        <w:separator/>
      </w:r>
    </w:p>
  </w:footnote>
  <w:footnote w:type="continuationSeparator" w:id="0">
    <w:p w14:paraId="70300571" w14:textId="77777777" w:rsidR="00652659" w:rsidRDefault="00652659" w:rsidP="007D49D2">
      <w:pPr>
        <w:spacing w:after="0" w:line="240" w:lineRule="auto"/>
      </w:pPr>
      <w:r>
        <w:continuationSeparator/>
      </w:r>
    </w:p>
  </w:footnote>
  <w:footnote w:id="1">
    <w:p w14:paraId="705DA50C" w14:textId="77777777" w:rsidR="00833284" w:rsidRPr="00833284" w:rsidRDefault="0007518F" w:rsidP="00833284">
      <w:pPr>
        <w:pStyle w:val="Textodenotaderodap"/>
        <w:rPr>
          <w:rFonts w:ascii="Arial" w:hAnsi="Arial" w:cs="Arial"/>
          <w:sz w:val="18"/>
          <w:szCs w:val="18"/>
        </w:rPr>
      </w:pPr>
      <w:r w:rsidRPr="00833284">
        <w:rPr>
          <w:rStyle w:val="Refdenotaderodap"/>
          <w:rFonts w:ascii="Arial" w:hAnsi="Arial" w:cs="Arial"/>
          <w:sz w:val="18"/>
          <w:szCs w:val="18"/>
        </w:rPr>
        <w:footnoteRef/>
      </w:r>
      <w:r w:rsidRPr="00833284">
        <w:rPr>
          <w:rFonts w:ascii="Arial" w:hAnsi="Arial" w:cs="Arial"/>
          <w:sz w:val="18"/>
          <w:szCs w:val="18"/>
        </w:rPr>
        <w:t xml:space="preserve"> </w:t>
      </w:r>
      <w:r w:rsidR="00833284" w:rsidRPr="00833284">
        <w:rPr>
          <w:rFonts w:ascii="Arial" w:hAnsi="Arial" w:cs="Arial"/>
          <w:b/>
          <w:sz w:val="18"/>
          <w:szCs w:val="18"/>
        </w:rPr>
        <w:t>Nota da Biblioteca:</w:t>
      </w:r>
    </w:p>
    <w:p w14:paraId="5B49A9D7" w14:textId="5391AA3B" w:rsidR="0007518F" w:rsidRPr="00833284" w:rsidRDefault="00833284" w:rsidP="00A05E00">
      <w:pPr>
        <w:pStyle w:val="Textodenotaderodap"/>
        <w:ind w:left="142"/>
        <w:rPr>
          <w:rFonts w:ascii="Arial" w:hAnsi="Arial" w:cs="Arial"/>
          <w:sz w:val="18"/>
          <w:szCs w:val="18"/>
        </w:rPr>
      </w:pPr>
      <w:r w:rsidRPr="00833284">
        <w:rPr>
          <w:rFonts w:ascii="Arial" w:hAnsi="Arial" w:cs="Arial"/>
          <w:sz w:val="18"/>
          <w:szCs w:val="18"/>
        </w:rPr>
        <w:t xml:space="preserve">Este texto não substitui o publicado no periódico: </w:t>
      </w:r>
      <w:hyperlink r:id="rId1" w:history="1">
        <w:r w:rsidRPr="00833284">
          <w:rPr>
            <w:rStyle w:val="Hyperlink"/>
            <w:rFonts w:ascii="Arial" w:hAnsi="Arial" w:cs="Arial"/>
            <w:sz w:val="18"/>
            <w:szCs w:val="18"/>
          </w:rPr>
          <w:t>Diário Eletrônico do Tribunal de Contas do Estado do Paraná, Curitiba, PR, n. 2797, 21 jul. 2022, p. 29-31</w:t>
        </w:r>
      </w:hyperlink>
      <w:r w:rsidRPr="00833284">
        <w:rPr>
          <w:rFonts w:ascii="Arial" w:hAnsi="Arial" w:cs="Arial"/>
          <w:color w:val="0000FF"/>
          <w:sz w:val="18"/>
          <w:szCs w:val="18"/>
        </w:rPr>
        <w:t>.</w:t>
      </w:r>
    </w:p>
    <w:p w14:paraId="031783D0" w14:textId="20098DF0" w:rsidR="009D0B82" w:rsidRPr="00833284" w:rsidRDefault="00833284" w:rsidP="00833284">
      <w:pPr>
        <w:pStyle w:val="Textodenotaderodap"/>
        <w:rPr>
          <w:rFonts w:ascii="Arial" w:hAnsi="Arial" w:cs="Arial"/>
          <w:sz w:val="18"/>
          <w:szCs w:val="18"/>
        </w:rPr>
      </w:pPr>
      <w:r w:rsidRPr="00833284">
        <w:rPr>
          <w:rFonts w:ascii="Arial" w:hAnsi="Arial" w:cs="Arial"/>
          <w:sz w:val="18"/>
          <w:szCs w:val="18"/>
        </w:rPr>
        <w:t>_____________________________</w:t>
      </w:r>
    </w:p>
  </w:footnote>
  <w:footnote w:id="2">
    <w:p w14:paraId="4409F0A3" w14:textId="4F23E634" w:rsidR="00CA544B" w:rsidRDefault="00CA544B" w:rsidP="00A05E00">
      <w:pPr>
        <w:pStyle w:val="Textodenotaderodap"/>
        <w:ind w:left="142" w:hanging="142"/>
      </w:pPr>
      <w:r w:rsidRPr="00833284">
        <w:rPr>
          <w:rStyle w:val="Refdenotaderodap"/>
          <w:rFonts w:ascii="Arial" w:hAnsi="Arial" w:cs="Arial"/>
          <w:sz w:val="18"/>
          <w:szCs w:val="18"/>
        </w:rPr>
        <w:footnoteRef/>
      </w:r>
      <w:r w:rsidRPr="00833284">
        <w:rPr>
          <w:rFonts w:ascii="Arial" w:hAnsi="Arial" w:cs="Arial"/>
          <w:sz w:val="18"/>
          <w:szCs w:val="18"/>
        </w:rPr>
        <w:t xml:space="preserve"> </w:t>
      </w:r>
      <w:r w:rsidRPr="00833284">
        <w:rPr>
          <w:rFonts w:ascii="Arial" w:hAnsi="Arial" w:cs="Arial"/>
          <w:sz w:val="18"/>
          <w:szCs w:val="18"/>
        </w:rPr>
        <w:t xml:space="preserve">O Relatório de Fiscalização está disponível em: </w:t>
      </w:r>
      <w:hyperlink r:id="rId2" w:history="1">
        <w:r w:rsidRPr="00833284">
          <w:rPr>
            <w:rStyle w:val="Hyperlink"/>
            <w:rFonts w:ascii="Arial" w:hAnsi="Arial" w:cs="Arial"/>
            <w:sz w:val="18"/>
            <w:szCs w:val="18"/>
          </w:rPr>
          <w:t>Plano Anual de Fiscalização - PAF 2021 - Portal TCE-PR</w:t>
        </w:r>
      </w:hyperlink>
      <w:r w:rsidRPr="00833284">
        <w:rPr>
          <w:rFonts w:ascii="Arial" w:hAnsi="Arial" w:cs="Arial"/>
          <w:sz w:val="18"/>
          <w:szCs w:val="18"/>
        </w:rPr>
        <w:t xml:space="preserve"> Acesso em 09.05.2022.</w:t>
      </w:r>
    </w:p>
  </w:footnote>
  <w:footnote w:id="3">
    <w:p w14:paraId="34514EC5" w14:textId="7C72A604" w:rsidR="00591A1F" w:rsidRPr="00DD2029" w:rsidRDefault="00591A1F" w:rsidP="00DD2029">
      <w:pPr>
        <w:pStyle w:val="Textodenotaderodap"/>
        <w:ind w:left="142" w:hanging="142"/>
        <w:jc w:val="both"/>
        <w:rPr>
          <w:rFonts w:ascii="Arial" w:hAnsi="Arial" w:cs="Arial"/>
          <w:sz w:val="18"/>
          <w:szCs w:val="18"/>
        </w:rPr>
      </w:pPr>
      <w:r>
        <w:rPr>
          <w:rStyle w:val="Refdenotaderodap"/>
        </w:rPr>
        <w:footnoteRef/>
      </w:r>
      <w:r>
        <w:t xml:space="preserve"> </w:t>
      </w:r>
      <w:r w:rsidR="00804296" w:rsidRPr="00DD2029">
        <w:rPr>
          <w:rFonts w:ascii="Arial" w:hAnsi="Arial" w:cs="Arial"/>
          <w:sz w:val="18"/>
          <w:szCs w:val="18"/>
        </w:rPr>
        <w:t xml:space="preserve">CARVALHO JUNIOR, Pedro Humberto Bruno de.  Panorama do IPTU: Um Retrato da Administração Tributária em 53 Cidades Selecionadas. Rio de Janeiro: Ipea, 2018. (Texto para Discussão, n. 2.419). Disponível em: </w:t>
      </w:r>
      <w:hyperlink r:id="rId3" w:history="1">
        <w:r w:rsidR="00804296" w:rsidRPr="00DD2029">
          <w:rPr>
            <w:rStyle w:val="Hyperlink"/>
            <w:rFonts w:ascii="Arial" w:hAnsi="Arial" w:cs="Arial"/>
            <w:sz w:val="18"/>
            <w:szCs w:val="18"/>
          </w:rPr>
          <w:t>https://www.ipea.gov.br/portal/index.php?option=com_content&amp;view=article&amp;id=34366&amp;Itemid=433</w:t>
        </w:r>
      </w:hyperlink>
      <w:r w:rsidR="00804296" w:rsidRPr="00DD2029">
        <w:rPr>
          <w:rFonts w:ascii="Arial" w:hAnsi="Arial" w:cs="Arial"/>
          <w:sz w:val="18"/>
          <w:szCs w:val="18"/>
        </w:rPr>
        <w:t xml:space="preserve"> Acesso em 10.05.2022.</w:t>
      </w:r>
    </w:p>
  </w:footnote>
  <w:footnote w:id="4">
    <w:p w14:paraId="52E904FC" w14:textId="77777777" w:rsidR="007D49D2" w:rsidRPr="00DD2029" w:rsidRDefault="007D49D2" w:rsidP="00DD2029">
      <w:pPr>
        <w:pStyle w:val="Textodenotaderodap"/>
        <w:ind w:left="142" w:hanging="142"/>
        <w:jc w:val="both"/>
        <w:rPr>
          <w:rFonts w:ascii="Arial" w:hAnsi="Arial" w:cs="Arial"/>
          <w:sz w:val="18"/>
          <w:szCs w:val="18"/>
        </w:rPr>
      </w:pPr>
      <w:r w:rsidRPr="00DD2029">
        <w:rPr>
          <w:rStyle w:val="Refdenotaderodap"/>
          <w:rFonts w:ascii="Arial" w:hAnsi="Arial" w:cs="Arial"/>
          <w:sz w:val="18"/>
          <w:szCs w:val="18"/>
        </w:rPr>
        <w:footnoteRef/>
      </w:r>
      <w:r w:rsidRPr="00DD2029">
        <w:rPr>
          <w:rFonts w:ascii="Arial" w:hAnsi="Arial" w:cs="Arial"/>
          <w:sz w:val="18"/>
          <w:szCs w:val="18"/>
        </w:rPr>
        <w:t xml:space="preserve"> A mediana mostra o indicador equivalente ao percentil 50 de todos os municípios brasileiros. No entanto, o indicador global da “razão das médias”, ou seja, a divisão entre todo o IPTU arrecadado e toda a receita corrente municipal gerada no ano de 2016 (concentrando a arrecadação das grandes cidades) foi de 5,5%.  </w:t>
      </w:r>
      <w:r w:rsidRPr="00DD2029">
        <w:rPr>
          <w:rFonts w:ascii="Arial" w:hAnsi="Arial" w:cs="Arial"/>
          <w:i/>
          <w:iCs/>
          <w:sz w:val="18"/>
          <w:szCs w:val="18"/>
        </w:rPr>
        <w:t xml:space="preserve">In </w:t>
      </w:r>
      <w:r w:rsidRPr="00DD2029">
        <w:rPr>
          <w:rFonts w:ascii="Arial" w:hAnsi="Arial" w:cs="Arial"/>
          <w:sz w:val="18"/>
          <w:szCs w:val="18"/>
        </w:rPr>
        <w:t xml:space="preserve">Relatório de Fiscalização nº 75/2021- CAUD. Disponível em: </w:t>
      </w:r>
      <w:hyperlink r:id="rId4" w:history="1">
        <w:r w:rsidRPr="00DD2029">
          <w:rPr>
            <w:rStyle w:val="Hyperlink"/>
            <w:rFonts w:ascii="Arial" w:hAnsi="Arial" w:cs="Arial"/>
            <w:sz w:val="18"/>
            <w:szCs w:val="18"/>
          </w:rPr>
          <w:t>Plano Anual de Fiscalização - PAF 2021 - Portal TCE-PR</w:t>
        </w:r>
      </w:hyperlink>
      <w:r w:rsidRPr="00DD2029">
        <w:rPr>
          <w:rFonts w:ascii="Arial" w:hAnsi="Arial" w:cs="Arial"/>
          <w:sz w:val="18"/>
          <w:szCs w:val="18"/>
        </w:rPr>
        <w:t xml:space="preserve"> Acesso em 09.05.2022. </w:t>
      </w:r>
    </w:p>
  </w:footnote>
  <w:footnote w:id="5">
    <w:p w14:paraId="507110F0" w14:textId="77777777" w:rsidR="007D49D2" w:rsidRDefault="007D49D2" w:rsidP="00DD2029">
      <w:pPr>
        <w:pStyle w:val="Textodenotaderodap"/>
        <w:ind w:left="142" w:hanging="142"/>
        <w:jc w:val="both"/>
      </w:pPr>
      <w:r w:rsidRPr="00DD2029">
        <w:rPr>
          <w:rStyle w:val="Refdenotaderodap"/>
          <w:rFonts w:ascii="Arial" w:hAnsi="Arial" w:cs="Arial"/>
          <w:sz w:val="18"/>
          <w:szCs w:val="18"/>
        </w:rPr>
        <w:footnoteRef/>
      </w:r>
      <w:r w:rsidRPr="00DD2029">
        <w:rPr>
          <w:rFonts w:ascii="Arial" w:hAnsi="Arial" w:cs="Arial"/>
          <w:sz w:val="18"/>
          <w:szCs w:val="18"/>
        </w:rPr>
        <w:t xml:space="preserve"> CARVALHO JUNIOR, Pedro Humberto Bruno de. Op. cit.</w:t>
      </w:r>
      <w:r>
        <w:rPr>
          <w:rFonts w:ascii="Arial" w:hAnsi="Arial" w:cs="Arial"/>
        </w:rPr>
        <w:t xml:space="preserve"> </w:t>
      </w:r>
    </w:p>
  </w:footnote>
  <w:footnote w:id="6">
    <w:p w14:paraId="1CA3956A" w14:textId="77777777" w:rsidR="007D49D2" w:rsidRPr="003D33F7" w:rsidRDefault="007D49D2" w:rsidP="007D49D2">
      <w:pPr>
        <w:pStyle w:val="Textodenotaderodap"/>
        <w:jc w:val="both"/>
        <w:rPr>
          <w:rFonts w:ascii="Arial" w:hAnsi="Arial" w:cs="Arial"/>
          <w:sz w:val="18"/>
          <w:szCs w:val="18"/>
        </w:rPr>
      </w:pPr>
      <w:r w:rsidRPr="003D33F7">
        <w:rPr>
          <w:rStyle w:val="Refdenotaderodap"/>
          <w:rFonts w:ascii="Arial" w:hAnsi="Arial" w:cs="Arial"/>
          <w:sz w:val="18"/>
          <w:szCs w:val="18"/>
        </w:rPr>
        <w:footnoteRef/>
      </w:r>
      <w:r w:rsidRPr="003D33F7">
        <w:rPr>
          <w:rFonts w:ascii="Arial" w:hAnsi="Arial" w:cs="Arial"/>
          <w:sz w:val="18"/>
          <w:szCs w:val="18"/>
        </w:rPr>
        <w:t xml:space="preserve"> Processos de Homologação das Recomendações no 67709-4/21, n° 76921-0/20 e n° 85090- 5/19.</w:t>
      </w:r>
    </w:p>
  </w:footnote>
  <w:footnote w:id="7">
    <w:p w14:paraId="41D4D26E" w14:textId="7982A3A0" w:rsidR="0053472D" w:rsidRDefault="0053472D" w:rsidP="003D33F7">
      <w:pPr>
        <w:pStyle w:val="Textodenotaderodap"/>
        <w:ind w:left="142" w:hanging="142"/>
        <w:jc w:val="both"/>
      </w:pPr>
      <w:r w:rsidRPr="003D33F7">
        <w:rPr>
          <w:rStyle w:val="Refdenotaderodap"/>
          <w:rFonts w:ascii="Arial" w:hAnsi="Arial" w:cs="Arial"/>
          <w:sz w:val="18"/>
          <w:szCs w:val="18"/>
        </w:rPr>
        <w:footnoteRef/>
      </w:r>
      <w:r w:rsidR="00FC287E" w:rsidRPr="003D33F7">
        <w:rPr>
          <w:rFonts w:ascii="Arial" w:hAnsi="Arial" w:cs="Arial"/>
          <w:sz w:val="18"/>
          <w:szCs w:val="18"/>
        </w:rPr>
        <w:t xml:space="preserve"> </w:t>
      </w:r>
      <w:r w:rsidRPr="003D33F7">
        <w:rPr>
          <w:rFonts w:ascii="Arial" w:hAnsi="Arial" w:cs="Arial"/>
          <w:sz w:val="18"/>
          <w:szCs w:val="18"/>
        </w:rPr>
        <w:t xml:space="preserve">Relatório de Fiscalização nº 75/2021 – CAUD (Relatório de Levantamento). O Relatório de Fiscalização está disponível em: </w:t>
      </w:r>
      <w:hyperlink r:id="rId5" w:history="1">
        <w:r w:rsidRPr="003D33F7">
          <w:rPr>
            <w:rStyle w:val="Hyperlink"/>
            <w:rFonts w:ascii="Arial" w:hAnsi="Arial" w:cs="Arial"/>
            <w:sz w:val="18"/>
            <w:szCs w:val="18"/>
          </w:rPr>
          <w:t>Plano Anual de Fiscalização - PAF 2021 - Portal TCE-PR</w:t>
        </w:r>
      </w:hyperlink>
      <w:r w:rsidRPr="003D33F7">
        <w:rPr>
          <w:rFonts w:ascii="Arial" w:hAnsi="Arial" w:cs="Arial"/>
          <w:sz w:val="18"/>
          <w:szCs w:val="18"/>
        </w:rPr>
        <w:t xml:space="preserve"> Acesso em 09.05.2022.</w:t>
      </w:r>
    </w:p>
  </w:footnote>
  <w:footnote w:id="8">
    <w:p w14:paraId="1C99AC77" w14:textId="77777777" w:rsidR="0053472D" w:rsidRPr="003D33F7" w:rsidRDefault="0053472D" w:rsidP="003D33F7">
      <w:pPr>
        <w:pStyle w:val="Textodenotaderodap"/>
        <w:ind w:left="142" w:hanging="142"/>
        <w:jc w:val="both"/>
        <w:rPr>
          <w:rFonts w:ascii="Arial" w:hAnsi="Arial" w:cs="Arial"/>
          <w:sz w:val="18"/>
          <w:szCs w:val="18"/>
        </w:rPr>
      </w:pPr>
      <w:r w:rsidRPr="000E741E">
        <w:rPr>
          <w:rStyle w:val="Refdenotaderodap"/>
        </w:rPr>
        <w:footnoteRef/>
      </w:r>
      <w:r w:rsidRPr="000E741E">
        <w:t xml:space="preserve"> </w:t>
      </w:r>
      <w:r w:rsidRPr="003D33F7">
        <w:rPr>
          <w:rFonts w:ascii="Arial" w:hAnsi="Arial" w:cs="Arial"/>
          <w:sz w:val="18"/>
          <w:szCs w:val="18"/>
        </w:rPr>
        <w:t>Referem-se aos municípios que instituíram PGV. Outros 88 (oitenta e oito) sequer editaram a referida norma.</w:t>
      </w:r>
    </w:p>
  </w:footnote>
  <w:footnote w:id="9">
    <w:p w14:paraId="4E7A174A" w14:textId="77777777" w:rsidR="0053472D" w:rsidRPr="003D33F7" w:rsidRDefault="0053472D" w:rsidP="003D33F7">
      <w:pPr>
        <w:pStyle w:val="Textodenotaderodap"/>
        <w:ind w:left="142" w:hanging="142"/>
        <w:jc w:val="both"/>
        <w:rPr>
          <w:rFonts w:ascii="Arial" w:hAnsi="Arial" w:cs="Arial"/>
          <w:sz w:val="18"/>
          <w:szCs w:val="18"/>
        </w:rPr>
      </w:pPr>
      <w:r w:rsidRPr="003D33F7">
        <w:rPr>
          <w:rStyle w:val="Refdenotaderodap"/>
          <w:rFonts w:ascii="Arial" w:hAnsi="Arial" w:cs="Arial"/>
          <w:sz w:val="18"/>
          <w:szCs w:val="18"/>
        </w:rPr>
        <w:footnoteRef/>
      </w:r>
      <w:r w:rsidRPr="003D33F7">
        <w:rPr>
          <w:rFonts w:ascii="Arial" w:hAnsi="Arial" w:cs="Arial"/>
          <w:sz w:val="18"/>
          <w:szCs w:val="18"/>
        </w:rPr>
        <w:t xml:space="preserve"> Processos de Homologação das Recomendações no 67709-4/21, n° 76921-0/20 e n° 85090- 5/19.</w:t>
      </w:r>
    </w:p>
  </w:footnote>
  <w:footnote w:id="10">
    <w:p w14:paraId="3CDC455A" w14:textId="5E87E1E9" w:rsidR="0053472D" w:rsidRPr="003D33F7" w:rsidRDefault="0053472D" w:rsidP="003D33F7">
      <w:pPr>
        <w:pStyle w:val="Textodenotaderodap"/>
        <w:ind w:left="142" w:hanging="142"/>
        <w:jc w:val="both"/>
        <w:rPr>
          <w:rFonts w:ascii="Arial" w:hAnsi="Arial" w:cs="Arial"/>
          <w:sz w:val="18"/>
          <w:szCs w:val="18"/>
        </w:rPr>
      </w:pPr>
      <w:r w:rsidRPr="003D33F7">
        <w:rPr>
          <w:rStyle w:val="Refdenotaderodap"/>
          <w:rFonts w:ascii="Arial" w:hAnsi="Arial" w:cs="Arial"/>
          <w:sz w:val="18"/>
          <w:szCs w:val="18"/>
        </w:rPr>
        <w:footnoteRef/>
      </w:r>
      <w:r w:rsidRPr="003D33F7">
        <w:rPr>
          <w:rFonts w:ascii="Arial" w:hAnsi="Arial" w:cs="Arial"/>
          <w:sz w:val="18"/>
          <w:szCs w:val="18"/>
        </w:rPr>
        <w:t xml:space="preserve"> Texto da Portaria consta reproduzido no Manual de Apoio – CTM: diretrizes para a criação, instituição e atualização do cadastro territorial </w:t>
      </w:r>
      <w:proofErr w:type="spellStart"/>
      <w:r w:rsidRPr="003D33F7">
        <w:rPr>
          <w:rFonts w:ascii="Arial" w:hAnsi="Arial" w:cs="Arial"/>
          <w:sz w:val="18"/>
          <w:szCs w:val="18"/>
        </w:rPr>
        <w:t>multifinalitário</w:t>
      </w:r>
      <w:proofErr w:type="spellEnd"/>
      <w:r w:rsidRPr="003D33F7">
        <w:rPr>
          <w:rFonts w:ascii="Arial" w:hAnsi="Arial" w:cs="Arial"/>
          <w:sz w:val="18"/>
          <w:szCs w:val="18"/>
        </w:rPr>
        <w:t xml:space="preserve"> nos municípios brasileiros.</w:t>
      </w:r>
      <w:r w:rsidRPr="003D33F7">
        <w:rPr>
          <w:rStyle w:val="Refdenotaderodap"/>
          <w:rFonts w:ascii="Arial" w:hAnsi="Arial" w:cs="Arial"/>
          <w:sz w:val="18"/>
          <w:szCs w:val="18"/>
        </w:rPr>
        <w:t xml:space="preserve"> </w:t>
      </w:r>
      <w:r w:rsidRPr="003D33F7">
        <w:rPr>
          <w:rFonts w:ascii="Arial" w:hAnsi="Arial" w:cs="Arial"/>
          <w:sz w:val="18"/>
          <w:szCs w:val="18"/>
        </w:rPr>
        <w:t xml:space="preserve">Organizadores: </w:t>
      </w:r>
      <w:proofErr w:type="spellStart"/>
      <w:r w:rsidRPr="003D33F7">
        <w:rPr>
          <w:rFonts w:ascii="Arial" w:hAnsi="Arial" w:cs="Arial"/>
          <w:sz w:val="18"/>
          <w:szCs w:val="18"/>
        </w:rPr>
        <w:t>Eglaisa</w:t>
      </w:r>
      <w:proofErr w:type="spellEnd"/>
      <w:r w:rsidRPr="003D33F7">
        <w:rPr>
          <w:rFonts w:ascii="Arial" w:hAnsi="Arial" w:cs="Arial"/>
          <w:sz w:val="18"/>
          <w:szCs w:val="18"/>
        </w:rPr>
        <w:t xml:space="preserve"> Micheline Pontes Cunha e Diego Alfonso </w:t>
      </w:r>
      <w:proofErr w:type="spellStart"/>
      <w:r w:rsidRPr="003D33F7">
        <w:rPr>
          <w:rFonts w:ascii="Arial" w:hAnsi="Arial" w:cs="Arial"/>
          <w:sz w:val="18"/>
          <w:szCs w:val="18"/>
        </w:rPr>
        <w:t>Erba</w:t>
      </w:r>
      <w:proofErr w:type="spellEnd"/>
      <w:r w:rsidRPr="003D33F7">
        <w:rPr>
          <w:rFonts w:ascii="Arial" w:hAnsi="Arial" w:cs="Arial"/>
          <w:sz w:val="18"/>
          <w:szCs w:val="18"/>
        </w:rPr>
        <w:t xml:space="preserve">. Brasília: Ministério das Cidades, 2009, pg. 158 a 165, disponível em: </w:t>
      </w:r>
      <w:hyperlink r:id="rId6" w:history="1">
        <w:r w:rsidR="0004061A" w:rsidRPr="006A5742">
          <w:rPr>
            <w:rStyle w:val="Hyperlink"/>
            <w:rFonts w:ascii="Arial" w:hAnsi="Arial" w:cs="Arial"/>
            <w:sz w:val="18"/>
            <w:szCs w:val="18"/>
          </w:rPr>
          <w:t>https://www.capacidades.gov.br/media/doc/acervo/c4924c559c0b1b95a8ad38c47fda4799.pdf</w:t>
        </w:r>
      </w:hyperlink>
      <w:r w:rsidR="0004061A" w:rsidRPr="0004061A">
        <w:rPr>
          <w:rFonts w:ascii="Arial" w:hAnsi="Arial" w:cs="Arial"/>
          <w:sz w:val="18"/>
          <w:szCs w:val="18"/>
        </w:rPr>
        <w:t>.</w:t>
      </w:r>
      <w:r w:rsidR="0004061A">
        <w:rPr>
          <w:rFonts w:ascii="Arial" w:hAnsi="Arial" w:cs="Arial"/>
          <w:sz w:val="18"/>
          <w:szCs w:val="18"/>
        </w:rPr>
        <w:t xml:space="preserve"> </w:t>
      </w:r>
      <w:r w:rsidR="0004061A" w:rsidRPr="0004061A">
        <w:rPr>
          <w:rFonts w:ascii="Arial" w:hAnsi="Arial" w:cs="Arial"/>
          <w:sz w:val="18"/>
          <w:szCs w:val="18"/>
        </w:rPr>
        <w:t>Acesso em 09.05.2022</w:t>
      </w:r>
      <w:r w:rsidRPr="003D33F7">
        <w:rPr>
          <w:rFonts w:ascii="Arial" w:hAnsi="Arial" w:cs="Arial"/>
          <w:sz w:val="18"/>
          <w:szCs w:val="18"/>
        </w:rPr>
        <w:t xml:space="preserve">.  </w:t>
      </w:r>
    </w:p>
    <w:p w14:paraId="695D74DF" w14:textId="7E0E967D" w:rsidR="0053472D" w:rsidRPr="004F5CA4" w:rsidRDefault="0053472D" w:rsidP="003D33F7">
      <w:pPr>
        <w:pStyle w:val="Textodenotaderodap"/>
        <w:ind w:left="142"/>
        <w:jc w:val="both"/>
        <w:rPr>
          <w:rStyle w:val="Refdenotaderodap"/>
          <w:rFonts w:ascii="Arial" w:hAnsi="Arial" w:cs="Arial"/>
        </w:rPr>
      </w:pPr>
      <w:r w:rsidRPr="003D33F7">
        <w:rPr>
          <w:rFonts w:ascii="Arial" w:hAnsi="Arial" w:cs="Arial"/>
          <w:sz w:val="18"/>
          <w:szCs w:val="18"/>
        </w:rPr>
        <w:t xml:space="preserve">A Portaria foi publicada no Diário Oficial da União de 08 de dezembro de 2009, na página 75 da Seção 1. Disponível em: </w:t>
      </w:r>
      <w:hyperlink r:id="rId7" w:anchor="p_p_id_com_liferay_asset_publisher_web_portlet_AssetPublisherPortlet_INSTANCE_Gd5DGyx5KQLn_" w:history="1">
        <w:r w:rsidRPr="003D33F7">
          <w:rPr>
            <w:rStyle w:val="Hyperlink"/>
            <w:rFonts w:ascii="Arial" w:hAnsi="Arial" w:cs="Arial"/>
            <w:sz w:val="18"/>
            <w:szCs w:val="18"/>
          </w:rPr>
          <w:t>https://www.in.gov.br/acesso-a-informacao/dados-abertos/base-de-dados?ano=2009&amp;mes=Dezembro#p_p_id_com_liferay_asset_publisher_web_portlet_AssetPublisherPortlet_INSTANCE_Gd5DGyx5KQLn_</w:t>
        </w:r>
      </w:hyperlink>
      <w:r w:rsidRPr="003D33F7">
        <w:rPr>
          <w:rFonts w:ascii="Arial" w:hAnsi="Arial" w:cs="Arial"/>
          <w:sz w:val="18"/>
          <w:szCs w:val="18"/>
        </w:rPr>
        <w:t xml:space="preserve"> Acesso em 09.05.2022.</w:t>
      </w:r>
    </w:p>
  </w:footnote>
  <w:footnote w:id="11">
    <w:p w14:paraId="41596D6C" w14:textId="7455DD18" w:rsidR="0053472D" w:rsidRPr="0004061A" w:rsidRDefault="0053472D" w:rsidP="0004061A">
      <w:pPr>
        <w:spacing w:after="0" w:line="240" w:lineRule="auto"/>
        <w:ind w:left="142" w:hanging="142"/>
        <w:jc w:val="both"/>
        <w:rPr>
          <w:rFonts w:ascii="Arial" w:hAnsi="Arial" w:cs="Arial"/>
          <w:sz w:val="18"/>
          <w:szCs w:val="18"/>
        </w:rPr>
      </w:pPr>
      <w:r w:rsidRPr="0004061A">
        <w:rPr>
          <w:rStyle w:val="Refdenotaderodap"/>
          <w:rFonts w:ascii="Arial" w:hAnsi="Arial" w:cs="Arial"/>
          <w:sz w:val="18"/>
          <w:szCs w:val="18"/>
        </w:rPr>
        <w:footnoteRef/>
      </w:r>
      <w:r w:rsidR="00FC287E" w:rsidRPr="0004061A">
        <w:rPr>
          <w:rFonts w:ascii="Arial" w:hAnsi="Arial" w:cs="Arial"/>
          <w:sz w:val="18"/>
          <w:szCs w:val="18"/>
        </w:rPr>
        <w:t xml:space="preserve"> </w:t>
      </w:r>
      <w:r w:rsidRPr="0004061A">
        <w:rPr>
          <w:rFonts w:ascii="Arial" w:hAnsi="Arial" w:cs="Arial"/>
          <w:sz w:val="18"/>
          <w:szCs w:val="18"/>
        </w:rPr>
        <w:t xml:space="preserve">Vale lembrar que o artigo 11 da LRF estabelece que a instituição, previsão e efetiva arrecadação de todos os tributos de competência constitucional do ente da federação constitui-se como requisito essencial da responsabilidade na gestão fiscal. </w:t>
      </w:r>
    </w:p>
  </w:footnote>
  <w:footnote w:id="12">
    <w:p w14:paraId="1EC79CFB" w14:textId="1D0FD1AA" w:rsidR="0053472D" w:rsidRPr="0004061A" w:rsidRDefault="0053472D" w:rsidP="0004061A">
      <w:pPr>
        <w:pStyle w:val="Textodenotaderodap"/>
        <w:ind w:left="142" w:hanging="142"/>
        <w:rPr>
          <w:rFonts w:ascii="Arial" w:hAnsi="Arial" w:cs="Arial"/>
          <w:sz w:val="18"/>
          <w:szCs w:val="18"/>
        </w:rPr>
      </w:pPr>
      <w:r w:rsidRPr="0004061A">
        <w:rPr>
          <w:rStyle w:val="Refdenotaderodap"/>
          <w:rFonts w:ascii="Arial" w:hAnsi="Arial" w:cs="Arial"/>
          <w:sz w:val="18"/>
          <w:szCs w:val="18"/>
        </w:rPr>
        <w:footnoteRef/>
      </w:r>
      <w:r w:rsidR="00FC287E" w:rsidRPr="0004061A">
        <w:rPr>
          <w:rFonts w:ascii="Arial" w:hAnsi="Arial" w:cs="Arial"/>
          <w:sz w:val="18"/>
          <w:szCs w:val="18"/>
        </w:rPr>
        <w:t xml:space="preserve"> </w:t>
      </w:r>
      <w:r w:rsidRPr="0004061A">
        <w:rPr>
          <w:rFonts w:ascii="Arial" w:hAnsi="Arial" w:cs="Arial"/>
          <w:sz w:val="18"/>
          <w:szCs w:val="18"/>
        </w:rPr>
        <w:t>Nesse sentido: SABBAG, Eduardo. Manual de Direito Tributário. 8ª ed. São Paulo: Saraiva, 2016, pg. 1131.</w:t>
      </w:r>
    </w:p>
  </w:footnote>
  <w:footnote w:id="13">
    <w:p w14:paraId="6ADE0D5E" w14:textId="02EB28A0" w:rsidR="0053472D" w:rsidRPr="0004061A" w:rsidRDefault="0053472D" w:rsidP="0004061A">
      <w:pPr>
        <w:pStyle w:val="Textodenotaderodap"/>
        <w:ind w:left="142" w:hanging="142"/>
        <w:jc w:val="both"/>
        <w:rPr>
          <w:rFonts w:ascii="Arial" w:hAnsi="Arial" w:cs="Arial"/>
          <w:sz w:val="18"/>
          <w:szCs w:val="18"/>
        </w:rPr>
      </w:pPr>
      <w:r w:rsidRPr="0004061A">
        <w:rPr>
          <w:rStyle w:val="Refdenotaderodap"/>
          <w:rFonts w:ascii="Arial" w:hAnsi="Arial" w:cs="Arial"/>
          <w:sz w:val="18"/>
          <w:szCs w:val="18"/>
        </w:rPr>
        <w:footnoteRef/>
      </w:r>
      <w:r w:rsidR="00FC287E" w:rsidRPr="0004061A">
        <w:rPr>
          <w:rFonts w:ascii="Arial" w:hAnsi="Arial" w:cs="Arial"/>
          <w:sz w:val="18"/>
          <w:szCs w:val="18"/>
        </w:rPr>
        <w:t xml:space="preserve"> </w:t>
      </w:r>
      <w:r w:rsidRPr="0004061A">
        <w:rPr>
          <w:rFonts w:ascii="Arial" w:hAnsi="Arial" w:cs="Arial"/>
          <w:sz w:val="18"/>
          <w:szCs w:val="18"/>
        </w:rPr>
        <w:t xml:space="preserve">Ver nota nº 9. </w:t>
      </w:r>
    </w:p>
  </w:footnote>
  <w:footnote w:id="14">
    <w:p w14:paraId="63B3B43A" w14:textId="128228A4" w:rsidR="0053472D" w:rsidRPr="00AE42B9" w:rsidRDefault="0053472D" w:rsidP="0004061A">
      <w:pPr>
        <w:pStyle w:val="Textodenotaderodap"/>
        <w:ind w:left="142" w:hanging="142"/>
        <w:rPr>
          <w:rFonts w:ascii="Arial" w:hAnsi="Arial" w:cs="Arial"/>
        </w:rPr>
      </w:pPr>
      <w:r w:rsidRPr="0004061A">
        <w:rPr>
          <w:rStyle w:val="Refdenotaderodap"/>
          <w:rFonts w:ascii="Arial" w:hAnsi="Arial" w:cs="Arial"/>
          <w:sz w:val="18"/>
          <w:szCs w:val="18"/>
        </w:rPr>
        <w:footnoteRef/>
      </w:r>
      <w:r w:rsidR="00FC287E" w:rsidRPr="0004061A">
        <w:rPr>
          <w:rFonts w:ascii="Arial" w:hAnsi="Arial" w:cs="Arial"/>
          <w:sz w:val="18"/>
          <w:szCs w:val="18"/>
        </w:rPr>
        <w:t xml:space="preserve"> </w:t>
      </w:r>
      <w:r w:rsidRPr="0004061A">
        <w:rPr>
          <w:rFonts w:ascii="Arial" w:hAnsi="Arial" w:cs="Arial"/>
          <w:sz w:val="18"/>
          <w:szCs w:val="18"/>
        </w:rPr>
        <w:t>Ver nota nº 9.</w:t>
      </w:r>
    </w:p>
  </w:footnote>
  <w:footnote w:id="15">
    <w:p w14:paraId="0015F043" w14:textId="265DDCFF" w:rsidR="0053472D" w:rsidRPr="0004061A" w:rsidRDefault="0053472D" w:rsidP="0053472D">
      <w:pPr>
        <w:pStyle w:val="Textodenotaderodap"/>
        <w:rPr>
          <w:rFonts w:ascii="Arial" w:hAnsi="Arial" w:cs="Arial"/>
          <w:sz w:val="18"/>
          <w:szCs w:val="18"/>
        </w:rPr>
      </w:pPr>
      <w:r w:rsidRPr="0004061A">
        <w:rPr>
          <w:rStyle w:val="Refdenotaderodap"/>
          <w:rFonts w:ascii="Arial" w:hAnsi="Arial" w:cs="Arial"/>
          <w:sz w:val="18"/>
          <w:szCs w:val="18"/>
        </w:rPr>
        <w:footnoteRef/>
      </w:r>
      <w:r w:rsidR="00FC287E" w:rsidRPr="0004061A">
        <w:rPr>
          <w:rFonts w:ascii="Arial" w:hAnsi="Arial" w:cs="Arial"/>
          <w:sz w:val="18"/>
          <w:szCs w:val="18"/>
        </w:rPr>
        <w:t xml:space="preserve"> </w:t>
      </w:r>
      <w:r w:rsidRPr="0004061A">
        <w:rPr>
          <w:rFonts w:ascii="Arial" w:hAnsi="Arial" w:cs="Arial"/>
          <w:sz w:val="18"/>
          <w:szCs w:val="18"/>
        </w:rPr>
        <w:t xml:space="preserve">Ver nota nº 9. </w:t>
      </w:r>
    </w:p>
  </w:footnote>
  <w:footnote w:id="16">
    <w:p w14:paraId="64AEEFFD" w14:textId="79F3DCB4" w:rsidR="0053472D" w:rsidRPr="0004061A" w:rsidRDefault="0053472D" w:rsidP="0053472D">
      <w:pPr>
        <w:pStyle w:val="Textodenotaderodap"/>
        <w:rPr>
          <w:rFonts w:ascii="Arial" w:hAnsi="Arial" w:cs="Arial"/>
          <w:sz w:val="18"/>
          <w:szCs w:val="18"/>
        </w:rPr>
      </w:pPr>
      <w:r w:rsidRPr="0004061A">
        <w:rPr>
          <w:rStyle w:val="Refdenotaderodap"/>
          <w:rFonts w:ascii="Arial" w:hAnsi="Arial" w:cs="Arial"/>
          <w:sz w:val="18"/>
          <w:szCs w:val="18"/>
        </w:rPr>
        <w:footnoteRef/>
      </w:r>
      <w:r w:rsidR="00FC287E" w:rsidRPr="0004061A">
        <w:rPr>
          <w:rFonts w:ascii="Arial" w:hAnsi="Arial" w:cs="Arial"/>
          <w:sz w:val="18"/>
          <w:szCs w:val="18"/>
        </w:rPr>
        <w:t xml:space="preserve"> </w:t>
      </w:r>
      <w:r w:rsidRPr="0004061A">
        <w:rPr>
          <w:rFonts w:ascii="Arial" w:hAnsi="Arial" w:cs="Arial"/>
          <w:sz w:val="18"/>
          <w:szCs w:val="18"/>
        </w:rPr>
        <w:t>Ver nota nº 9.</w:t>
      </w:r>
    </w:p>
  </w:footnote>
  <w:footnote w:id="17">
    <w:p w14:paraId="263998DA" w14:textId="1B66DCD4" w:rsidR="0053472D" w:rsidRPr="0004061A" w:rsidRDefault="0053472D" w:rsidP="0053472D">
      <w:pPr>
        <w:pStyle w:val="Textodenotaderodap"/>
        <w:rPr>
          <w:rFonts w:ascii="Arial" w:hAnsi="Arial" w:cs="Arial"/>
          <w:sz w:val="18"/>
          <w:szCs w:val="18"/>
        </w:rPr>
      </w:pPr>
      <w:r w:rsidRPr="0004061A">
        <w:rPr>
          <w:rStyle w:val="Refdenotaderodap"/>
          <w:rFonts w:ascii="Arial" w:hAnsi="Arial" w:cs="Arial"/>
          <w:sz w:val="18"/>
          <w:szCs w:val="18"/>
        </w:rPr>
        <w:footnoteRef/>
      </w:r>
      <w:r w:rsidR="00FC287E" w:rsidRPr="0004061A">
        <w:rPr>
          <w:rFonts w:ascii="Arial" w:hAnsi="Arial" w:cs="Arial"/>
          <w:sz w:val="18"/>
          <w:szCs w:val="18"/>
        </w:rPr>
        <w:t xml:space="preserve"> </w:t>
      </w:r>
      <w:r w:rsidRPr="0004061A">
        <w:rPr>
          <w:rFonts w:ascii="Arial" w:hAnsi="Arial" w:cs="Arial"/>
          <w:sz w:val="18"/>
          <w:szCs w:val="18"/>
        </w:rPr>
        <w:t>Ver nota nº 9.</w:t>
      </w:r>
    </w:p>
  </w:footnote>
  <w:footnote w:id="18">
    <w:p w14:paraId="0AA99F71" w14:textId="5432792C" w:rsidR="0053472D" w:rsidRPr="0004061A" w:rsidRDefault="0053472D" w:rsidP="0053472D">
      <w:pPr>
        <w:pStyle w:val="Textodenotaderodap"/>
        <w:rPr>
          <w:rFonts w:ascii="Arial" w:hAnsi="Arial" w:cs="Arial"/>
          <w:sz w:val="18"/>
          <w:szCs w:val="18"/>
        </w:rPr>
      </w:pPr>
      <w:r w:rsidRPr="0004061A">
        <w:rPr>
          <w:rStyle w:val="Refdenotaderodap"/>
          <w:rFonts w:ascii="Arial" w:hAnsi="Arial" w:cs="Arial"/>
          <w:sz w:val="18"/>
          <w:szCs w:val="18"/>
        </w:rPr>
        <w:footnoteRef/>
      </w:r>
      <w:r w:rsidR="00FC287E" w:rsidRPr="0004061A">
        <w:rPr>
          <w:rFonts w:ascii="Arial" w:hAnsi="Arial" w:cs="Arial"/>
          <w:sz w:val="18"/>
          <w:szCs w:val="18"/>
        </w:rPr>
        <w:t xml:space="preserve"> </w:t>
      </w:r>
      <w:r w:rsidRPr="0004061A">
        <w:rPr>
          <w:rFonts w:ascii="Arial" w:hAnsi="Arial" w:cs="Arial"/>
          <w:sz w:val="18"/>
          <w:szCs w:val="18"/>
        </w:rPr>
        <w:t>Ver nota nº 9.</w:t>
      </w:r>
    </w:p>
  </w:footnote>
  <w:footnote w:id="19">
    <w:p w14:paraId="28566707" w14:textId="2F5F63C1" w:rsidR="0053472D" w:rsidRPr="00B0519D" w:rsidRDefault="0053472D" w:rsidP="0053472D">
      <w:pPr>
        <w:pStyle w:val="Textodenotaderodap"/>
        <w:rPr>
          <w:rFonts w:ascii="Arial" w:hAnsi="Arial" w:cs="Arial"/>
        </w:rPr>
      </w:pPr>
      <w:r w:rsidRPr="0004061A">
        <w:rPr>
          <w:rStyle w:val="Refdenotaderodap"/>
          <w:rFonts w:ascii="Arial" w:hAnsi="Arial" w:cs="Arial"/>
          <w:sz w:val="18"/>
          <w:szCs w:val="18"/>
        </w:rPr>
        <w:footnoteRef/>
      </w:r>
      <w:r w:rsidR="00FC287E" w:rsidRPr="0004061A">
        <w:rPr>
          <w:rFonts w:ascii="Arial" w:hAnsi="Arial" w:cs="Arial"/>
          <w:sz w:val="18"/>
          <w:szCs w:val="18"/>
        </w:rPr>
        <w:t xml:space="preserve"> </w:t>
      </w:r>
      <w:r w:rsidRPr="0004061A">
        <w:rPr>
          <w:rFonts w:ascii="Arial" w:hAnsi="Arial" w:cs="Arial"/>
          <w:sz w:val="18"/>
          <w:szCs w:val="18"/>
        </w:rPr>
        <w:t>Ver nota nº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1533" w14:textId="414FEF9B" w:rsidR="001E536F" w:rsidRPr="00626338" w:rsidRDefault="001E536F" w:rsidP="00724393">
    <w:pPr>
      <w:tabs>
        <w:tab w:val="center" w:pos="4252"/>
        <w:tab w:val="right" w:pos="8504"/>
      </w:tabs>
      <w:spacing w:before="480" w:after="120" w:line="240" w:lineRule="auto"/>
      <w:jc w:val="center"/>
      <w:rPr>
        <w:rFonts w:ascii="Arial" w:hAnsi="Arial" w:cs="Arial"/>
        <w:b/>
        <w:sz w:val="30"/>
        <w:szCs w:val="30"/>
      </w:rPr>
    </w:pPr>
    <w:r w:rsidRPr="00626338">
      <w:rPr>
        <w:rFonts w:ascii="Arial" w:hAnsi="Arial" w:cs="Arial"/>
        <w:noProof/>
        <w:sz w:val="20"/>
        <w:szCs w:val="20"/>
      </w:rPr>
      <w:drawing>
        <wp:anchor distT="0" distB="0" distL="114300" distR="114300" simplePos="0" relativeHeight="251659264" behindDoc="0" locked="0" layoutInCell="1" allowOverlap="1" wp14:anchorId="56423437" wp14:editId="44DA0C87">
          <wp:simplePos x="0" y="0"/>
          <wp:positionH relativeFrom="column">
            <wp:posOffset>-3175</wp:posOffset>
          </wp:positionH>
          <wp:positionV relativeFrom="paragraph">
            <wp:posOffset>57785</wp:posOffset>
          </wp:positionV>
          <wp:extent cx="605790" cy="712470"/>
          <wp:effectExtent l="0" t="0" r="3810" b="0"/>
          <wp:wrapSquare wrapText="bothSides"/>
          <wp:docPr id="2" name="Imagem 2"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Pr="00626338">
      <w:rPr>
        <w:rFonts w:ascii="Arial" w:hAnsi="Arial" w:cs="Arial"/>
        <w:b/>
        <w:sz w:val="30"/>
        <w:szCs w:val="30"/>
      </w:rPr>
      <w:t>TRIBUNAL DE CONTAS DO ESTADO DO PARANÁ</w:t>
    </w:r>
  </w:p>
  <w:p w14:paraId="6CED2CB4" w14:textId="77777777" w:rsidR="001E536F" w:rsidRPr="00626338" w:rsidRDefault="001E536F" w:rsidP="00AA662F">
    <w:pPr>
      <w:tabs>
        <w:tab w:val="center" w:pos="4252"/>
        <w:tab w:val="right" w:pos="8504"/>
      </w:tabs>
      <w:spacing w:before="120" w:after="120" w:line="240" w:lineRule="auto"/>
      <w:jc w:val="center"/>
      <w:rPr>
        <w:rFonts w:ascii="Arial" w:hAnsi="Arial" w:cs="Arial"/>
        <w:b/>
        <w:sz w:val="28"/>
        <w:szCs w:val="28"/>
      </w:rPr>
    </w:pPr>
    <w:r w:rsidRPr="00626338">
      <w:rPr>
        <w:rFonts w:ascii="Arial" w:hAnsi="Arial" w:cs="Arial"/>
        <w:b/>
        <w:sz w:val="28"/>
        <w:szCs w:val="28"/>
      </w:rPr>
      <w:t>Coordenadoria-Geral de Fiscalização</w:t>
    </w:r>
  </w:p>
  <w:p w14:paraId="7561263D" w14:textId="77777777" w:rsidR="001E536F" w:rsidRDefault="001E536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49"/>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9D2"/>
    <w:rsid w:val="0002613F"/>
    <w:rsid w:val="0004061A"/>
    <w:rsid w:val="0006088D"/>
    <w:rsid w:val="0007518F"/>
    <w:rsid w:val="0016106E"/>
    <w:rsid w:val="001910E5"/>
    <w:rsid w:val="001D0FE1"/>
    <w:rsid w:val="001E536F"/>
    <w:rsid w:val="00205FB4"/>
    <w:rsid w:val="00230193"/>
    <w:rsid w:val="00230B26"/>
    <w:rsid w:val="00303D1F"/>
    <w:rsid w:val="00320CA5"/>
    <w:rsid w:val="003D279D"/>
    <w:rsid w:val="003D33F7"/>
    <w:rsid w:val="00435635"/>
    <w:rsid w:val="004D2393"/>
    <w:rsid w:val="005015A4"/>
    <w:rsid w:val="0053472D"/>
    <w:rsid w:val="00547419"/>
    <w:rsid w:val="00576C36"/>
    <w:rsid w:val="00591A1F"/>
    <w:rsid w:val="005B2D68"/>
    <w:rsid w:val="005D2C50"/>
    <w:rsid w:val="005F5160"/>
    <w:rsid w:val="00601ECE"/>
    <w:rsid w:val="00615FC4"/>
    <w:rsid w:val="00626338"/>
    <w:rsid w:val="00632B75"/>
    <w:rsid w:val="00640A4F"/>
    <w:rsid w:val="00652659"/>
    <w:rsid w:val="0070581C"/>
    <w:rsid w:val="007114B4"/>
    <w:rsid w:val="00724393"/>
    <w:rsid w:val="007D49D2"/>
    <w:rsid w:val="007F07D2"/>
    <w:rsid w:val="00804296"/>
    <w:rsid w:val="00804538"/>
    <w:rsid w:val="00833284"/>
    <w:rsid w:val="008557B2"/>
    <w:rsid w:val="0085587F"/>
    <w:rsid w:val="008827FB"/>
    <w:rsid w:val="008978E0"/>
    <w:rsid w:val="008A357C"/>
    <w:rsid w:val="00926349"/>
    <w:rsid w:val="00937080"/>
    <w:rsid w:val="009507D3"/>
    <w:rsid w:val="009A6FE1"/>
    <w:rsid w:val="009D0B82"/>
    <w:rsid w:val="009D5F98"/>
    <w:rsid w:val="00A05B68"/>
    <w:rsid w:val="00A05E00"/>
    <w:rsid w:val="00A16194"/>
    <w:rsid w:val="00A840D4"/>
    <w:rsid w:val="00AA662F"/>
    <w:rsid w:val="00B23DE0"/>
    <w:rsid w:val="00B2464E"/>
    <w:rsid w:val="00B3263A"/>
    <w:rsid w:val="00B40629"/>
    <w:rsid w:val="00B85B30"/>
    <w:rsid w:val="00B915CE"/>
    <w:rsid w:val="00C1215A"/>
    <w:rsid w:val="00C67D9F"/>
    <w:rsid w:val="00CA443D"/>
    <w:rsid w:val="00CA544B"/>
    <w:rsid w:val="00CF13FE"/>
    <w:rsid w:val="00D86FCF"/>
    <w:rsid w:val="00D922FA"/>
    <w:rsid w:val="00DD2029"/>
    <w:rsid w:val="00EF1D47"/>
    <w:rsid w:val="00F83E92"/>
    <w:rsid w:val="00FB5C7B"/>
    <w:rsid w:val="00FC287E"/>
    <w:rsid w:val="00FD3A38"/>
    <w:rsid w:val="00FE1C0F"/>
    <w:rsid w:val="3DDE3F84"/>
    <w:rsid w:val="3E6D2495"/>
    <w:rsid w:val="4008F4F6"/>
    <w:rsid w:val="64F248D2"/>
    <w:rsid w:val="6ABEA6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2C7B6"/>
  <w15:chartTrackingRefBased/>
  <w15:docId w15:val="{A2ABEB55-BBD9-43F1-A216-17301F86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9D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7D49D2"/>
    <w:pPr>
      <w:spacing w:after="0" w:line="240" w:lineRule="auto"/>
    </w:pPr>
    <w:rPr>
      <w:sz w:val="20"/>
      <w:szCs w:val="20"/>
    </w:rPr>
  </w:style>
  <w:style w:type="character" w:customStyle="1" w:styleId="TextodenotaderodapChar">
    <w:name w:val="Texto de nota de rodapé Char"/>
    <w:basedOn w:val="Fontepargpadro"/>
    <w:link w:val="Textodenotaderodap"/>
    <w:rsid w:val="007D49D2"/>
    <w:rPr>
      <w:rFonts w:ascii="Calibri" w:eastAsia="Calibri" w:hAnsi="Calibri" w:cs="Times New Roman"/>
      <w:sz w:val="20"/>
      <w:szCs w:val="20"/>
    </w:rPr>
  </w:style>
  <w:style w:type="character" w:styleId="Refdenotaderodap">
    <w:name w:val="footnote reference"/>
    <w:basedOn w:val="Fontepargpadro"/>
    <w:uiPriority w:val="99"/>
    <w:semiHidden/>
    <w:unhideWhenUsed/>
    <w:rsid w:val="007D49D2"/>
    <w:rPr>
      <w:vertAlign w:val="superscript"/>
    </w:rPr>
  </w:style>
  <w:style w:type="character" w:styleId="Hyperlink">
    <w:name w:val="Hyperlink"/>
    <w:basedOn w:val="Fontepargpadro"/>
    <w:unhideWhenUsed/>
    <w:rsid w:val="007D49D2"/>
    <w:rPr>
      <w:color w:val="0000FF"/>
      <w:u w:val="single"/>
    </w:rPr>
  </w:style>
  <w:style w:type="paragraph" w:customStyle="1" w:styleId="paragraph">
    <w:name w:val="paragraph"/>
    <w:basedOn w:val="Normal"/>
    <w:rsid w:val="007D49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7D49D2"/>
  </w:style>
  <w:style w:type="character" w:customStyle="1" w:styleId="superscript">
    <w:name w:val="superscript"/>
    <w:basedOn w:val="Fontepargpadro"/>
    <w:rsid w:val="007D49D2"/>
  </w:style>
  <w:style w:type="character" w:customStyle="1" w:styleId="eop">
    <w:name w:val="eop"/>
    <w:basedOn w:val="Fontepargpadro"/>
    <w:rsid w:val="007D49D2"/>
  </w:style>
  <w:style w:type="character" w:styleId="Refdecomentrio">
    <w:name w:val="annotation reference"/>
    <w:basedOn w:val="Fontepargpadro"/>
    <w:uiPriority w:val="99"/>
    <w:semiHidden/>
    <w:unhideWhenUsed/>
    <w:rsid w:val="0053472D"/>
    <w:rPr>
      <w:sz w:val="16"/>
      <w:szCs w:val="16"/>
    </w:rPr>
  </w:style>
  <w:style w:type="paragraph" w:styleId="Textodecomentrio">
    <w:name w:val="annotation text"/>
    <w:basedOn w:val="Normal"/>
    <w:link w:val="TextodecomentrioChar"/>
    <w:uiPriority w:val="99"/>
    <w:semiHidden/>
    <w:unhideWhenUsed/>
    <w:rsid w:val="0053472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3472D"/>
    <w:rPr>
      <w:rFonts w:ascii="Calibri" w:eastAsia="Calibri" w:hAnsi="Calibri" w:cs="Times New Roman"/>
      <w:sz w:val="20"/>
      <w:szCs w:val="20"/>
    </w:rPr>
  </w:style>
  <w:style w:type="paragraph" w:styleId="Cabealho">
    <w:name w:val="header"/>
    <w:basedOn w:val="Normal"/>
    <w:link w:val="CabealhoChar"/>
    <w:uiPriority w:val="99"/>
    <w:unhideWhenUsed/>
    <w:rsid w:val="001E53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536F"/>
    <w:rPr>
      <w:rFonts w:ascii="Calibri" w:eastAsia="Calibri" w:hAnsi="Calibri" w:cs="Times New Roman"/>
    </w:rPr>
  </w:style>
  <w:style w:type="paragraph" w:styleId="Rodap">
    <w:name w:val="footer"/>
    <w:basedOn w:val="Normal"/>
    <w:link w:val="RodapChar"/>
    <w:uiPriority w:val="99"/>
    <w:unhideWhenUsed/>
    <w:rsid w:val="001E536F"/>
    <w:pPr>
      <w:tabs>
        <w:tab w:val="center" w:pos="4252"/>
        <w:tab w:val="right" w:pos="8504"/>
      </w:tabs>
      <w:spacing w:after="0" w:line="240" w:lineRule="auto"/>
    </w:pPr>
  </w:style>
  <w:style w:type="character" w:customStyle="1" w:styleId="RodapChar">
    <w:name w:val="Rodapé Char"/>
    <w:basedOn w:val="Fontepargpadro"/>
    <w:link w:val="Rodap"/>
    <w:uiPriority w:val="99"/>
    <w:rsid w:val="001E536F"/>
    <w:rPr>
      <w:rFonts w:ascii="Calibri" w:eastAsia="Calibri" w:hAnsi="Calibri" w:cs="Times New Roman"/>
    </w:rPr>
  </w:style>
  <w:style w:type="paragraph" w:styleId="Ttulo">
    <w:name w:val="Title"/>
    <w:basedOn w:val="Normal"/>
    <w:link w:val="TtuloChar"/>
    <w:qFormat/>
    <w:rsid w:val="00833284"/>
    <w:pPr>
      <w:spacing w:after="0" w:line="240" w:lineRule="auto"/>
      <w:jc w:val="center"/>
    </w:pPr>
    <w:rPr>
      <w:rFonts w:ascii="Times New Roman" w:eastAsia="Times New Roman" w:hAnsi="Times New Roman"/>
      <w:b/>
      <w:bCs/>
      <w:sz w:val="28"/>
      <w:szCs w:val="24"/>
      <w:lang w:eastAsia="pt-BR"/>
    </w:rPr>
  </w:style>
  <w:style w:type="character" w:customStyle="1" w:styleId="TtuloChar">
    <w:name w:val="Título Char"/>
    <w:basedOn w:val="Fontepargpadro"/>
    <w:link w:val="Ttulo"/>
    <w:rsid w:val="00833284"/>
    <w:rPr>
      <w:rFonts w:ascii="Times New Roman" w:eastAsia="Times New Roman" w:hAnsi="Times New Roman" w:cs="Times New Roman"/>
      <w:b/>
      <w:bCs/>
      <w:sz w:val="28"/>
      <w:szCs w:val="24"/>
      <w:lang w:eastAsia="pt-BR"/>
    </w:rPr>
  </w:style>
  <w:style w:type="character" w:styleId="MenoPendente">
    <w:name w:val="Unresolved Mention"/>
    <w:basedOn w:val="Fontepargpadro"/>
    <w:uiPriority w:val="99"/>
    <w:semiHidden/>
    <w:unhideWhenUsed/>
    <w:rsid w:val="00040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ipea.gov.br/portal/index.php?option=com_content&amp;view=article&amp;id=34366&amp;Itemid=433" TargetMode="External"/><Relationship Id="rId7" Type="http://schemas.openxmlformats.org/officeDocument/2006/relationships/hyperlink" Target="https://www.in.gov.br/acesso-a-informacao/dados-abertos/base-de-dados?ano=2009&amp;mes=Dezembro" TargetMode="External"/><Relationship Id="rId2" Type="http://schemas.openxmlformats.org/officeDocument/2006/relationships/hyperlink" Target="https://www1.tce.pr.gov.br/conteudo/paf2021/331918" TargetMode="External"/><Relationship Id="rId1" Type="http://schemas.openxmlformats.org/officeDocument/2006/relationships/hyperlink" Target="https://www1.tce.pr.gov.br/multimidia/2022/7/pdf/00366926.pdf" TargetMode="External"/><Relationship Id="rId6" Type="http://schemas.openxmlformats.org/officeDocument/2006/relationships/hyperlink" Target="https://www.capacidades.gov.br/media/doc/acervo/c4924c559c0b1b95a8ad38c47fda4799.pdf" TargetMode="External"/><Relationship Id="rId5" Type="http://schemas.openxmlformats.org/officeDocument/2006/relationships/hyperlink" Target="https://www1.tce.pr.gov.br/conteudo/paf2021/331918" TargetMode="External"/><Relationship Id="rId4" Type="http://schemas.openxmlformats.org/officeDocument/2006/relationships/hyperlink" Target="https://www1.tce.pr.gov.br/conteudo/paf2021/3319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D989F54111924CBB952386CBEBA406" ma:contentTypeVersion="2" ma:contentTypeDescription="Crie um novo documento." ma:contentTypeScope="" ma:versionID="7815e8ce41f17d47f7d56f1481a5e04c">
  <xsd:schema xmlns:xsd="http://www.w3.org/2001/XMLSchema" xmlns:xs="http://www.w3.org/2001/XMLSchema" xmlns:p="http://schemas.microsoft.com/office/2006/metadata/properties" xmlns:ns2="cb64e9ea-7c2c-4348-a420-dca620053118" targetNamespace="http://schemas.microsoft.com/office/2006/metadata/properties" ma:root="true" ma:fieldsID="38e2d0d98304944543e321ac7f59dd9e" ns2:_="">
    <xsd:import namespace="cb64e9ea-7c2c-4348-a420-dca62005311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4e9ea-7c2c-4348-a420-dca620053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4F1D1-373F-44D2-9A30-9AC239883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4e9ea-7c2c-4348-a420-dca620053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28A59-CDAC-4C9B-83A2-E48C8DD5D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3E0745-1E01-4B3D-81AC-6E6BA8CD39B4}">
  <ds:schemaRefs>
    <ds:schemaRef ds:uri="http://schemas.microsoft.com/sharepoint/v3/contenttype/forms"/>
  </ds:schemaRefs>
</ds:datastoreItem>
</file>

<file path=customXml/itemProps4.xml><?xml version="1.0" encoding="utf-8"?>
<ds:datastoreItem xmlns:ds="http://schemas.openxmlformats.org/officeDocument/2006/customXml" ds:itemID="{E2E176E0-54F4-419F-8C54-7BE62DBA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1916</Words>
  <Characters>10349</Characters>
  <Application>Microsoft Office Word</Application>
  <DocSecurity>0</DocSecurity>
  <Lines>86</Lines>
  <Paragraphs>24</Paragraphs>
  <ScaleCrop>false</ScaleCrop>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Regina Martins</dc:creator>
  <cp:keywords/>
  <dc:description/>
  <cp:lastModifiedBy>Yarusya Fonseca</cp:lastModifiedBy>
  <cp:revision>59</cp:revision>
  <dcterms:created xsi:type="dcterms:W3CDTF">2022-07-26T19:28:00Z</dcterms:created>
  <dcterms:modified xsi:type="dcterms:W3CDTF">2022-07-26T20:26:00Z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0x01010001D989F54111924CBB952386CBEBA406</vt:lpwstr>
  </property>
</Properties>
</file>