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8307" w14:textId="49E898EC" w:rsidR="00550938" w:rsidRPr="00A42817" w:rsidRDefault="0049068C" w:rsidP="00BE313E">
      <w:pPr>
        <w:pStyle w:val="Corpodetexto"/>
        <w:spacing w:before="360" w:after="360"/>
        <w:jc w:val="center"/>
        <w:rPr>
          <w:b/>
          <w:bCs/>
          <w:sz w:val="28"/>
          <w:szCs w:val="28"/>
        </w:rPr>
      </w:pPr>
      <w:r w:rsidRPr="00A42817">
        <w:rPr>
          <w:b/>
          <w:bCs/>
          <w:sz w:val="28"/>
          <w:szCs w:val="28"/>
        </w:rPr>
        <w:t xml:space="preserve">NOTA TÉCNICA </w:t>
      </w:r>
      <w:r w:rsidR="00F34CD7">
        <w:rPr>
          <w:b/>
          <w:bCs/>
          <w:sz w:val="28"/>
          <w:szCs w:val="28"/>
        </w:rPr>
        <w:t>N</w:t>
      </w:r>
      <w:r w:rsidRPr="00A42817">
        <w:rPr>
          <w:b/>
          <w:bCs/>
          <w:sz w:val="28"/>
          <w:szCs w:val="28"/>
        </w:rPr>
        <w:t>º 7/2020 – CGF/TCE-PR</w:t>
      </w:r>
      <w:r w:rsidR="001F68AB" w:rsidRPr="00A42817">
        <w:rPr>
          <w:rStyle w:val="Refdenotaderodap"/>
          <w:b/>
          <w:bCs/>
          <w:sz w:val="28"/>
          <w:szCs w:val="28"/>
        </w:rPr>
        <w:footnoteReference w:id="1"/>
      </w:r>
    </w:p>
    <w:p w14:paraId="3C2F9728" w14:textId="77777777" w:rsidR="00550938" w:rsidRPr="00A42817" w:rsidRDefault="0049068C" w:rsidP="00BE313E">
      <w:pPr>
        <w:spacing w:before="360" w:after="360"/>
        <w:ind w:left="4536"/>
        <w:jc w:val="both"/>
        <w:rPr>
          <w:i/>
          <w:iCs/>
        </w:rPr>
      </w:pPr>
      <w:r w:rsidRPr="00A42817">
        <w:rPr>
          <w:i/>
          <w:iCs/>
        </w:rPr>
        <w:t>Dispõe sobre a possibilidade de antecipação de pagamentos para a aquisição de bens destinados ao enfrentamento da COVID-19 e delimita os requisitos.</w:t>
      </w:r>
    </w:p>
    <w:p w14:paraId="69A76E27" w14:textId="22D43CE0" w:rsidR="00550938" w:rsidRPr="00A42817" w:rsidRDefault="0049068C" w:rsidP="005423DD">
      <w:pPr>
        <w:pStyle w:val="Corpodetexto"/>
        <w:spacing w:before="120"/>
        <w:ind w:firstLine="1134"/>
        <w:jc w:val="both"/>
        <w:rPr>
          <w:rFonts w:ascii="Arial" w:hAnsi="Arial" w:cs="Arial"/>
        </w:rPr>
      </w:pPr>
      <w:r w:rsidRPr="00A42817">
        <w:rPr>
          <w:rFonts w:ascii="Arial" w:hAnsi="Arial" w:cs="Arial"/>
        </w:rPr>
        <w:t xml:space="preserve">A </w:t>
      </w:r>
      <w:r w:rsidR="00C41827" w:rsidRPr="00A42817">
        <w:rPr>
          <w:rFonts w:ascii="Arial" w:hAnsi="Arial" w:cs="Arial"/>
          <w:b/>
          <w:bCs/>
        </w:rPr>
        <w:t>COORDENADORIA-GERAL DE FISCALIZAÇÃO – CGF DO TRIBUNAL DE CONTAS DO ESTADO DO PARANÁ</w:t>
      </w:r>
      <w:r w:rsidRPr="00A42817">
        <w:rPr>
          <w:rFonts w:ascii="Arial" w:hAnsi="Arial" w:cs="Arial"/>
        </w:rPr>
        <w:t xml:space="preserve">, em observância ao contido no art. 151-A, inciso IX, do Regimento Interno e ao disposto no Despacho </w:t>
      </w:r>
      <w:r w:rsidR="00F25B67" w:rsidRPr="00A42817">
        <w:rPr>
          <w:rFonts w:ascii="Arial" w:hAnsi="Arial" w:cs="Arial"/>
        </w:rPr>
        <w:t>nº</w:t>
      </w:r>
      <w:r w:rsidRPr="00A42817">
        <w:rPr>
          <w:rFonts w:ascii="Arial" w:hAnsi="Arial" w:cs="Arial"/>
        </w:rPr>
        <w:t xml:space="preserve"> 1380/2020 emitido nos autos 234597/20, externa seu posicionamento atinente ao instituto do adiantamento de pagamentos nos contratos públicos, notadamente em face do contido na Medida Provisória </w:t>
      </w:r>
      <w:r w:rsidR="00F25B67" w:rsidRPr="00A42817">
        <w:rPr>
          <w:rFonts w:ascii="Arial" w:hAnsi="Arial" w:cs="Arial"/>
        </w:rPr>
        <w:t>nº</w:t>
      </w:r>
      <w:r w:rsidRPr="00A42817">
        <w:rPr>
          <w:rFonts w:ascii="Arial" w:hAnsi="Arial" w:cs="Arial"/>
        </w:rPr>
        <w:t xml:space="preserve"> 961, de 6 de maio de 2020, cuja vigência limita-se a 31/12/2020, conforme previsto no Decreto Legislativo </w:t>
      </w:r>
      <w:r w:rsidR="00F25B67" w:rsidRPr="00A42817">
        <w:rPr>
          <w:rFonts w:ascii="Arial" w:hAnsi="Arial" w:cs="Arial"/>
        </w:rPr>
        <w:t>nº</w:t>
      </w:r>
      <w:r w:rsidRPr="00A42817">
        <w:rPr>
          <w:rFonts w:ascii="Arial" w:hAnsi="Arial" w:cs="Arial"/>
        </w:rPr>
        <w:t xml:space="preserve"> 6/2020:</w:t>
      </w:r>
    </w:p>
    <w:p w14:paraId="2CABD226" w14:textId="186F94A8" w:rsidR="00550938" w:rsidRPr="00A42817" w:rsidRDefault="00386FF4" w:rsidP="005423DD">
      <w:pPr>
        <w:pStyle w:val="PargrafodaLista"/>
        <w:numPr>
          <w:ilvl w:val="0"/>
          <w:numId w:val="1"/>
        </w:numPr>
        <w:tabs>
          <w:tab w:val="left" w:pos="357"/>
        </w:tabs>
        <w:spacing w:before="120"/>
        <w:ind w:left="0" w:right="0" w:firstLine="1134"/>
        <w:rPr>
          <w:rFonts w:ascii="Arial" w:hAnsi="Arial" w:cs="Arial"/>
          <w:sz w:val="24"/>
          <w:szCs w:val="24"/>
        </w:rPr>
      </w:pPr>
      <w:r w:rsidRPr="00A42817">
        <w:rPr>
          <w:rFonts w:ascii="Arial" w:hAnsi="Arial" w:cs="Arial"/>
          <w:sz w:val="24"/>
          <w:szCs w:val="24"/>
        </w:rPr>
        <w:t xml:space="preserve"> </w:t>
      </w:r>
      <w:r w:rsidR="0049068C" w:rsidRPr="00A42817">
        <w:rPr>
          <w:rFonts w:ascii="Arial" w:hAnsi="Arial" w:cs="Arial"/>
          <w:sz w:val="24"/>
          <w:szCs w:val="24"/>
        </w:rPr>
        <w:t>A antecipação de pagamentos poderá ser adotada, de forma excepcional, pela administração pública, estando pautada de forma motivada em elementos de fato contidos no processo de compra que comprovem uma das duas hipóteses:</w:t>
      </w:r>
      <w:r w:rsidRPr="00A42817">
        <w:rPr>
          <w:rFonts w:ascii="Arial" w:hAnsi="Arial" w:cs="Arial"/>
          <w:sz w:val="24"/>
          <w:szCs w:val="24"/>
        </w:rPr>
        <w:t xml:space="preserve"> </w:t>
      </w:r>
      <w:r w:rsidR="0049068C" w:rsidRPr="00A42817">
        <w:rPr>
          <w:rFonts w:ascii="Arial" w:hAnsi="Arial" w:cs="Arial"/>
          <w:sz w:val="24"/>
          <w:szCs w:val="24"/>
        </w:rPr>
        <w:t>(i) constituir-se como único meio viável para possibilitar a aquisição/contratação, ainda que no momento de calamidade pública provocada pela COVID-19 ou (ii) objetivar significativa economia no preço final à administração pública;</w:t>
      </w:r>
    </w:p>
    <w:p w14:paraId="712D249E" w14:textId="27837559" w:rsidR="00550938" w:rsidRPr="00A42817" w:rsidRDefault="00386FF4" w:rsidP="005423DD">
      <w:pPr>
        <w:pStyle w:val="PargrafodaLista"/>
        <w:numPr>
          <w:ilvl w:val="0"/>
          <w:numId w:val="1"/>
        </w:numPr>
        <w:tabs>
          <w:tab w:val="left" w:pos="465"/>
        </w:tabs>
        <w:spacing w:before="120"/>
        <w:ind w:left="0" w:right="0" w:firstLine="1134"/>
        <w:rPr>
          <w:rFonts w:ascii="Arial" w:hAnsi="Arial" w:cs="Arial"/>
          <w:sz w:val="24"/>
          <w:szCs w:val="24"/>
        </w:rPr>
      </w:pPr>
      <w:r w:rsidRPr="00A42817">
        <w:rPr>
          <w:rFonts w:ascii="Arial" w:hAnsi="Arial" w:cs="Arial"/>
          <w:sz w:val="24"/>
          <w:szCs w:val="24"/>
        </w:rPr>
        <w:t xml:space="preserve"> </w:t>
      </w:r>
      <w:r w:rsidR="0049068C" w:rsidRPr="00A42817">
        <w:rPr>
          <w:rFonts w:ascii="Arial" w:hAnsi="Arial" w:cs="Arial"/>
          <w:sz w:val="24"/>
          <w:szCs w:val="24"/>
        </w:rPr>
        <w:t xml:space="preserve">De acordo com a Medida Provisória </w:t>
      </w:r>
      <w:r w:rsidR="00F25B67" w:rsidRPr="00A42817">
        <w:rPr>
          <w:rFonts w:ascii="Arial" w:hAnsi="Arial" w:cs="Arial"/>
          <w:sz w:val="24"/>
          <w:szCs w:val="24"/>
        </w:rPr>
        <w:t>nº</w:t>
      </w:r>
      <w:r w:rsidR="0049068C" w:rsidRPr="00A42817">
        <w:rPr>
          <w:rFonts w:ascii="Arial" w:hAnsi="Arial" w:cs="Arial"/>
          <w:sz w:val="24"/>
          <w:szCs w:val="24"/>
        </w:rPr>
        <w:t xml:space="preserve"> 961/2020, a antecipação de pagamento </w:t>
      </w:r>
      <w:r w:rsidR="0049068C" w:rsidRPr="00A42817">
        <w:rPr>
          <w:rFonts w:ascii="Arial" w:hAnsi="Arial" w:cs="Arial"/>
          <w:i/>
          <w:sz w:val="24"/>
          <w:szCs w:val="24"/>
        </w:rPr>
        <w:t>“poderá prever cautelas aptas a reduzir o risco de inadimplemento contratual”</w:t>
      </w:r>
      <w:r w:rsidR="0049068C" w:rsidRPr="00A42817">
        <w:rPr>
          <w:rFonts w:ascii="Arial" w:hAnsi="Arial" w:cs="Arial"/>
          <w:sz w:val="24"/>
          <w:szCs w:val="24"/>
        </w:rPr>
        <w:t xml:space="preserve">. Nesse aspecto, orienta-se para que: (i) seja observado que as medidas previstas no art. 1º, §2º da MP 961/2020 são meramente exemplificativas e deverão ser avaliadas de acordo com a efetividade de minimizar os riscos no caso concreto; (ii) sejam adotadas preferencialmente, sempre que possível, as modalidades de seguro garantia ou fiança bancária, os quais não estariam sujeitos à arrecadação em processo de insolvência do contratado, conforme redação do artigo 110, §2º, II da Lei Federal </w:t>
      </w:r>
      <w:r w:rsidR="00F25B67" w:rsidRPr="00A42817">
        <w:rPr>
          <w:rFonts w:ascii="Arial" w:hAnsi="Arial" w:cs="Arial"/>
          <w:sz w:val="24"/>
          <w:szCs w:val="24"/>
        </w:rPr>
        <w:t>nº</w:t>
      </w:r>
      <w:r w:rsidR="0049068C" w:rsidRPr="00A42817">
        <w:rPr>
          <w:rFonts w:ascii="Arial" w:hAnsi="Arial" w:cs="Arial"/>
          <w:sz w:val="24"/>
          <w:szCs w:val="24"/>
        </w:rPr>
        <w:t xml:space="preserve"> 11.101/2005; (iii) em todas as antecipações de pagamento realizadas, seja promovida minuciosa avaliação dos requisitos econômico-financeiros da contratada, notadamente sob o aspecto patrimonial e de sua solvência, evitando- se a mera análise do capital social;</w:t>
      </w:r>
    </w:p>
    <w:p w14:paraId="0A741985" w14:textId="3D928212" w:rsidR="00550938" w:rsidRPr="00A42817" w:rsidRDefault="00151B03" w:rsidP="005423DD">
      <w:pPr>
        <w:pStyle w:val="Corpodetexto"/>
        <w:numPr>
          <w:ilvl w:val="0"/>
          <w:numId w:val="1"/>
        </w:numPr>
        <w:tabs>
          <w:tab w:val="left" w:pos="434"/>
          <w:tab w:val="left" w:pos="465"/>
        </w:tabs>
        <w:spacing w:before="120"/>
        <w:ind w:left="0" w:firstLine="1134"/>
        <w:jc w:val="both"/>
        <w:rPr>
          <w:rFonts w:ascii="Arial" w:hAnsi="Arial" w:cs="Arial"/>
        </w:rPr>
      </w:pPr>
      <w:r w:rsidRPr="00A42817">
        <w:rPr>
          <w:rFonts w:ascii="Arial" w:hAnsi="Arial" w:cs="Arial"/>
        </w:rPr>
        <w:t xml:space="preserve"> </w:t>
      </w:r>
      <w:r w:rsidR="00DF2C79" w:rsidRPr="00A42817">
        <w:rPr>
          <w:rFonts w:ascii="Arial" w:hAnsi="Arial" w:cs="Arial"/>
        </w:rPr>
        <w:t xml:space="preserve">De acordo com a Medida Provisória nº 961/2020, o pagamento parcial representa medida facultativa de cautela a ser adotada pela administração pública. Assim, recomenda-se ao gestor que – caso opte pelo </w:t>
      </w:r>
      <w:r w:rsidR="00DF2C79" w:rsidRPr="00A42817">
        <w:rPr>
          <w:rFonts w:ascii="Arial" w:hAnsi="Arial" w:cs="Arial"/>
        </w:rPr>
        <w:lastRenderedPageBreak/>
        <w:t xml:space="preserve">pagamento integral antecipado - motive adequadamente seu ato administrativo, haja vista </w:t>
      </w:r>
      <w:r w:rsidR="00DF2C79" w:rsidRPr="00A42817">
        <w:t>que isso resultaria na alocação de todo o risco para a administração pública,</w:t>
      </w:r>
      <w:r w:rsidR="007A36D3" w:rsidRPr="00A42817">
        <w:t xml:space="preserve"> </w:t>
      </w:r>
      <w:r w:rsidR="0049068C" w:rsidRPr="00A42817">
        <w:rPr>
          <w:rFonts w:ascii="Arial" w:hAnsi="Arial" w:cs="Arial"/>
        </w:rPr>
        <w:t>prática não recomendável como regra. Nesses casos, sugere-se ao gestor que pondere qual a forma de pagamento usual para o mercado do objeto contratado. E, caso não haja a mensuração do percentual aplicável no segmento de mercado, sugere-se que seja intentada a utilização do limite de 45% (quarenta e cinco por cento) atualmente praticado pelo Governo Federal, com o aval da Advocacia Geral da União;</w:t>
      </w:r>
    </w:p>
    <w:p w14:paraId="1F73D0B3" w14:textId="3B1703BF" w:rsidR="00550938" w:rsidRPr="00A42817" w:rsidRDefault="00DE1D5A" w:rsidP="005423DD">
      <w:pPr>
        <w:pStyle w:val="PargrafodaLista"/>
        <w:numPr>
          <w:ilvl w:val="0"/>
          <w:numId w:val="1"/>
        </w:numPr>
        <w:tabs>
          <w:tab w:val="left" w:pos="364"/>
        </w:tabs>
        <w:spacing w:before="120"/>
        <w:ind w:left="0" w:right="0" w:firstLine="1134"/>
        <w:rPr>
          <w:rFonts w:ascii="Arial" w:hAnsi="Arial" w:cs="Arial"/>
          <w:sz w:val="24"/>
          <w:szCs w:val="24"/>
        </w:rPr>
      </w:pPr>
      <w:r w:rsidRPr="00A42817">
        <w:rPr>
          <w:rFonts w:ascii="Arial" w:hAnsi="Arial" w:cs="Arial"/>
          <w:sz w:val="24"/>
          <w:szCs w:val="24"/>
        </w:rPr>
        <w:t xml:space="preserve"> </w:t>
      </w:r>
      <w:r w:rsidR="0049068C" w:rsidRPr="00A42817">
        <w:rPr>
          <w:rFonts w:ascii="Arial" w:hAnsi="Arial" w:cs="Arial"/>
          <w:sz w:val="24"/>
          <w:szCs w:val="24"/>
        </w:rPr>
        <w:t>O interesse na antecipação de pagamentos deverá ser informado na etapa de pesquisa de preços, além de estar prevista no edital ou no instrumento formal de adjudicação direta e no contrato administrativo firmado, haja vista tratar-se de informação essencial para a formação do preço e avaliação dos riscos pelos interessados;</w:t>
      </w:r>
    </w:p>
    <w:p w14:paraId="0FD97D4E" w14:textId="611C4727" w:rsidR="00550938" w:rsidRPr="00A42817" w:rsidRDefault="00DE1D5A" w:rsidP="005423DD">
      <w:pPr>
        <w:pStyle w:val="PargrafodaLista"/>
        <w:numPr>
          <w:ilvl w:val="0"/>
          <w:numId w:val="1"/>
        </w:numPr>
        <w:tabs>
          <w:tab w:val="left" w:pos="381"/>
        </w:tabs>
        <w:spacing w:before="120"/>
        <w:ind w:left="0" w:right="0" w:firstLine="1134"/>
        <w:rPr>
          <w:rFonts w:ascii="Arial" w:hAnsi="Arial" w:cs="Arial"/>
          <w:sz w:val="24"/>
          <w:szCs w:val="24"/>
        </w:rPr>
      </w:pPr>
      <w:r w:rsidRPr="00A42817">
        <w:rPr>
          <w:rFonts w:ascii="Arial" w:hAnsi="Arial" w:cs="Arial"/>
          <w:sz w:val="24"/>
          <w:szCs w:val="24"/>
        </w:rPr>
        <w:t xml:space="preserve"> </w:t>
      </w:r>
      <w:r w:rsidR="0049068C" w:rsidRPr="00A42817">
        <w:rPr>
          <w:rFonts w:ascii="Arial" w:hAnsi="Arial" w:cs="Arial"/>
          <w:sz w:val="24"/>
          <w:szCs w:val="24"/>
        </w:rPr>
        <w:t xml:space="preserve">Caso a motivação pondere pela sensível economia no preço final, avaliar se igual redução do preço final não seria viável com o pagamento em 5 (cinco) dias para as despesas contempladas no autorizativo do artigo 5º, §3º, da Lei Federal de Licitações. Considere-se que as referências do dispositivo legal devem ser analisadas dentro do contexto da Medida Provisória </w:t>
      </w:r>
      <w:r w:rsidR="00F25B67" w:rsidRPr="00A42817">
        <w:rPr>
          <w:rFonts w:ascii="Arial" w:hAnsi="Arial" w:cs="Arial"/>
          <w:sz w:val="24"/>
          <w:szCs w:val="24"/>
        </w:rPr>
        <w:t>nº</w:t>
      </w:r>
      <w:r w:rsidR="0049068C" w:rsidRPr="00A42817">
        <w:rPr>
          <w:rFonts w:ascii="Arial" w:hAnsi="Arial" w:cs="Arial"/>
          <w:sz w:val="24"/>
          <w:szCs w:val="24"/>
        </w:rPr>
        <w:t xml:space="preserve"> 961/2020, enquanto perdurar esta norma;</w:t>
      </w:r>
    </w:p>
    <w:p w14:paraId="3E81F7D7" w14:textId="3D0399AB" w:rsidR="00550938" w:rsidRPr="00A42817" w:rsidRDefault="00DE1D5A" w:rsidP="005423DD">
      <w:pPr>
        <w:pStyle w:val="PargrafodaLista"/>
        <w:numPr>
          <w:ilvl w:val="0"/>
          <w:numId w:val="1"/>
        </w:numPr>
        <w:tabs>
          <w:tab w:val="left" w:pos="374"/>
        </w:tabs>
        <w:spacing w:before="120"/>
        <w:ind w:left="0" w:right="0" w:firstLine="1134"/>
        <w:rPr>
          <w:rFonts w:ascii="Arial" w:hAnsi="Arial" w:cs="Arial"/>
          <w:sz w:val="24"/>
          <w:szCs w:val="24"/>
        </w:rPr>
      </w:pPr>
      <w:r w:rsidRPr="00A42817">
        <w:rPr>
          <w:rFonts w:ascii="Arial" w:hAnsi="Arial" w:cs="Arial"/>
          <w:sz w:val="24"/>
          <w:szCs w:val="24"/>
        </w:rPr>
        <w:t xml:space="preserve"> </w:t>
      </w:r>
      <w:r w:rsidR="0049068C" w:rsidRPr="00A42817">
        <w:rPr>
          <w:rFonts w:ascii="Arial" w:hAnsi="Arial" w:cs="Arial"/>
          <w:sz w:val="24"/>
          <w:szCs w:val="24"/>
        </w:rPr>
        <w:t>Caso a motivação pondere que se trata do único meio viável para possibilitar a aquisição/contratação de bem ou insumo destinado para o enfrentamento da COVID-19, este fato será considerado como um dos elementos necessários para se validar a motivação da administração pública, bem como o ato administrativo;</w:t>
      </w:r>
    </w:p>
    <w:p w14:paraId="6A74061D" w14:textId="4E2B1B66" w:rsidR="00550938" w:rsidRPr="00A42817" w:rsidRDefault="00DE1D5A" w:rsidP="005423DD">
      <w:pPr>
        <w:pStyle w:val="PargrafodaLista"/>
        <w:numPr>
          <w:ilvl w:val="0"/>
          <w:numId w:val="1"/>
        </w:numPr>
        <w:tabs>
          <w:tab w:val="left" w:pos="366"/>
        </w:tabs>
        <w:spacing w:before="120"/>
        <w:ind w:left="0" w:right="0" w:firstLine="1134"/>
        <w:rPr>
          <w:rFonts w:ascii="Arial" w:hAnsi="Arial" w:cs="Arial"/>
          <w:sz w:val="24"/>
          <w:szCs w:val="24"/>
        </w:rPr>
      </w:pPr>
      <w:r w:rsidRPr="00A42817">
        <w:rPr>
          <w:rFonts w:ascii="Arial" w:hAnsi="Arial" w:cs="Arial"/>
          <w:sz w:val="24"/>
          <w:szCs w:val="24"/>
        </w:rPr>
        <w:t xml:space="preserve"> </w:t>
      </w:r>
      <w:r w:rsidR="0049068C" w:rsidRPr="00A42817">
        <w:rPr>
          <w:rFonts w:ascii="Arial" w:hAnsi="Arial" w:cs="Arial"/>
          <w:sz w:val="24"/>
          <w:szCs w:val="24"/>
        </w:rPr>
        <w:t>A antecipação de pagamento não poderá ser utilizada de forma reiterada pela administração pública, em virtude de resultar em ofensa à ordem cronológica de pagamentos prevista no artigo 5º da Lei Federal de Licitações</w:t>
      </w:r>
      <w:r w:rsidR="0049068C" w:rsidRPr="00EE7806">
        <w:rPr>
          <w:rFonts w:ascii="Arial" w:hAnsi="Arial" w:cs="Arial"/>
          <w:sz w:val="18"/>
          <w:szCs w:val="18"/>
          <w:vertAlign w:val="superscript"/>
        </w:rPr>
        <w:t>1</w:t>
      </w:r>
      <w:r w:rsidR="0049068C" w:rsidRPr="00A42817">
        <w:rPr>
          <w:rFonts w:ascii="Arial" w:hAnsi="Arial" w:cs="Arial"/>
          <w:sz w:val="24"/>
          <w:szCs w:val="24"/>
        </w:rPr>
        <w:t>.</w:t>
      </w:r>
    </w:p>
    <w:p w14:paraId="001B7DC0" w14:textId="77777777" w:rsidR="00550938" w:rsidRPr="00A42817" w:rsidRDefault="00550938">
      <w:pPr>
        <w:pStyle w:val="Corpodetexto"/>
        <w:rPr>
          <w:sz w:val="28"/>
        </w:rPr>
      </w:pPr>
    </w:p>
    <w:p w14:paraId="39B3E1DA" w14:textId="77777777" w:rsidR="00550938" w:rsidRPr="00A42817" w:rsidRDefault="00550938">
      <w:pPr>
        <w:pStyle w:val="Corpodetexto"/>
        <w:rPr>
          <w:sz w:val="26"/>
        </w:rPr>
      </w:pPr>
    </w:p>
    <w:p w14:paraId="44EC3D64" w14:textId="77777777" w:rsidR="00550938" w:rsidRPr="00A42817" w:rsidRDefault="0049068C" w:rsidP="00D85381">
      <w:pPr>
        <w:pStyle w:val="Corpodetexto"/>
        <w:jc w:val="center"/>
      </w:pPr>
      <w:r w:rsidRPr="00A42817">
        <w:t>CGF, 28 de maio de 2020.</w:t>
      </w:r>
    </w:p>
    <w:p w14:paraId="5277DD64" w14:textId="77777777" w:rsidR="00D85381" w:rsidRPr="00A42817" w:rsidRDefault="00D85381" w:rsidP="00D85381">
      <w:pPr>
        <w:pStyle w:val="Corpodetexto"/>
        <w:jc w:val="center"/>
      </w:pPr>
    </w:p>
    <w:p w14:paraId="3A52E29A" w14:textId="77777777" w:rsidR="00D85381" w:rsidRPr="00A42817" w:rsidRDefault="00D85381" w:rsidP="00D85381">
      <w:pPr>
        <w:pStyle w:val="Corpodetexto"/>
        <w:jc w:val="center"/>
      </w:pPr>
    </w:p>
    <w:p w14:paraId="6287E767" w14:textId="77777777" w:rsidR="00D85381" w:rsidRPr="00A42817" w:rsidRDefault="00D85381" w:rsidP="00D85381">
      <w:pPr>
        <w:pStyle w:val="Corpodetexto"/>
        <w:jc w:val="center"/>
      </w:pPr>
    </w:p>
    <w:p w14:paraId="35FBFB59" w14:textId="77777777" w:rsidR="00550938" w:rsidRPr="00A42817" w:rsidRDefault="0049068C" w:rsidP="00D85381">
      <w:pPr>
        <w:pStyle w:val="Corpodetexto"/>
        <w:jc w:val="center"/>
      </w:pPr>
      <w:r w:rsidRPr="00A42817">
        <w:rPr>
          <w:color w:val="808080"/>
        </w:rPr>
        <w:t>-assinatura digital-</w:t>
      </w:r>
    </w:p>
    <w:p w14:paraId="1EE64CE4" w14:textId="77777777" w:rsidR="00550938" w:rsidRPr="00A42817" w:rsidRDefault="0049068C" w:rsidP="00D85381">
      <w:pPr>
        <w:jc w:val="center"/>
        <w:rPr>
          <w:rFonts w:ascii="Arial" w:hAnsi="Arial"/>
          <w:b/>
          <w:sz w:val="24"/>
        </w:rPr>
      </w:pPr>
      <w:r w:rsidRPr="00A42817">
        <w:rPr>
          <w:rFonts w:ascii="Arial" w:hAnsi="Arial"/>
          <w:b/>
          <w:sz w:val="24"/>
        </w:rPr>
        <w:t>RAFAEL MORAIS GONÇALVES AYRES</w:t>
      </w:r>
    </w:p>
    <w:p w14:paraId="78862582" w14:textId="77777777" w:rsidR="00D85381" w:rsidRPr="00A42817" w:rsidRDefault="0049068C" w:rsidP="00D85381">
      <w:pPr>
        <w:pStyle w:val="Corpodetexto"/>
        <w:jc w:val="center"/>
      </w:pPr>
      <w:r w:rsidRPr="00A42817">
        <w:t>Coordenador-Geral de Fiscalização</w:t>
      </w:r>
    </w:p>
    <w:p w14:paraId="04208C37" w14:textId="63C0DA5E" w:rsidR="00550938" w:rsidRPr="00A42817" w:rsidRDefault="0049068C" w:rsidP="00D85381">
      <w:pPr>
        <w:pStyle w:val="Corpodetexto"/>
        <w:jc w:val="center"/>
      </w:pPr>
      <w:r w:rsidRPr="00A42817">
        <w:t xml:space="preserve"> Matrícula nº 51298-2</w:t>
      </w:r>
    </w:p>
    <w:p w14:paraId="6FAFD519" w14:textId="6C3DB3DC" w:rsidR="00550938" w:rsidRPr="00A42817" w:rsidRDefault="0049068C">
      <w:pPr>
        <w:pStyle w:val="Corpodetexto"/>
        <w:spacing w:before="4"/>
        <w:rPr>
          <w:sz w:val="20"/>
        </w:rPr>
      </w:pPr>
      <w:r w:rsidRPr="00A42817">
        <w:rPr>
          <w:noProof/>
        </w:rPr>
        <mc:AlternateContent>
          <mc:Choice Requires="wps">
            <w:drawing>
              <wp:anchor distT="0" distB="0" distL="0" distR="0" simplePos="0" relativeHeight="251657728" behindDoc="1" locked="0" layoutInCell="1" allowOverlap="1" wp14:anchorId="54E56F95" wp14:editId="6FE2D621">
                <wp:simplePos x="0" y="0"/>
                <wp:positionH relativeFrom="page">
                  <wp:posOffset>1080770</wp:posOffset>
                </wp:positionH>
                <wp:positionV relativeFrom="paragraph">
                  <wp:posOffset>173990</wp:posOffset>
                </wp:positionV>
                <wp:extent cx="1828800" cy="8890"/>
                <wp:effectExtent l="0" t="0" r="0" b="0"/>
                <wp:wrapTopAndBottom/>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0BADD" id="Rectangle 2" o:spid="_x0000_s1026" style="position:absolute;margin-left:85.1pt;margin-top:13.7pt;width:2in;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" fillcolor="black" stroked="f">
                <w10:wrap type="topAndBottom" anchorx="page"/>
              </v:rect>
            </w:pict>
          </mc:Fallback>
        </mc:AlternateContent>
      </w:r>
    </w:p>
    <w:p w14:paraId="478F05FC" w14:textId="77777777" w:rsidR="00550938" w:rsidRPr="00A42817" w:rsidRDefault="0049068C" w:rsidP="00D85381">
      <w:pPr>
        <w:ind w:left="142" w:hanging="142"/>
        <w:jc w:val="both"/>
        <w:rPr>
          <w:rFonts w:ascii="Calibri" w:hAnsi="Calibri"/>
          <w:sz w:val="20"/>
        </w:rPr>
      </w:pPr>
      <w:r w:rsidRPr="00A42817">
        <w:rPr>
          <w:rFonts w:ascii="Calibri" w:hAnsi="Calibri"/>
          <w:sz w:val="20"/>
          <w:vertAlign w:val="superscript"/>
        </w:rPr>
        <w:t>1</w:t>
      </w:r>
      <w:r w:rsidRPr="00A42817">
        <w:rPr>
          <w:rFonts w:ascii="Calibri" w:hAnsi="Calibri"/>
          <w:sz w:val="20"/>
        </w:rPr>
        <w:t xml:space="preserve"> </w:t>
      </w:r>
      <w:r w:rsidRPr="006B43AF">
        <w:rPr>
          <w:rFonts w:ascii="Arial" w:hAnsi="Arial" w:cs="Arial"/>
          <w:sz w:val="18"/>
          <w:szCs w:val="18"/>
        </w:rPr>
        <w:t>A utilização imoderada da antecipação de pagamentos, além de elevar o risco da administração pública no contrato administrativo, poderá ocasionar majoração da inadimplência e afronta à segurança jurídica (princípio da confiança) pelos fornecedores que já detenham contratos em vigor.</w:t>
      </w:r>
    </w:p>
    <w:sectPr w:rsidR="00550938" w:rsidRPr="00A42817" w:rsidSect="004C77B0">
      <w:headerReference w:type="default" r:id="rId7"/>
      <w:footnotePr>
        <w:numFmt w:val="chicago"/>
      </w:footnotePr>
      <w:pgSz w:w="11910" w:h="16840"/>
      <w:pgMar w:top="1418" w:right="1701" w:bottom="1418" w:left="1701" w:header="142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67965" w14:textId="77777777" w:rsidR="00150688" w:rsidRDefault="00150688">
      <w:r>
        <w:separator/>
      </w:r>
    </w:p>
  </w:endnote>
  <w:endnote w:type="continuationSeparator" w:id="0">
    <w:p w14:paraId="44A4CF99" w14:textId="77777777" w:rsidR="00150688" w:rsidRDefault="0015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2668F" w14:textId="77777777" w:rsidR="00150688" w:rsidRDefault="00150688">
      <w:r>
        <w:separator/>
      </w:r>
    </w:p>
  </w:footnote>
  <w:footnote w:type="continuationSeparator" w:id="0">
    <w:p w14:paraId="45DAA31B" w14:textId="77777777" w:rsidR="00150688" w:rsidRDefault="00150688">
      <w:r>
        <w:continuationSeparator/>
      </w:r>
    </w:p>
  </w:footnote>
  <w:footnote w:id="1">
    <w:p w14:paraId="4AE20016" w14:textId="5F76BF2B" w:rsidR="009E3692" w:rsidRPr="00245ED6" w:rsidRDefault="001F68AB" w:rsidP="00655800">
      <w:pPr>
        <w:pStyle w:val="Textodenotaderodap"/>
        <w:jc w:val="both"/>
        <w:rPr>
          <w:rFonts w:ascii="Arial" w:hAnsi="Arial" w:cs="Arial"/>
        </w:rPr>
      </w:pPr>
      <w:r>
        <w:rPr>
          <w:rStyle w:val="Refdenotaderodap"/>
        </w:rPr>
        <w:footnoteRef/>
      </w:r>
      <w:r>
        <w:t xml:space="preserve"> </w:t>
      </w:r>
      <w:r w:rsidR="009E3692" w:rsidRPr="00245ED6">
        <w:rPr>
          <w:rFonts w:ascii="Arial" w:hAnsi="Arial" w:cs="Arial"/>
          <w:b/>
        </w:rPr>
        <w:t>Notas da Biblioteca:</w:t>
      </w:r>
    </w:p>
    <w:p w14:paraId="5B2A24EE" w14:textId="203B7B3A" w:rsidR="009E3692" w:rsidRPr="006B43AF" w:rsidRDefault="009E3692" w:rsidP="00655800">
      <w:pPr>
        <w:pStyle w:val="NormalWeb"/>
        <w:numPr>
          <w:ilvl w:val="0"/>
          <w:numId w:val="2"/>
        </w:numPr>
        <w:spacing w:before="0" w:beforeAutospacing="0" w:after="0" w:afterAutospacing="0"/>
        <w:ind w:left="426" w:hanging="284"/>
        <w:jc w:val="both"/>
        <w:rPr>
          <w:rFonts w:ascii="Arial" w:hAnsi="Arial" w:cs="Arial"/>
          <w:sz w:val="18"/>
          <w:szCs w:val="18"/>
        </w:rPr>
      </w:pPr>
      <w:r w:rsidRPr="006B43AF">
        <w:rPr>
          <w:rFonts w:ascii="Arial" w:hAnsi="Arial" w:cs="Arial"/>
          <w:sz w:val="18"/>
          <w:szCs w:val="18"/>
        </w:rPr>
        <w:t xml:space="preserve">Este texto não substitui o publicado no periódico: </w:t>
      </w:r>
      <w:hyperlink r:id="rId1" w:history="1">
        <w:r w:rsidRPr="006B43AF">
          <w:rPr>
            <w:rStyle w:val="Hyperlink"/>
            <w:rFonts w:ascii="Arial" w:hAnsi="Arial" w:cs="Arial"/>
            <w:b/>
            <w:bCs/>
            <w:sz w:val="18"/>
            <w:szCs w:val="18"/>
          </w:rPr>
          <w:t>Diário Eletrônico do Tribunal de Contas do Estado do Paraná</w:t>
        </w:r>
        <w:r w:rsidRPr="006B43AF">
          <w:rPr>
            <w:rStyle w:val="Hyperlink"/>
            <w:rFonts w:ascii="Arial" w:hAnsi="Arial" w:cs="Arial"/>
            <w:sz w:val="18"/>
            <w:szCs w:val="18"/>
          </w:rPr>
          <w:t>, Curitiba, PR, n. 2341, 17 jul. 2020, p. 36</w:t>
        </w:r>
      </w:hyperlink>
      <w:r w:rsidRPr="006B43AF">
        <w:rPr>
          <w:rFonts w:ascii="Arial" w:hAnsi="Arial" w:cs="Arial"/>
          <w:sz w:val="18"/>
          <w:szCs w:val="18"/>
        </w:rPr>
        <w:t>.</w:t>
      </w:r>
    </w:p>
    <w:p w14:paraId="2FF413DD" w14:textId="40005C71" w:rsidR="001F68AB" w:rsidRPr="001F68AB" w:rsidRDefault="009E3692" w:rsidP="00655800">
      <w:pPr>
        <w:pStyle w:val="Textodenotaderodap"/>
        <w:numPr>
          <w:ilvl w:val="0"/>
          <w:numId w:val="2"/>
        </w:numPr>
        <w:ind w:left="426" w:hanging="284"/>
        <w:jc w:val="both"/>
        <w:rPr>
          <w:lang w:val="pt-BR"/>
        </w:rPr>
      </w:pPr>
      <w:r w:rsidRPr="006B43AF">
        <w:rPr>
          <w:rStyle w:val="Forte"/>
          <w:rFonts w:ascii="Arial" w:hAnsi="Arial" w:cs="Arial"/>
          <w:sz w:val="18"/>
          <w:szCs w:val="18"/>
        </w:rPr>
        <w:t>Republicação</w:t>
      </w:r>
      <w:r w:rsidRPr="006B43AF">
        <w:rPr>
          <w:rFonts w:ascii="Arial" w:hAnsi="Arial" w:cs="Arial"/>
          <w:sz w:val="18"/>
          <w:szCs w:val="18"/>
        </w:rPr>
        <w:t> (por incorreção no item 5 da Nota Técnica)</w:t>
      </w:r>
      <w:r w:rsidRPr="006B43AF">
        <w:rPr>
          <w:rStyle w:val="Forte"/>
          <w:rFonts w:ascii="Arial" w:hAnsi="Arial" w:cs="Arial"/>
          <w:sz w:val="18"/>
          <w:szCs w:val="18"/>
        </w:rPr>
        <w:t> </w:t>
      </w:r>
      <w:r w:rsidRPr="006B43AF">
        <w:rPr>
          <w:rFonts w:ascii="Arial" w:hAnsi="Arial" w:cs="Arial"/>
          <w:sz w:val="18"/>
          <w:szCs w:val="18"/>
        </w:rPr>
        <w:t>disponível em: </w:t>
      </w:r>
      <w:hyperlink r:id="rId2" w:history="1">
        <w:r w:rsidRPr="006B43AF">
          <w:rPr>
            <w:rStyle w:val="Hyperlink"/>
            <w:rFonts w:ascii="Arial" w:hAnsi="Arial" w:cs="Arial"/>
            <w:b/>
            <w:bCs/>
            <w:sz w:val="18"/>
            <w:szCs w:val="18"/>
          </w:rPr>
          <w:t>Diário Eletrônico do Tribunal de Contas do Estado do Paraná</w:t>
        </w:r>
        <w:r w:rsidRPr="006B43AF">
          <w:rPr>
            <w:rStyle w:val="Hyperlink"/>
            <w:rFonts w:ascii="Arial" w:hAnsi="Arial" w:cs="Arial"/>
            <w:sz w:val="18"/>
            <w:szCs w:val="18"/>
          </w:rPr>
          <w:t>, Curitiba, PR, n. 2344, 22 jul. 2020, p. 65</w:t>
        </w:r>
      </w:hyperlink>
      <w:r w:rsidRPr="006B43AF">
        <w:rPr>
          <w:rFonts w:ascii="Arial" w:hAnsi="Arial" w:cs="Arial"/>
          <w:color w:val="0000FF"/>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AF32" w14:textId="593CF623" w:rsidR="000A2AEA" w:rsidRDefault="000A2AEA" w:rsidP="000A2AEA">
    <w:pPr>
      <w:tabs>
        <w:tab w:val="center" w:pos="4252"/>
        <w:tab w:val="right" w:pos="8504"/>
      </w:tabs>
      <w:spacing w:after="120"/>
      <w:ind w:left="1134"/>
      <w:jc w:val="center"/>
      <w:rPr>
        <w:rFonts w:ascii="Arial" w:hAnsi="Arial" w:cs="Arial"/>
        <w:b/>
        <w:sz w:val="30"/>
        <w:szCs w:val="30"/>
      </w:rPr>
    </w:pPr>
    <w:r>
      <w:rPr>
        <w:rFonts w:ascii="Times New Roman" w:hAnsi="Times New Roman" w:cs="Times New Roman"/>
        <w:noProof/>
        <w:sz w:val="20"/>
        <w:szCs w:val="20"/>
      </w:rPr>
      <w:drawing>
        <wp:anchor distT="0" distB="0" distL="114300" distR="114300" simplePos="0" relativeHeight="251659264" behindDoc="0" locked="0" layoutInCell="1" allowOverlap="1" wp14:anchorId="0AAADF4D" wp14:editId="50F3E452">
          <wp:simplePos x="0" y="0"/>
          <wp:positionH relativeFrom="margin">
            <wp:align>left</wp:align>
          </wp:positionH>
          <wp:positionV relativeFrom="paragraph">
            <wp:posOffset>-189865</wp:posOffset>
          </wp:positionV>
          <wp:extent cx="605790" cy="712470"/>
          <wp:effectExtent l="0" t="0" r="3810" b="0"/>
          <wp:wrapSquare wrapText="bothSides"/>
          <wp:docPr id="10" name="Imagem 10"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pic:spPr>
              </pic:pic>
            </a:graphicData>
          </a:graphic>
          <wp14:sizeRelH relativeFrom="page">
            <wp14:pctWidth>0</wp14:pctWidth>
          </wp14:sizeRelH>
          <wp14:sizeRelV relativeFrom="page">
            <wp14:pctHeight>0</wp14:pctHeight>
          </wp14:sizeRelV>
        </wp:anchor>
      </w:drawing>
    </w:r>
    <w:r w:rsidRPr="0036255E">
      <w:rPr>
        <w:rFonts w:ascii="Arial" w:hAnsi="Arial" w:cs="Arial"/>
        <w:b/>
        <w:sz w:val="30"/>
        <w:szCs w:val="30"/>
      </w:rPr>
      <w:t>TRIBUNAL DE CONTAS DO ESTADO DO PARANÁ</w:t>
    </w:r>
  </w:p>
  <w:p w14:paraId="7FDDCA68" w14:textId="77777777" w:rsidR="000A2AEA" w:rsidRPr="00F34CD7" w:rsidRDefault="000A2AEA" w:rsidP="005423DD">
    <w:pPr>
      <w:tabs>
        <w:tab w:val="center" w:pos="4252"/>
        <w:tab w:val="right" w:pos="8504"/>
      </w:tabs>
      <w:spacing w:before="120" w:after="240"/>
      <w:ind w:left="1134"/>
      <w:jc w:val="center"/>
      <w:rPr>
        <w:sz w:val="28"/>
        <w:szCs w:val="28"/>
      </w:rPr>
    </w:pPr>
    <w:r w:rsidRPr="00F34CD7">
      <w:rPr>
        <w:rFonts w:ascii="Arial" w:hAnsi="Arial" w:cs="Arial"/>
        <w:b/>
        <w:sz w:val="28"/>
        <w:szCs w:val="28"/>
      </w:rPr>
      <w:t>Coordenadoria-Geral de Fiscalização</w:t>
    </w:r>
  </w:p>
  <w:p w14:paraId="6255B708" w14:textId="50105375" w:rsidR="00550938" w:rsidRDefault="00550938">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40B80"/>
    <w:multiLevelType w:val="hybridMultilevel"/>
    <w:tmpl w:val="B074D70E"/>
    <w:lvl w:ilvl="0" w:tplc="0416000F">
      <w:start w:val="1"/>
      <w:numFmt w:val="decimal"/>
      <w:lvlText w:val="%1."/>
      <w:lvlJc w:val="left"/>
      <w:pPr>
        <w:ind w:left="102" w:hanging="255"/>
      </w:pPr>
      <w:rPr>
        <w:rFonts w:hint="default"/>
        <w:w w:val="99"/>
        <w:sz w:val="24"/>
        <w:szCs w:val="24"/>
        <w:lang w:val="pt-PT" w:eastAsia="en-US" w:bidi="ar-SA"/>
      </w:rPr>
    </w:lvl>
    <w:lvl w:ilvl="1" w:tplc="8160D4F4">
      <w:numFmt w:val="bullet"/>
      <w:lvlText w:val="•"/>
      <w:lvlJc w:val="left"/>
      <w:pPr>
        <w:ind w:left="962" w:hanging="255"/>
      </w:pPr>
      <w:rPr>
        <w:rFonts w:hint="default"/>
        <w:lang w:val="pt-PT" w:eastAsia="en-US" w:bidi="ar-SA"/>
      </w:rPr>
    </w:lvl>
    <w:lvl w:ilvl="2" w:tplc="0F0E0750">
      <w:numFmt w:val="bullet"/>
      <w:lvlText w:val="•"/>
      <w:lvlJc w:val="left"/>
      <w:pPr>
        <w:ind w:left="1825" w:hanging="255"/>
      </w:pPr>
      <w:rPr>
        <w:rFonts w:hint="default"/>
        <w:lang w:val="pt-PT" w:eastAsia="en-US" w:bidi="ar-SA"/>
      </w:rPr>
    </w:lvl>
    <w:lvl w:ilvl="3" w:tplc="D77647DE">
      <w:numFmt w:val="bullet"/>
      <w:lvlText w:val="•"/>
      <w:lvlJc w:val="left"/>
      <w:pPr>
        <w:ind w:left="2687" w:hanging="255"/>
      </w:pPr>
      <w:rPr>
        <w:rFonts w:hint="default"/>
        <w:lang w:val="pt-PT" w:eastAsia="en-US" w:bidi="ar-SA"/>
      </w:rPr>
    </w:lvl>
    <w:lvl w:ilvl="4" w:tplc="606A3FD4">
      <w:numFmt w:val="bullet"/>
      <w:lvlText w:val="•"/>
      <w:lvlJc w:val="left"/>
      <w:pPr>
        <w:ind w:left="3550" w:hanging="255"/>
      </w:pPr>
      <w:rPr>
        <w:rFonts w:hint="default"/>
        <w:lang w:val="pt-PT" w:eastAsia="en-US" w:bidi="ar-SA"/>
      </w:rPr>
    </w:lvl>
    <w:lvl w:ilvl="5" w:tplc="26222B60">
      <w:numFmt w:val="bullet"/>
      <w:lvlText w:val="•"/>
      <w:lvlJc w:val="left"/>
      <w:pPr>
        <w:ind w:left="4413" w:hanging="255"/>
      </w:pPr>
      <w:rPr>
        <w:rFonts w:hint="default"/>
        <w:lang w:val="pt-PT" w:eastAsia="en-US" w:bidi="ar-SA"/>
      </w:rPr>
    </w:lvl>
    <w:lvl w:ilvl="6" w:tplc="6258570A">
      <w:numFmt w:val="bullet"/>
      <w:lvlText w:val="•"/>
      <w:lvlJc w:val="left"/>
      <w:pPr>
        <w:ind w:left="5275" w:hanging="255"/>
      </w:pPr>
      <w:rPr>
        <w:rFonts w:hint="default"/>
        <w:lang w:val="pt-PT" w:eastAsia="en-US" w:bidi="ar-SA"/>
      </w:rPr>
    </w:lvl>
    <w:lvl w:ilvl="7" w:tplc="90B29420">
      <w:numFmt w:val="bullet"/>
      <w:lvlText w:val="•"/>
      <w:lvlJc w:val="left"/>
      <w:pPr>
        <w:ind w:left="6138" w:hanging="255"/>
      </w:pPr>
      <w:rPr>
        <w:rFonts w:hint="default"/>
        <w:lang w:val="pt-PT" w:eastAsia="en-US" w:bidi="ar-SA"/>
      </w:rPr>
    </w:lvl>
    <w:lvl w:ilvl="8" w:tplc="FB5815CC">
      <w:numFmt w:val="bullet"/>
      <w:lvlText w:val="•"/>
      <w:lvlJc w:val="left"/>
      <w:pPr>
        <w:ind w:left="7001" w:hanging="255"/>
      </w:pPr>
      <w:rPr>
        <w:rFonts w:hint="default"/>
        <w:lang w:val="pt-PT" w:eastAsia="en-US" w:bidi="ar-SA"/>
      </w:rPr>
    </w:lvl>
  </w:abstractNum>
  <w:abstractNum w:abstractNumId="1" w15:restartNumberingAfterBreak="0">
    <w:nsid w:val="5F6916C6"/>
    <w:multiLevelType w:val="hybridMultilevel"/>
    <w:tmpl w:val="C1E65074"/>
    <w:lvl w:ilvl="0" w:tplc="ABAC6AF4">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2429517">
    <w:abstractNumId w:val="0"/>
  </w:num>
  <w:num w:numId="2" w16cid:durableId="1478105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38"/>
    <w:rsid w:val="000A2AEA"/>
    <w:rsid w:val="00103923"/>
    <w:rsid w:val="00122391"/>
    <w:rsid w:val="00150688"/>
    <w:rsid w:val="00151B03"/>
    <w:rsid w:val="001F68AB"/>
    <w:rsid w:val="002116B8"/>
    <w:rsid w:val="00245ED6"/>
    <w:rsid w:val="002A5DDC"/>
    <w:rsid w:val="00386FF4"/>
    <w:rsid w:val="003F13A5"/>
    <w:rsid w:val="0047199E"/>
    <w:rsid w:val="00482714"/>
    <w:rsid w:val="00484B32"/>
    <w:rsid w:val="0049068C"/>
    <w:rsid w:val="004C77B0"/>
    <w:rsid w:val="005423DD"/>
    <w:rsid w:val="00550938"/>
    <w:rsid w:val="00590651"/>
    <w:rsid w:val="00651BB8"/>
    <w:rsid w:val="00655800"/>
    <w:rsid w:val="006B43AF"/>
    <w:rsid w:val="007A36D3"/>
    <w:rsid w:val="00814DA0"/>
    <w:rsid w:val="008A677D"/>
    <w:rsid w:val="009665A2"/>
    <w:rsid w:val="0099064C"/>
    <w:rsid w:val="009E0D75"/>
    <w:rsid w:val="009E3692"/>
    <w:rsid w:val="00A42817"/>
    <w:rsid w:val="00AF706B"/>
    <w:rsid w:val="00B0325F"/>
    <w:rsid w:val="00BE313E"/>
    <w:rsid w:val="00C047D1"/>
    <w:rsid w:val="00C144D8"/>
    <w:rsid w:val="00C41827"/>
    <w:rsid w:val="00C62090"/>
    <w:rsid w:val="00D8389D"/>
    <w:rsid w:val="00D85381"/>
    <w:rsid w:val="00DE1D5A"/>
    <w:rsid w:val="00DF2C79"/>
    <w:rsid w:val="00E01B60"/>
    <w:rsid w:val="00EE7806"/>
    <w:rsid w:val="00F25B67"/>
    <w:rsid w:val="00F34C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5BBCD"/>
  <w15:docId w15:val="{F353F680-6B90-413B-9248-5FE39E76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102" w:right="11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047D1"/>
    <w:pPr>
      <w:tabs>
        <w:tab w:val="center" w:pos="4252"/>
        <w:tab w:val="right" w:pos="8504"/>
      </w:tabs>
    </w:pPr>
  </w:style>
  <w:style w:type="character" w:customStyle="1" w:styleId="CabealhoChar">
    <w:name w:val="Cabeçalho Char"/>
    <w:basedOn w:val="Fontepargpadro"/>
    <w:link w:val="Cabealho"/>
    <w:uiPriority w:val="99"/>
    <w:rsid w:val="00C047D1"/>
    <w:rPr>
      <w:rFonts w:ascii="Arial MT" w:eastAsia="Arial MT" w:hAnsi="Arial MT" w:cs="Arial MT"/>
      <w:lang w:val="pt-PT"/>
    </w:rPr>
  </w:style>
  <w:style w:type="paragraph" w:styleId="Rodap">
    <w:name w:val="footer"/>
    <w:basedOn w:val="Normal"/>
    <w:link w:val="RodapChar"/>
    <w:uiPriority w:val="99"/>
    <w:unhideWhenUsed/>
    <w:rsid w:val="00C047D1"/>
    <w:pPr>
      <w:tabs>
        <w:tab w:val="center" w:pos="4252"/>
        <w:tab w:val="right" w:pos="8504"/>
      </w:tabs>
    </w:pPr>
  </w:style>
  <w:style w:type="character" w:customStyle="1" w:styleId="RodapChar">
    <w:name w:val="Rodapé Char"/>
    <w:basedOn w:val="Fontepargpadro"/>
    <w:link w:val="Rodap"/>
    <w:uiPriority w:val="99"/>
    <w:rsid w:val="00C047D1"/>
    <w:rPr>
      <w:rFonts w:ascii="Arial MT" w:eastAsia="Arial MT" w:hAnsi="Arial MT" w:cs="Arial MT"/>
      <w:lang w:val="pt-PT"/>
    </w:rPr>
  </w:style>
  <w:style w:type="character" w:customStyle="1" w:styleId="CorpodetextoChar">
    <w:name w:val="Corpo de texto Char"/>
    <w:basedOn w:val="Fontepargpadro"/>
    <w:link w:val="Corpodetexto"/>
    <w:uiPriority w:val="1"/>
    <w:rsid w:val="00C62090"/>
    <w:rPr>
      <w:rFonts w:ascii="Arial MT" w:eastAsia="Arial MT" w:hAnsi="Arial MT" w:cs="Arial MT"/>
      <w:sz w:val="24"/>
      <w:szCs w:val="24"/>
      <w:lang w:val="pt-PT"/>
    </w:rPr>
  </w:style>
  <w:style w:type="paragraph" w:styleId="Textodenotaderodap">
    <w:name w:val="footnote text"/>
    <w:basedOn w:val="Normal"/>
    <w:link w:val="TextodenotaderodapChar"/>
    <w:unhideWhenUsed/>
    <w:rsid w:val="001F68AB"/>
    <w:rPr>
      <w:sz w:val="20"/>
      <w:szCs w:val="20"/>
    </w:rPr>
  </w:style>
  <w:style w:type="character" w:customStyle="1" w:styleId="TextodenotaderodapChar">
    <w:name w:val="Texto de nota de rodapé Char"/>
    <w:basedOn w:val="Fontepargpadro"/>
    <w:link w:val="Textodenotaderodap"/>
    <w:rsid w:val="001F68AB"/>
    <w:rPr>
      <w:rFonts w:ascii="Arial MT" w:eastAsia="Arial MT" w:hAnsi="Arial MT" w:cs="Arial MT"/>
      <w:sz w:val="20"/>
      <w:szCs w:val="20"/>
      <w:lang w:val="pt-PT"/>
    </w:rPr>
  </w:style>
  <w:style w:type="character" w:styleId="Refdenotaderodap">
    <w:name w:val="footnote reference"/>
    <w:basedOn w:val="Fontepargpadro"/>
    <w:uiPriority w:val="99"/>
    <w:semiHidden/>
    <w:unhideWhenUsed/>
    <w:rsid w:val="001F68AB"/>
    <w:rPr>
      <w:vertAlign w:val="superscript"/>
    </w:rPr>
  </w:style>
  <w:style w:type="character" w:styleId="Hyperlink">
    <w:name w:val="Hyperlink"/>
    <w:rsid w:val="009E3692"/>
    <w:rPr>
      <w:color w:val="0000FF"/>
      <w:u w:val="single"/>
    </w:rPr>
  </w:style>
  <w:style w:type="paragraph" w:styleId="NormalWeb">
    <w:name w:val="Normal (Web)"/>
    <w:basedOn w:val="Normal"/>
    <w:uiPriority w:val="99"/>
    <w:unhideWhenUsed/>
    <w:rsid w:val="009E369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uiPriority w:val="22"/>
    <w:qFormat/>
    <w:rsid w:val="009E3692"/>
    <w:rPr>
      <w:b/>
      <w:bCs/>
    </w:rPr>
  </w:style>
  <w:style w:type="character" w:styleId="MenoPendente">
    <w:name w:val="Unresolved Mention"/>
    <w:basedOn w:val="Fontepargpadro"/>
    <w:uiPriority w:val="99"/>
    <w:semiHidden/>
    <w:unhideWhenUsed/>
    <w:rsid w:val="002A5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1.tce.pr.gov.br/multimidia/2020/7/pdf/00347853.pdf" TargetMode="External"/><Relationship Id="rId1" Type="http://schemas.openxmlformats.org/officeDocument/2006/relationships/hyperlink" Target="https://www1.tce.pr.gov.br/multimidia/2020/7/pdf/0034773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704</Words>
  <Characters>3806</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Yarusya Fonseca</cp:lastModifiedBy>
  <cp:revision>41</cp:revision>
  <dcterms:created xsi:type="dcterms:W3CDTF">2022-07-14T18:14:00Z</dcterms:created>
  <dcterms:modified xsi:type="dcterms:W3CDTF">2022-07-26T21:14:00Z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2020-07-23T00:00:00Z</vt:filetime>
  </property>
  <property fmtid="{D5CDD505-2E9C-101B-9397-08002B2CF9AE}" pid="3" name="Creator">
    <vt:lpwstr>Microsoft® Word para Office 365</vt:lpwstr>
  </property>
  <property fmtid="{D5CDD505-2E9C-101B-9397-08002B2CF9AE}" pid="4" name="LastSaved">
    <vt:filetime>2022-07-14T00:00:00Z</vt:filetime>
  </property>
</Properties>
</file>