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8B56" w14:textId="17C38569" w:rsidR="004A1A7E" w:rsidRPr="00014AA5" w:rsidRDefault="004A1A7E" w:rsidP="004A1A7E">
      <w:pPr>
        <w:pStyle w:val="Ttulo1"/>
        <w:spacing w:before="360" w:after="360"/>
        <w:ind w:left="0" w:right="0"/>
        <w:rPr>
          <w:sz w:val="28"/>
          <w:szCs w:val="28"/>
        </w:rPr>
      </w:pPr>
      <w:r w:rsidRPr="00014AA5">
        <w:rPr>
          <w:sz w:val="28"/>
          <w:szCs w:val="28"/>
        </w:rPr>
        <w:t>NOTA</w:t>
      </w:r>
      <w:r w:rsidRPr="00014AA5">
        <w:rPr>
          <w:spacing w:val="-4"/>
          <w:sz w:val="28"/>
          <w:szCs w:val="28"/>
        </w:rPr>
        <w:t xml:space="preserve"> </w:t>
      </w:r>
      <w:r w:rsidRPr="00014AA5">
        <w:rPr>
          <w:sz w:val="28"/>
          <w:szCs w:val="28"/>
        </w:rPr>
        <w:t>TÉCNICA</w:t>
      </w:r>
      <w:r w:rsidRPr="00014AA5">
        <w:rPr>
          <w:spacing w:val="-1"/>
          <w:sz w:val="28"/>
          <w:szCs w:val="28"/>
        </w:rPr>
        <w:t xml:space="preserve"> </w:t>
      </w:r>
      <w:r w:rsidR="00F800C0">
        <w:rPr>
          <w:sz w:val="28"/>
          <w:szCs w:val="28"/>
        </w:rPr>
        <w:t>N</w:t>
      </w:r>
      <w:r w:rsidR="00684730">
        <w:rPr>
          <w:sz w:val="28"/>
          <w:szCs w:val="28"/>
        </w:rPr>
        <w:t xml:space="preserve">º </w:t>
      </w:r>
      <w:r w:rsidRPr="00014AA5">
        <w:rPr>
          <w:spacing w:val="-2"/>
          <w:sz w:val="28"/>
          <w:szCs w:val="28"/>
        </w:rPr>
        <w:t xml:space="preserve"> </w:t>
      </w:r>
      <w:r w:rsidRPr="00014AA5">
        <w:rPr>
          <w:sz w:val="28"/>
          <w:szCs w:val="28"/>
        </w:rPr>
        <w:t>8/2020</w:t>
      </w:r>
      <w:r w:rsidRPr="00014AA5">
        <w:rPr>
          <w:spacing w:val="1"/>
          <w:sz w:val="28"/>
          <w:szCs w:val="28"/>
        </w:rPr>
        <w:t xml:space="preserve"> </w:t>
      </w:r>
      <w:r w:rsidRPr="00014AA5">
        <w:rPr>
          <w:sz w:val="28"/>
          <w:szCs w:val="28"/>
        </w:rPr>
        <w:t>– CGF/TCE-PR</w:t>
      </w:r>
      <w:r w:rsidR="00C15D17">
        <w:rPr>
          <w:rStyle w:val="Refdenotaderodap"/>
          <w:sz w:val="28"/>
          <w:szCs w:val="28"/>
        </w:rPr>
        <w:footnoteReference w:id="1"/>
      </w:r>
    </w:p>
    <w:p w14:paraId="7B045494" w14:textId="77777777" w:rsidR="004A1A7E" w:rsidRPr="00014AA5" w:rsidRDefault="004A1A7E" w:rsidP="004A1A7E">
      <w:pPr>
        <w:spacing w:before="360" w:after="360"/>
        <w:ind w:left="4536"/>
        <w:jc w:val="both"/>
        <w:rPr>
          <w:rFonts w:ascii="Arial" w:hAnsi="Arial" w:cs="Arial"/>
          <w:i/>
          <w:iCs/>
        </w:rPr>
      </w:pPr>
      <w:r w:rsidRPr="00014AA5">
        <w:rPr>
          <w:rFonts w:ascii="Arial" w:hAnsi="Arial" w:cs="Arial"/>
          <w:i/>
          <w:iCs/>
        </w:rPr>
        <w:t>Dispõe sobre a possibilidade de criação de</w:t>
      </w:r>
      <w:r w:rsidRPr="00014AA5">
        <w:rPr>
          <w:rFonts w:ascii="Arial" w:hAnsi="Arial" w:cs="Arial"/>
          <w:i/>
          <w:iCs/>
          <w:spacing w:val="1"/>
        </w:rPr>
        <w:t xml:space="preserve"> </w:t>
      </w:r>
      <w:r w:rsidRPr="00014AA5">
        <w:rPr>
          <w:rFonts w:ascii="Arial" w:hAnsi="Arial" w:cs="Arial"/>
          <w:i/>
          <w:iCs/>
        </w:rPr>
        <w:t>benefício</w:t>
      </w:r>
      <w:r w:rsidRPr="00014AA5">
        <w:rPr>
          <w:rFonts w:ascii="Arial" w:hAnsi="Arial" w:cs="Arial"/>
          <w:i/>
          <w:iCs/>
          <w:spacing w:val="1"/>
        </w:rPr>
        <w:t xml:space="preserve"> </w:t>
      </w:r>
      <w:r w:rsidRPr="00014AA5">
        <w:rPr>
          <w:rFonts w:ascii="Arial" w:hAnsi="Arial" w:cs="Arial"/>
          <w:i/>
          <w:iCs/>
        </w:rPr>
        <w:t>assistencial</w:t>
      </w:r>
      <w:r w:rsidRPr="00014AA5">
        <w:rPr>
          <w:rFonts w:ascii="Arial" w:hAnsi="Arial" w:cs="Arial"/>
          <w:i/>
          <w:iCs/>
          <w:spacing w:val="1"/>
        </w:rPr>
        <w:t xml:space="preserve"> </w:t>
      </w:r>
      <w:r w:rsidRPr="00014AA5">
        <w:rPr>
          <w:rFonts w:ascii="Arial" w:hAnsi="Arial" w:cs="Arial"/>
          <w:i/>
          <w:iCs/>
        </w:rPr>
        <w:t>eventual</w:t>
      </w:r>
      <w:r w:rsidRPr="00014AA5">
        <w:rPr>
          <w:rFonts w:ascii="Arial" w:hAnsi="Arial" w:cs="Arial"/>
          <w:i/>
          <w:iCs/>
          <w:spacing w:val="1"/>
        </w:rPr>
        <w:t xml:space="preserve"> </w:t>
      </w:r>
      <w:r w:rsidRPr="00014AA5">
        <w:rPr>
          <w:rFonts w:ascii="Arial" w:hAnsi="Arial" w:cs="Arial"/>
          <w:i/>
          <w:iCs/>
        </w:rPr>
        <w:t>pelos</w:t>
      </w:r>
      <w:r w:rsidRPr="00014AA5">
        <w:rPr>
          <w:rFonts w:ascii="Arial" w:hAnsi="Arial" w:cs="Arial"/>
          <w:i/>
          <w:iCs/>
          <w:spacing w:val="1"/>
        </w:rPr>
        <w:t xml:space="preserve"> </w:t>
      </w:r>
      <w:r w:rsidRPr="00014AA5">
        <w:rPr>
          <w:rFonts w:ascii="Arial" w:hAnsi="Arial" w:cs="Arial"/>
          <w:i/>
          <w:iCs/>
        </w:rPr>
        <w:t>municípios</w:t>
      </w:r>
      <w:r w:rsidRPr="00014AA5">
        <w:rPr>
          <w:rFonts w:ascii="Arial" w:hAnsi="Arial" w:cs="Arial"/>
          <w:i/>
          <w:iCs/>
          <w:spacing w:val="1"/>
        </w:rPr>
        <w:t xml:space="preserve"> </w:t>
      </w:r>
      <w:r w:rsidRPr="00014AA5">
        <w:rPr>
          <w:rFonts w:ascii="Arial" w:hAnsi="Arial" w:cs="Arial"/>
          <w:i/>
          <w:iCs/>
        </w:rPr>
        <w:t>no</w:t>
      </w:r>
      <w:r w:rsidRPr="00014AA5">
        <w:rPr>
          <w:rFonts w:ascii="Arial" w:hAnsi="Arial" w:cs="Arial"/>
          <w:i/>
          <w:iCs/>
          <w:spacing w:val="1"/>
        </w:rPr>
        <w:t xml:space="preserve"> </w:t>
      </w:r>
      <w:r w:rsidRPr="00014AA5">
        <w:rPr>
          <w:rFonts w:ascii="Arial" w:hAnsi="Arial" w:cs="Arial"/>
          <w:i/>
          <w:iCs/>
        </w:rPr>
        <w:t>contexto</w:t>
      </w:r>
      <w:r w:rsidRPr="00014AA5">
        <w:rPr>
          <w:rFonts w:ascii="Arial" w:hAnsi="Arial" w:cs="Arial"/>
          <w:i/>
          <w:iCs/>
          <w:spacing w:val="1"/>
        </w:rPr>
        <w:t xml:space="preserve"> </w:t>
      </w:r>
      <w:r w:rsidRPr="00014AA5">
        <w:rPr>
          <w:rFonts w:ascii="Arial" w:hAnsi="Arial" w:cs="Arial"/>
          <w:i/>
          <w:iCs/>
        </w:rPr>
        <w:t>de</w:t>
      </w:r>
      <w:r w:rsidRPr="00014AA5">
        <w:rPr>
          <w:rFonts w:ascii="Arial" w:hAnsi="Arial" w:cs="Arial"/>
          <w:i/>
          <w:iCs/>
          <w:spacing w:val="1"/>
        </w:rPr>
        <w:t xml:space="preserve"> </w:t>
      </w:r>
      <w:r w:rsidRPr="00014AA5">
        <w:rPr>
          <w:rFonts w:ascii="Arial" w:hAnsi="Arial" w:cs="Arial"/>
          <w:i/>
          <w:iCs/>
        </w:rPr>
        <w:t>enfrentamento</w:t>
      </w:r>
      <w:r w:rsidRPr="00014AA5">
        <w:rPr>
          <w:rFonts w:ascii="Arial" w:hAnsi="Arial" w:cs="Arial"/>
          <w:i/>
          <w:iCs/>
          <w:spacing w:val="1"/>
        </w:rPr>
        <w:t xml:space="preserve"> </w:t>
      </w:r>
      <w:r w:rsidRPr="00014AA5">
        <w:rPr>
          <w:rFonts w:ascii="Arial" w:hAnsi="Arial" w:cs="Arial"/>
          <w:i/>
          <w:iCs/>
        </w:rPr>
        <w:t>aos</w:t>
      </w:r>
      <w:r w:rsidRPr="00014AA5">
        <w:rPr>
          <w:rFonts w:ascii="Arial" w:hAnsi="Arial" w:cs="Arial"/>
          <w:i/>
          <w:iCs/>
          <w:spacing w:val="1"/>
        </w:rPr>
        <w:t xml:space="preserve"> </w:t>
      </w:r>
      <w:r w:rsidRPr="00014AA5">
        <w:rPr>
          <w:rFonts w:ascii="Arial" w:hAnsi="Arial" w:cs="Arial"/>
          <w:i/>
          <w:iCs/>
        </w:rPr>
        <w:t>impactos</w:t>
      </w:r>
      <w:r w:rsidRPr="00014AA5">
        <w:rPr>
          <w:rFonts w:ascii="Arial" w:hAnsi="Arial" w:cs="Arial"/>
          <w:i/>
          <w:iCs/>
          <w:spacing w:val="1"/>
        </w:rPr>
        <w:t xml:space="preserve"> </w:t>
      </w:r>
      <w:r w:rsidRPr="00014AA5">
        <w:rPr>
          <w:rFonts w:ascii="Arial" w:hAnsi="Arial" w:cs="Arial"/>
          <w:i/>
          <w:iCs/>
        </w:rPr>
        <w:t>econômicos</w:t>
      </w:r>
      <w:r w:rsidRPr="00014AA5">
        <w:rPr>
          <w:rFonts w:ascii="Arial" w:hAnsi="Arial" w:cs="Arial"/>
          <w:i/>
          <w:iCs/>
          <w:spacing w:val="1"/>
        </w:rPr>
        <w:t xml:space="preserve"> </w:t>
      </w:r>
      <w:r w:rsidRPr="00014AA5">
        <w:rPr>
          <w:rFonts w:ascii="Arial" w:hAnsi="Arial" w:cs="Arial"/>
          <w:i/>
          <w:iCs/>
        </w:rPr>
        <w:t>decorrentes</w:t>
      </w:r>
      <w:r w:rsidRPr="00014AA5">
        <w:rPr>
          <w:rFonts w:ascii="Arial" w:hAnsi="Arial" w:cs="Arial"/>
          <w:i/>
          <w:iCs/>
          <w:spacing w:val="1"/>
        </w:rPr>
        <w:t xml:space="preserve"> </w:t>
      </w:r>
      <w:r w:rsidRPr="00014AA5">
        <w:rPr>
          <w:rFonts w:ascii="Arial" w:hAnsi="Arial" w:cs="Arial"/>
          <w:i/>
          <w:iCs/>
        </w:rPr>
        <w:t>da</w:t>
      </w:r>
      <w:r w:rsidRPr="00014AA5">
        <w:rPr>
          <w:rFonts w:ascii="Arial" w:hAnsi="Arial" w:cs="Arial"/>
          <w:i/>
          <w:iCs/>
          <w:spacing w:val="1"/>
        </w:rPr>
        <w:t xml:space="preserve"> </w:t>
      </w:r>
      <w:r w:rsidRPr="00014AA5">
        <w:rPr>
          <w:rFonts w:ascii="Arial" w:hAnsi="Arial" w:cs="Arial"/>
          <w:i/>
          <w:iCs/>
        </w:rPr>
        <w:t>pandemia da</w:t>
      </w:r>
      <w:r w:rsidRPr="00014AA5">
        <w:rPr>
          <w:rFonts w:ascii="Arial" w:hAnsi="Arial" w:cs="Arial"/>
          <w:i/>
          <w:iCs/>
          <w:spacing w:val="-1"/>
        </w:rPr>
        <w:t xml:space="preserve"> </w:t>
      </w:r>
      <w:r w:rsidRPr="00014AA5">
        <w:rPr>
          <w:rFonts w:ascii="Arial" w:hAnsi="Arial" w:cs="Arial"/>
          <w:i/>
          <w:iCs/>
        </w:rPr>
        <w:t>COVID-19.</w:t>
      </w:r>
    </w:p>
    <w:p w14:paraId="702DB902" w14:textId="6521F2A5" w:rsidR="004A1A7E" w:rsidRPr="00684730" w:rsidRDefault="004A1A7E" w:rsidP="00684730">
      <w:pPr>
        <w:pStyle w:val="Corpodetexto"/>
        <w:spacing w:before="120"/>
        <w:ind w:firstLine="1134"/>
        <w:jc w:val="both"/>
        <w:rPr>
          <w:rFonts w:ascii="Arial" w:hAnsi="Arial" w:cs="Arial"/>
        </w:rPr>
      </w:pPr>
      <w:r w:rsidRPr="00684730">
        <w:rPr>
          <w:rFonts w:ascii="Arial" w:hAnsi="Arial" w:cs="Arial"/>
        </w:rPr>
        <w:t xml:space="preserve">A </w:t>
      </w:r>
      <w:r w:rsidR="00291AA2" w:rsidRPr="00291AA2">
        <w:rPr>
          <w:rFonts w:ascii="Arial" w:hAnsi="Arial" w:cs="Arial"/>
          <w:b/>
          <w:bCs/>
        </w:rPr>
        <w:t>COORDENADORIA-GERAL DE FISCALIZAÇÃO – CGF DO TRIBUNAL DE CONTAS DO ESTADO DO PARANÁ</w:t>
      </w:r>
      <w:r w:rsidRPr="00684730">
        <w:rPr>
          <w:rFonts w:ascii="Arial" w:hAnsi="Arial" w:cs="Arial"/>
        </w:rPr>
        <w:t xml:space="preserve">, em observância ao contido no art. 151-A, inciso IX, do Regimento Interno e ao disposto no Despacho </w:t>
      </w:r>
      <w:r w:rsidR="00684730">
        <w:rPr>
          <w:rFonts w:ascii="Arial" w:hAnsi="Arial" w:cs="Arial"/>
        </w:rPr>
        <w:t>nº</w:t>
      </w:r>
      <w:r w:rsidR="00291AA2">
        <w:rPr>
          <w:rFonts w:ascii="Arial" w:hAnsi="Arial" w:cs="Arial"/>
        </w:rPr>
        <w:t xml:space="preserve"> </w:t>
      </w:r>
      <w:r w:rsidRPr="00684730">
        <w:rPr>
          <w:rFonts w:ascii="Arial" w:hAnsi="Arial" w:cs="Arial"/>
        </w:rPr>
        <w:t xml:space="preserve"> 2301/2020-GP, emitido nos autos </w:t>
      </w:r>
      <w:r w:rsidR="00684730">
        <w:rPr>
          <w:rFonts w:ascii="Arial" w:hAnsi="Arial" w:cs="Arial"/>
        </w:rPr>
        <w:t xml:space="preserve">nº </w:t>
      </w:r>
      <w:r w:rsidRPr="00684730">
        <w:rPr>
          <w:rFonts w:ascii="Arial" w:hAnsi="Arial" w:cs="Arial"/>
        </w:rPr>
        <w:t>37186-1/20, externa seu posicionamento sobre a possibilidade de criação de benefício assistencial eventual pelos municípios, no contexto de enfrentamento aos impactos econômicos decorrentes da pandemia da COVID-19.</w:t>
      </w:r>
    </w:p>
    <w:p w14:paraId="251F7CB0" w14:textId="2571329B" w:rsidR="004A1A7E" w:rsidRPr="00684730" w:rsidRDefault="00037A40" w:rsidP="00037A40">
      <w:pPr>
        <w:pStyle w:val="PargrafodaLista"/>
        <w:tabs>
          <w:tab w:val="left" w:pos="1979"/>
        </w:tabs>
        <w:spacing w:before="120"/>
        <w:ind w:left="0" w:firstLine="1134"/>
        <w:rPr>
          <w:rFonts w:ascii="Arial" w:hAnsi="Arial" w:cs="Arial"/>
          <w:sz w:val="24"/>
          <w:szCs w:val="24"/>
        </w:rPr>
      </w:pPr>
      <w:r>
        <w:rPr>
          <w:rFonts w:ascii="Arial" w:hAnsi="Arial" w:cs="Arial"/>
          <w:sz w:val="24"/>
          <w:szCs w:val="24"/>
        </w:rPr>
        <w:t xml:space="preserve">I </w:t>
      </w:r>
      <w:r w:rsidR="004A1A7E" w:rsidRPr="00684730">
        <w:rPr>
          <w:rFonts w:ascii="Arial" w:hAnsi="Arial" w:cs="Arial"/>
          <w:sz w:val="24"/>
          <w:szCs w:val="24"/>
        </w:rPr>
        <w:t>– Os municípios possuem competência para instituição, por meio de lei, de benefício eventual específico em razão da calamidade pública decorrente da pandemia de COVID-19.</w:t>
      </w:r>
    </w:p>
    <w:p w14:paraId="43FF2243" w14:textId="27C67743" w:rsidR="004A1A7E" w:rsidRPr="00684730" w:rsidRDefault="004A1A7E" w:rsidP="00684730">
      <w:pPr>
        <w:pStyle w:val="Corpodetexto"/>
        <w:spacing w:before="120"/>
        <w:ind w:firstLine="1134"/>
        <w:jc w:val="both"/>
        <w:rPr>
          <w:rFonts w:ascii="Arial" w:hAnsi="Arial" w:cs="Arial"/>
        </w:rPr>
      </w:pPr>
      <w:r w:rsidRPr="00684730">
        <w:rPr>
          <w:rFonts w:ascii="Arial" w:hAnsi="Arial" w:cs="Arial"/>
        </w:rPr>
        <w:t xml:space="preserve">Os benefícios assistenciais eventuais são definidos pela Lei </w:t>
      </w:r>
      <w:r w:rsidR="00684730">
        <w:rPr>
          <w:rFonts w:ascii="Arial" w:hAnsi="Arial" w:cs="Arial"/>
        </w:rPr>
        <w:t xml:space="preserve">nº </w:t>
      </w:r>
      <w:r w:rsidRPr="00684730">
        <w:rPr>
          <w:rFonts w:ascii="Arial" w:hAnsi="Arial" w:cs="Arial"/>
        </w:rPr>
        <w:t xml:space="preserve">8.742/1993 - Lei Orgânica da Assistência Social – LOAS, e regulamentados pelo Decreto </w:t>
      </w:r>
      <w:r w:rsidR="00684730">
        <w:rPr>
          <w:rFonts w:ascii="Arial" w:hAnsi="Arial" w:cs="Arial"/>
        </w:rPr>
        <w:t xml:space="preserve">nº </w:t>
      </w:r>
      <w:r w:rsidRPr="00684730">
        <w:rPr>
          <w:rFonts w:ascii="Arial" w:hAnsi="Arial" w:cs="Arial"/>
        </w:rPr>
        <w:t>6.307/2007.</w:t>
      </w:r>
    </w:p>
    <w:p w14:paraId="2DD23244" w14:textId="77777777" w:rsidR="004A1A7E" w:rsidRPr="00684730" w:rsidRDefault="004A1A7E" w:rsidP="00684730">
      <w:pPr>
        <w:pStyle w:val="Corpodetexto"/>
        <w:spacing w:before="120"/>
        <w:ind w:firstLine="1134"/>
        <w:jc w:val="both"/>
        <w:rPr>
          <w:rFonts w:ascii="Arial" w:hAnsi="Arial" w:cs="Arial"/>
        </w:rPr>
      </w:pPr>
      <w:r w:rsidRPr="00684730">
        <w:rPr>
          <w:rFonts w:ascii="Arial" w:hAnsi="Arial" w:cs="Arial"/>
        </w:rPr>
        <w:t xml:space="preserve">De acordo com o artigo 22 da Lei Orgânica da Assistência Social, “entendem-se por benefícios eventuais as </w:t>
      </w:r>
      <w:r w:rsidRPr="00037A40">
        <w:rPr>
          <w:rFonts w:ascii="Arial" w:hAnsi="Arial" w:cs="Arial"/>
          <w:b/>
          <w:bCs/>
        </w:rPr>
        <w:t>provisões suplementares e provisórias</w:t>
      </w:r>
      <w:r w:rsidRPr="00684730">
        <w:rPr>
          <w:rFonts w:ascii="Arial" w:hAnsi="Arial" w:cs="Arial"/>
        </w:rPr>
        <w:t xml:space="preserve"> que integram organicamente as garantias do Sistema Único de Assistência Social - SUAS e são prestadas aos cidadãos e às famílias em virtude de nascimento, morte, situações de vulnerabilidade temporária e de </w:t>
      </w:r>
      <w:r w:rsidRPr="00037A40">
        <w:rPr>
          <w:rFonts w:ascii="Arial" w:hAnsi="Arial" w:cs="Arial"/>
          <w:b/>
          <w:bCs/>
        </w:rPr>
        <w:t>calamidade pública</w:t>
      </w:r>
      <w:r w:rsidRPr="00684730">
        <w:rPr>
          <w:rFonts w:ascii="Arial" w:hAnsi="Arial" w:cs="Arial"/>
        </w:rPr>
        <w:t>”.</w:t>
      </w:r>
    </w:p>
    <w:p w14:paraId="73DF30F1" w14:textId="77777777" w:rsidR="004A1A7E" w:rsidRPr="00684730" w:rsidRDefault="004A1A7E" w:rsidP="00684730">
      <w:pPr>
        <w:pStyle w:val="Corpodetexto"/>
        <w:spacing w:before="120"/>
        <w:ind w:firstLine="1134"/>
        <w:jc w:val="both"/>
        <w:rPr>
          <w:rFonts w:ascii="Arial" w:hAnsi="Arial" w:cs="Arial"/>
        </w:rPr>
      </w:pPr>
      <w:r w:rsidRPr="00684730">
        <w:rPr>
          <w:rFonts w:ascii="Arial" w:hAnsi="Arial" w:cs="Arial"/>
        </w:rPr>
        <w:t xml:space="preserve">O parágrafo primeiro do citado dispositivo legal dispõe que “a </w:t>
      </w:r>
      <w:r w:rsidRPr="00037A40">
        <w:rPr>
          <w:rFonts w:ascii="Arial" w:hAnsi="Arial" w:cs="Arial"/>
          <w:b/>
          <w:bCs/>
        </w:rPr>
        <w:t>concessão e o valor dos benefícios</w:t>
      </w:r>
      <w:r w:rsidRPr="00684730">
        <w:rPr>
          <w:rFonts w:ascii="Arial" w:hAnsi="Arial" w:cs="Arial"/>
        </w:rPr>
        <w:t xml:space="preserve"> de que trata este artigo serão definidos pelos Estados, Distrito Federal e Municípios e previstos nas respectivas leis orçamentárias anuais, com base em critérios e prazos definidos pelos respectivos Conselhos de Assistência Social”.</w:t>
      </w:r>
    </w:p>
    <w:p w14:paraId="57609268" w14:textId="368A432F" w:rsidR="004A1A7E" w:rsidRDefault="004A1A7E" w:rsidP="00684730">
      <w:pPr>
        <w:pStyle w:val="Corpodetexto"/>
        <w:spacing w:before="120"/>
        <w:ind w:firstLine="1134"/>
        <w:jc w:val="both"/>
        <w:rPr>
          <w:rFonts w:ascii="Arial" w:hAnsi="Arial" w:cs="Arial"/>
        </w:rPr>
      </w:pPr>
      <w:r w:rsidRPr="00684730">
        <w:rPr>
          <w:rFonts w:ascii="Arial" w:hAnsi="Arial" w:cs="Arial"/>
        </w:rPr>
        <w:t xml:space="preserve">O artigo 8º do Decreto </w:t>
      </w:r>
      <w:r w:rsidR="00684730">
        <w:rPr>
          <w:rFonts w:ascii="Arial" w:hAnsi="Arial" w:cs="Arial"/>
        </w:rPr>
        <w:t xml:space="preserve">nº </w:t>
      </w:r>
      <w:r w:rsidRPr="00684730">
        <w:rPr>
          <w:rFonts w:ascii="Arial" w:hAnsi="Arial" w:cs="Arial"/>
        </w:rPr>
        <w:t>6.307/2007, autoriza a criação de benefício eventual para atendimento de vítimas de calamidade pública:</w:t>
      </w:r>
    </w:p>
    <w:p w14:paraId="5CC126DA" w14:textId="77777777" w:rsidR="00684730" w:rsidRPr="00684730" w:rsidRDefault="00684730" w:rsidP="00291AA2">
      <w:pPr>
        <w:pStyle w:val="Corpodetexto"/>
        <w:spacing w:before="60"/>
        <w:ind w:firstLine="1134"/>
        <w:jc w:val="both"/>
        <w:rPr>
          <w:rFonts w:ascii="Arial" w:hAnsi="Arial" w:cs="Arial"/>
        </w:rPr>
      </w:pPr>
    </w:p>
    <w:p w14:paraId="2EDD9053" w14:textId="28FD5570" w:rsidR="004A1A7E" w:rsidRPr="00684730" w:rsidRDefault="004A1A7E" w:rsidP="00291AA2">
      <w:pPr>
        <w:spacing w:after="120" w:line="240" w:lineRule="auto"/>
        <w:ind w:left="1134"/>
        <w:jc w:val="both"/>
        <w:rPr>
          <w:rFonts w:ascii="Arial" w:hAnsi="Arial" w:cs="Arial"/>
          <w:sz w:val="20"/>
          <w:szCs w:val="20"/>
        </w:rPr>
      </w:pPr>
      <w:r w:rsidRPr="00684730">
        <w:rPr>
          <w:rFonts w:ascii="Arial" w:hAnsi="Arial" w:cs="Arial"/>
          <w:sz w:val="20"/>
          <w:szCs w:val="20"/>
        </w:rPr>
        <w:t xml:space="preserve">Art. 8º Para atendimento de vítimas de calamidade pública, poderá ser criado benefício eventual de modo a assegurar-lhes a sobrevivência e a reconstrução de sua autonomia, nos termos do § 2º do art. 22 da Lei </w:t>
      </w:r>
      <w:r w:rsidR="00684730">
        <w:rPr>
          <w:rFonts w:ascii="Arial" w:hAnsi="Arial" w:cs="Arial"/>
          <w:sz w:val="20"/>
          <w:szCs w:val="20"/>
        </w:rPr>
        <w:t xml:space="preserve">nº </w:t>
      </w:r>
      <w:r w:rsidRPr="00684730">
        <w:rPr>
          <w:rFonts w:ascii="Arial" w:hAnsi="Arial" w:cs="Arial"/>
          <w:sz w:val="20"/>
          <w:szCs w:val="20"/>
        </w:rPr>
        <w:t>8.742, de 1993.</w:t>
      </w:r>
    </w:p>
    <w:p w14:paraId="04F69340" w14:textId="77777777" w:rsidR="004A1A7E" w:rsidRPr="00684730" w:rsidRDefault="004A1A7E" w:rsidP="00291AA2">
      <w:pPr>
        <w:spacing w:before="120" w:after="0" w:line="240" w:lineRule="auto"/>
        <w:ind w:left="1134"/>
        <w:jc w:val="both"/>
        <w:rPr>
          <w:rFonts w:ascii="Arial" w:hAnsi="Arial" w:cs="Arial"/>
          <w:sz w:val="20"/>
          <w:szCs w:val="20"/>
        </w:rPr>
      </w:pPr>
      <w:r w:rsidRPr="00684730">
        <w:rPr>
          <w:rFonts w:ascii="Arial" w:hAnsi="Arial" w:cs="Arial"/>
          <w:sz w:val="20"/>
          <w:szCs w:val="20"/>
        </w:rPr>
        <w:lastRenderedPageBreak/>
        <w:t>Parágrafo único. Para os fins deste Decreto, entende-se por estado de calamidade pública o reconhecimento pelo poder público de situação anormal, advinda de baixas ou altas temperaturas, tempestades, enchentes, inversão térmica, desabamentos, incêndios, epidemias, causando sérios danos à comunidade afetada, inclusive à incolumidade ou à vida de seus integrantes.</w:t>
      </w:r>
    </w:p>
    <w:p w14:paraId="42D27B51" w14:textId="31554BC8" w:rsidR="004A1A7E" w:rsidRPr="002628AC" w:rsidRDefault="004A1A7E" w:rsidP="004A1A7E">
      <w:pPr>
        <w:pStyle w:val="Corpodetexto"/>
        <w:spacing w:before="120"/>
        <w:ind w:firstLine="1134"/>
        <w:jc w:val="both"/>
      </w:pPr>
      <w:r w:rsidRPr="002628AC">
        <w:t xml:space="preserve">Especificamente quanto à situação de calamidade decorrente da pandemia de COVID-19, o Ministro de Estado da Cidadania editou a Portaria </w:t>
      </w:r>
      <w:r w:rsidR="00684730">
        <w:t xml:space="preserve">nº </w:t>
      </w:r>
      <w:r w:rsidRPr="002628AC">
        <w:t xml:space="preserve">337, de 24 de março de 2020, a qual dispõe, em seu artigo 2º, que “a oferta dos serviços, programas e </w:t>
      </w:r>
      <w:r w:rsidRPr="00037A40">
        <w:rPr>
          <w:b/>
          <w:bCs/>
        </w:rPr>
        <w:t>benefícios socioassistenciais</w:t>
      </w:r>
      <w:r w:rsidRPr="002628AC">
        <w:t xml:space="preserve"> no âmbito do estados, municípios e Distrito Federal </w:t>
      </w:r>
      <w:r w:rsidRPr="00037A40">
        <w:rPr>
          <w:b/>
          <w:bCs/>
        </w:rPr>
        <w:t>deverá ser garantida àqueles que necessitarem</w:t>
      </w:r>
      <w:r w:rsidRPr="002628AC">
        <w:t>, observando as medidas e condições que garantam a segurança e saúde dos usuários e profissionais do SUAS”.</w:t>
      </w:r>
    </w:p>
    <w:p w14:paraId="1FD198DC" w14:textId="36B09C14" w:rsidR="004A1A7E" w:rsidRPr="002628AC" w:rsidRDefault="004A1A7E" w:rsidP="004A1A7E">
      <w:pPr>
        <w:pStyle w:val="Corpodetexto"/>
        <w:spacing w:before="120"/>
        <w:ind w:firstLine="1134"/>
        <w:jc w:val="both"/>
      </w:pPr>
      <w:r w:rsidRPr="002628AC">
        <w:t xml:space="preserve">Por sua vez, a Secretaria Nacional de Assistência Social, por meio da Portaria </w:t>
      </w:r>
      <w:r w:rsidR="00684730">
        <w:t xml:space="preserve">nº </w:t>
      </w:r>
      <w:r w:rsidRPr="002628AC">
        <w:t xml:space="preserve">58, de 15 de abril de 2020, aprovou a Nota Técnica </w:t>
      </w:r>
      <w:r w:rsidR="00684730">
        <w:t xml:space="preserve">nº </w:t>
      </w:r>
      <w:r w:rsidRPr="002628AC">
        <w:t xml:space="preserve">20/2020, que traz orientações gerais acerca da regulamentação, gestão e oferta de </w:t>
      </w:r>
      <w:r w:rsidRPr="00037A40">
        <w:rPr>
          <w:b/>
          <w:bCs/>
        </w:rPr>
        <w:t>benefícios eventuais</w:t>
      </w:r>
      <w:r w:rsidRPr="002628AC">
        <w:t xml:space="preserve"> no contexto de enfrentamento aos impactos da pandemia da COVID-19, causada pelo novo coronavírus, no âmbito do Sistema Único de Assistência Social (SUAS).</w:t>
      </w:r>
    </w:p>
    <w:p w14:paraId="19B1946A" w14:textId="375FBB82" w:rsidR="004A1A7E" w:rsidRPr="00037A40" w:rsidRDefault="00037A40" w:rsidP="00037A40">
      <w:pPr>
        <w:pStyle w:val="PargrafodaLista"/>
        <w:tabs>
          <w:tab w:val="left" w:pos="2010"/>
        </w:tabs>
        <w:spacing w:before="120"/>
        <w:ind w:left="0" w:firstLine="1134"/>
        <w:rPr>
          <w:rFonts w:ascii="Arial" w:hAnsi="Arial" w:cs="Arial"/>
          <w:sz w:val="24"/>
          <w:szCs w:val="24"/>
        </w:rPr>
      </w:pPr>
      <w:r w:rsidRPr="00037A40">
        <w:rPr>
          <w:rFonts w:ascii="Arial" w:hAnsi="Arial" w:cs="Arial"/>
          <w:sz w:val="24"/>
          <w:szCs w:val="24"/>
        </w:rPr>
        <w:t xml:space="preserve">II </w:t>
      </w:r>
      <w:r w:rsidR="004A1A7E" w:rsidRPr="00037A40">
        <w:rPr>
          <w:rFonts w:ascii="Arial" w:hAnsi="Arial" w:cs="Arial"/>
          <w:sz w:val="24"/>
          <w:szCs w:val="24"/>
        </w:rPr>
        <w:t>– A ordem constitucional vigente, especialmente os princípios orientadores do sistema de seguridade social, consagra, como regra geral, o amplo acesso aos benefícios assistenciais, vedando qualquer desequiparação fortuita, injustificada ou irrazoável.</w:t>
      </w:r>
    </w:p>
    <w:p w14:paraId="2277344A" w14:textId="77777777" w:rsidR="002628AC" w:rsidRPr="002628AC" w:rsidRDefault="004A1A7E" w:rsidP="004A1A7E">
      <w:pPr>
        <w:pStyle w:val="Corpodetexto"/>
        <w:spacing w:before="120"/>
        <w:ind w:firstLine="1134"/>
        <w:jc w:val="both"/>
      </w:pPr>
      <w:r w:rsidRPr="002628AC">
        <w:t>Nesse contexto, a instituição de benefício assistencial eventual que contemple determinadas pessoas, grupos ou classes, deve estar fundamentada em fato relevante, motivado, razoável e em plena sintonia com os mandamentos constitucionais.</w:t>
      </w:r>
    </w:p>
    <w:p w14:paraId="4C99B2E2" w14:textId="68E4624A" w:rsidR="004A1A7E" w:rsidRDefault="004A1A7E" w:rsidP="004A1A7E">
      <w:pPr>
        <w:pStyle w:val="Corpodetexto"/>
        <w:spacing w:before="120"/>
        <w:ind w:firstLine="1134"/>
        <w:jc w:val="both"/>
      </w:pPr>
      <w:r w:rsidRPr="002628AC">
        <w:t>O artigo 194 da Constituição Federal consagra os princípios orientadores do sistema de seguridade social, que compreende a saúde, a previdência social e a assistência social:</w:t>
      </w:r>
    </w:p>
    <w:p w14:paraId="1C9BA2ED" w14:textId="77777777" w:rsidR="00037A40" w:rsidRPr="002628AC" w:rsidRDefault="00037A40" w:rsidP="00291AA2">
      <w:pPr>
        <w:pStyle w:val="Corpodetexto"/>
        <w:spacing w:before="120"/>
        <w:ind w:firstLine="1134"/>
        <w:jc w:val="both"/>
      </w:pPr>
    </w:p>
    <w:p w14:paraId="3F7057E7" w14:textId="77777777" w:rsidR="004A1A7E" w:rsidRPr="00037A40" w:rsidRDefault="004A1A7E" w:rsidP="00291AA2">
      <w:pPr>
        <w:spacing w:after="120" w:line="240" w:lineRule="auto"/>
        <w:ind w:left="1134" w:right="119"/>
        <w:jc w:val="both"/>
        <w:rPr>
          <w:rFonts w:ascii="Arial" w:hAnsi="Arial" w:cs="Arial"/>
          <w:sz w:val="20"/>
          <w:szCs w:val="20"/>
        </w:rPr>
      </w:pPr>
      <w:r w:rsidRPr="00037A40">
        <w:rPr>
          <w:rFonts w:ascii="Arial" w:hAnsi="Arial" w:cs="Arial"/>
          <w:sz w:val="20"/>
          <w:szCs w:val="20"/>
        </w:rPr>
        <w:t>Art. 194. A seguridade social compreende um conjunto integrado de ações de iniciativa dos Poderes Públicos e da sociedade, destinadas a assegurar os direitos relativos à saúde, à previdência e à assistência social.</w:t>
      </w:r>
    </w:p>
    <w:p w14:paraId="53E8FD8D" w14:textId="77777777" w:rsidR="004A1A7E" w:rsidRPr="00037A40" w:rsidRDefault="004A1A7E" w:rsidP="00037A40">
      <w:pPr>
        <w:spacing w:after="0" w:line="240" w:lineRule="auto"/>
        <w:ind w:left="1134" w:right="125"/>
        <w:jc w:val="both"/>
        <w:rPr>
          <w:rFonts w:ascii="Arial" w:hAnsi="Arial" w:cs="Arial"/>
          <w:sz w:val="20"/>
          <w:szCs w:val="20"/>
        </w:rPr>
      </w:pPr>
      <w:r w:rsidRPr="00037A40">
        <w:rPr>
          <w:rFonts w:ascii="Arial" w:hAnsi="Arial" w:cs="Arial"/>
          <w:sz w:val="20"/>
          <w:szCs w:val="20"/>
        </w:rPr>
        <w:t>Parágrafo único. Compete ao Poder Público, nos termos da lei, organizar a seguridade social, com base nos seguintes objetivos:</w:t>
      </w:r>
    </w:p>
    <w:p w14:paraId="2C53F2C0" w14:textId="77777777" w:rsidR="004A1A7E" w:rsidRPr="00037A40" w:rsidRDefault="004A1A7E" w:rsidP="00037A40">
      <w:pPr>
        <w:pStyle w:val="PargrafodaLista"/>
        <w:numPr>
          <w:ilvl w:val="0"/>
          <w:numId w:val="3"/>
        </w:numPr>
        <w:tabs>
          <w:tab w:val="left" w:pos="1914"/>
        </w:tabs>
        <w:spacing w:before="0"/>
        <w:ind w:left="1134" w:firstLine="0"/>
        <w:rPr>
          <w:rFonts w:ascii="Arial" w:hAnsi="Arial" w:cs="Arial"/>
          <w:sz w:val="20"/>
          <w:szCs w:val="20"/>
        </w:rPr>
      </w:pPr>
      <w:r w:rsidRPr="00037A40">
        <w:rPr>
          <w:rFonts w:ascii="Arial" w:hAnsi="Arial" w:cs="Arial"/>
          <w:sz w:val="20"/>
          <w:szCs w:val="20"/>
        </w:rPr>
        <w:t xml:space="preserve">- </w:t>
      </w:r>
      <w:r w:rsidRPr="00426CCB">
        <w:rPr>
          <w:rFonts w:ascii="Arial" w:hAnsi="Arial" w:cs="Arial"/>
          <w:b/>
          <w:bCs/>
          <w:sz w:val="20"/>
          <w:szCs w:val="20"/>
        </w:rPr>
        <w:t>universalidade da cobertura e do atendimento</w:t>
      </w:r>
      <w:r w:rsidRPr="00037A40">
        <w:rPr>
          <w:rFonts w:ascii="Arial" w:hAnsi="Arial" w:cs="Arial"/>
          <w:sz w:val="20"/>
          <w:szCs w:val="20"/>
        </w:rPr>
        <w:t>;</w:t>
      </w:r>
    </w:p>
    <w:p w14:paraId="2B947223" w14:textId="77777777" w:rsidR="004A1A7E" w:rsidRPr="00037A40" w:rsidRDefault="004A1A7E" w:rsidP="00037A40">
      <w:pPr>
        <w:pStyle w:val="PargrafodaLista"/>
        <w:numPr>
          <w:ilvl w:val="0"/>
          <w:numId w:val="3"/>
        </w:numPr>
        <w:tabs>
          <w:tab w:val="left" w:pos="2008"/>
        </w:tabs>
        <w:spacing w:before="0"/>
        <w:ind w:left="1134" w:right="126" w:firstLine="0"/>
        <w:rPr>
          <w:rFonts w:ascii="Arial" w:hAnsi="Arial" w:cs="Arial"/>
          <w:sz w:val="20"/>
          <w:szCs w:val="20"/>
        </w:rPr>
      </w:pPr>
      <w:r w:rsidRPr="00037A40">
        <w:rPr>
          <w:rFonts w:ascii="Arial" w:hAnsi="Arial" w:cs="Arial"/>
          <w:sz w:val="20"/>
          <w:szCs w:val="20"/>
        </w:rPr>
        <w:t>- uniformidade e equivalência dos benefícios e serviços às populações urbanas e rurais;</w:t>
      </w:r>
    </w:p>
    <w:p w14:paraId="78EB8001" w14:textId="77777777" w:rsidR="004A1A7E" w:rsidRPr="00037A40" w:rsidRDefault="004A1A7E" w:rsidP="00037A40">
      <w:pPr>
        <w:pStyle w:val="PargrafodaLista"/>
        <w:numPr>
          <w:ilvl w:val="0"/>
          <w:numId w:val="3"/>
        </w:numPr>
        <w:tabs>
          <w:tab w:val="left" w:pos="2102"/>
        </w:tabs>
        <w:spacing w:before="0"/>
        <w:ind w:left="1134" w:right="124" w:firstLine="0"/>
        <w:rPr>
          <w:rFonts w:ascii="Arial" w:hAnsi="Arial" w:cs="Arial"/>
          <w:sz w:val="20"/>
          <w:szCs w:val="20"/>
        </w:rPr>
      </w:pPr>
      <w:r w:rsidRPr="00037A40">
        <w:rPr>
          <w:rFonts w:ascii="Arial" w:hAnsi="Arial" w:cs="Arial"/>
          <w:sz w:val="20"/>
          <w:szCs w:val="20"/>
        </w:rPr>
        <w:t xml:space="preserve">- </w:t>
      </w:r>
      <w:r w:rsidRPr="00426CCB">
        <w:rPr>
          <w:rFonts w:ascii="Arial" w:hAnsi="Arial" w:cs="Arial"/>
          <w:b/>
          <w:bCs/>
          <w:sz w:val="20"/>
          <w:szCs w:val="20"/>
        </w:rPr>
        <w:t>seletividade e distributividade na prestação dos benefícios e serviços</w:t>
      </w:r>
      <w:r w:rsidRPr="00037A40">
        <w:rPr>
          <w:rFonts w:ascii="Arial" w:hAnsi="Arial" w:cs="Arial"/>
          <w:sz w:val="20"/>
          <w:szCs w:val="20"/>
        </w:rPr>
        <w:t>;</w:t>
      </w:r>
    </w:p>
    <w:p w14:paraId="7D9A97A7" w14:textId="77777777" w:rsidR="004A1A7E" w:rsidRPr="00037A40" w:rsidRDefault="004A1A7E" w:rsidP="00037A40">
      <w:pPr>
        <w:pStyle w:val="PargrafodaLista"/>
        <w:numPr>
          <w:ilvl w:val="0"/>
          <w:numId w:val="3"/>
        </w:numPr>
        <w:tabs>
          <w:tab w:val="left" w:pos="2046"/>
        </w:tabs>
        <w:spacing w:before="0"/>
        <w:ind w:left="1134" w:firstLine="0"/>
        <w:rPr>
          <w:rFonts w:ascii="Arial" w:hAnsi="Arial" w:cs="Arial"/>
          <w:sz w:val="20"/>
          <w:szCs w:val="20"/>
        </w:rPr>
      </w:pPr>
      <w:r w:rsidRPr="00037A40">
        <w:rPr>
          <w:rFonts w:ascii="Arial" w:hAnsi="Arial" w:cs="Arial"/>
          <w:sz w:val="20"/>
          <w:szCs w:val="20"/>
        </w:rPr>
        <w:t>- irredutibilidade do valor dos benefícios;</w:t>
      </w:r>
    </w:p>
    <w:p w14:paraId="2EB8D416" w14:textId="77777777" w:rsidR="004A1A7E" w:rsidRPr="00037A40" w:rsidRDefault="004A1A7E" w:rsidP="00037A40">
      <w:pPr>
        <w:pStyle w:val="PargrafodaLista"/>
        <w:numPr>
          <w:ilvl w:val="0"/>
          <w:numId w:val="3"/>
        </w:numPr>
        <w:tabs>
          <w:tab w:val="left" w:pos="1991"/>
        </w:tabs>
        <w:spacing w:before="0"/>
        <w:ind w:left="1134" w:firstLine="0"/>
        <w:rPr>
          <w:rFonts w:ascii="Arial" w:hAnsi="Arial" w:cs="Arial"/>
          <w:sz w:val="20"/>
          <w:szCs w:val="20"/>
        </w:rPr>
      </w:pPr>
      <w:r w:rsidRPr="00037A40">
        <w:rPr>
          <w:rFonts w:ascii="Arial" w:hAnsi="Arial" w:cs="Arial"/>
          <w:sz w:val="20"/>
          <w:szCs w:val="20"/>
        </w:rPr>
        <w:t>- equidade na forma de participação no custeio;</w:t>
      </w:r>
    </w:p>
    <w:p w14:paraId="03AD118F" w14:textId="77777777" w:rsidR="004A1A7E" w:rsidRPr="00037A40" w:rsidRDefault="004A1A7E" w:rsidP="00037A40">
      <w:pPr>
        <w:pStyle w:val="PargrafodaLista"/>
        <w:numPr>
          <w:ilvl w:val="0"/>
          <w:numId w:val="3"/>
        </w:numPr>
        <w:tabs>
          <w:tab w:val="left" w:pos="2090"/>
        </w:tabs>
        <w:spacing w:before="0"/>
        <w:ind w:left="1134" w:right="119" w:firstLine="0"/>
        <w:rPr>
          <w:rFonts w:ascii="Arial" w:hAnsi="Arial" w:cs="Arial"/>
          <w:sz w:val="20"/>
          <w:szCs w:val="20"/>
        </w:rPr>
      </w:pPr>
      <w:r w:rsidRPr="00037A40">
        <w:rPr>
          <w:rFonts w:ascii="Arial" w:hAnsi="Arial" w:cs="Arial"/>
          <w:sz w:val="20"/>
          <w:szCs w:val="20"/>
        </w:rPr>
        <w:t>- diversidade da base de financiamento, identificando-se, em rubricas contábeis específicas para cada área, as receitas e as despesas vinculadas a ações de saúde, previdência e assistência social, preservado o caráter contributivo da previdência social;</w:t>
      </w:r>
    </w:p>
    <w:p w14:paraId="0E0571BA" w14:textId="77777777" w:rsidR="00B368D2" w:rsidRDefault="004A1A7E" w:rsidP="00037A40">
      <w:pPr>
        <w:pStyle w:val="PargrafodaLista"/>
        <w:numPr>
          <w:ilvl w:val="0"/>
          <w:numId w:val="3"/>
        </w:numPr>
        <w:tabs>
          <w:tab w:val="left" w:pos="2162"/>
        </w:tabs>
        <w:spacing w:before="0"/>
        <w:ind w:left="1134" w:right="124" w:firstLine="0"/>
        <w:rPr>
          <w:rFonts w:ascii="Arial" w:hAnsi="Arial" w:cs="Arial"/>
          <w:sz w:val="20"/>
          <w:szCs w:val="20"/>
        </w:rPr>
        <w:sectPr w:rsidR="00B368D2" w:rsidSect="00037A40">
          <w:headerReference w:type="default" r:id="rId8"/>
          <w:footnotePr>
            <w:numFmt w:val="chicago"/>
          </w:footnotePr>
          <w:pgSz w:w="11910" w:h="16840"/>
          <w:pgMar w:top="1418" w:right="1701" w:bottom="1418" w:left="1701" w:header="720" w:footer="720" w:gutter="0"/>
          <w:cols w:space="720"/>
          <w:docGrid w:linePitch="299"/>
        </w:sectPr>
      </w:pPr>
      <w:r w:rsidRPr="00037A40">
        <w:rPr>
          <w:rFonts w:ascii="Arial" w:hAnsi="Arial" w:cs="Arial"/>
          <w:sz w:val="20"/>
          <w:szCs w:val="20"/>
        </w:rPr>
        <w:t xml:space="preserve">- caráter democrático e descentralizado da administração, mediante </w:t>
      </w:r>
      <w:r w:rsidRPr="00037A40">
        <w:rPr>
          <w:rFonts w:ascii="Arial" w:hAnsi="Arial" w:cs="Arial"/>
          <w:sz w:val="20"/>
          <w:szCs w:val="20"/>
        </w:rPr>
        <w:lastRenderedPageBreak/>
        <w:t>gestão quadripartite, com participação dos trabalhadores, dos empregadores, dos aposentados e do Governo nos órgãos colegiados.</w:t>
      </w:r>
    </w:p>
    <w:p w14:paraId="21874BF4" w14:textId="118B8942" w:rsidR="004A1A7E" w:rsidRPr="00037A40" w:rsidRDefault="004A1A7E" w:rsidP="00B368D2">
      <w:pPr>
        <w:pStyle w:val="PargrafodaLista"/>
        <w:tabs>
          <w:tab w:val="left" w:pos="2162"/>
        </w:tabs>
        <w:spacing w:before="0"/>
        <w:ind w:left="1134" w:right="124"/>
        <w:rPr>
          <w:rFonts w:ascii="Arial" w:hAnsi="Arial" w:cs="Arial"/>
          <w:sz w:val="20"/>
          <w:szCs w:val="20"/>
        </w:rPr>
      </w:pPr>
    </w:p>
    <w:p w14:paraId="0617950B" w14:textId="4625596E" w:rsidR="004A1A7E" w:rsidRPr="00426CCB" w:rsidRDefault="004A1A7E" w:rsidP="00426CCB">
      <w:pPr>
        <w:spacing w:before="120" w:after="0" w:line="240" w:lineRule="auto"/>
        <w:ind w:firstLine="1134"/>
        <w:jc w:val="both"/>
        <w:rPr>
          <w:rFonts w:ascii="Arial" w:hAnsi="Arial" w:cs="Arial"/>
          <w:sz w:val="24"/>
          <w:szCs w:val="24"/>
        </w:rPr>
      </w:pPr>
      <w:r w:rsidRPr="00426CCB">
        <w:rPr>
          <w:rFonts w:ascii="Arial" w:hAnsi="Arial" w:cs="Arial"/>
          <w:sz w:val="24"/>
          <w:szCs w:val="24"/>
        </w:rPr>
        <w:t xml:space="preserve">A </w:t>
      </w:r>
      <w:r w:rsidRPr="00426CCB">
        <w:rPr>
          <w:rFonts w:ascii="Arial" w:hAnsi="Arial" w:cs="Arial"/>
          <w:b/>
          <w:bCs/>
          <w:sz w:val="24"/>
          <w:szCs w:val="24"/>
          <w:u w:val="single"/>
        </w:rPr>
        <w:t>universalidade da cobertura</w:t>
      </w:r>
      <w:r w:rsidRPr="00426CCB">
        <w:rPr>
          <w:rFonts w:ascii="Arial" w:hAnsi="Arial" w:cs="Arial"/>
          <w:sz w:val="24"/>
          <w:szCs w:val="24"/>
        </w:rPr>
        <w:t xml:space="preserve">, de acordo com os autores Carlos Alberto Pereira de Castro e João Batista </w:t>
      </w:r>
      <w:proofErr w:type="spellStart"/>
      <w:r w:rsidRPr="00426CCB">
        <w:rPr>
          <w:rFonts w:ascii="Arial" w:hAnsi="Arial" w:cs="Arial"/>
          <w:sz w:val="24"/>
          <w:szCs w:val="24"/>
        </w:rPr>
        <w:t>Lazzari</w:t>
      </w:r>
      <w:proofErr w:type="spellEnd"/>
      <w:r w:rsidR="00B368D2">
        <w:rPr>
          <w:rStyle w:val="Refdenotaderodap"/>
          <w:rFonts w:ascii="Arial" w:hAnsi="Arial" w:cs="Arial"/>
          <w:sz w:val="24"/>
          <w:szCs w:val="24"/>
        </w:rPr>
        <w:footnoteReference w:id="2"/>
      </w:r>
      <w:r w:rsidRPr="00426CCB">
        <w:rPr>
          <w:rFonts w:ascii="Arial" w:hAnsi="Arial" w:cs="Arial"/>
          <w:sz w:val="24"/>
          <w:szCs w:val="24"/>
        </w:rPr>
        <w:t xml:space="preserve">, estabelece que “a proteção social deve alcançar todos os eventos cuja reparação seja premente, a fim de </w:t>
      </w:r>
      <w:r w:rsidRPr="00426CCB">
        <w:rPr>
          <w:rFonts w:ascii="Arial" w:hAnsi="Arial" w:cs="Arial"/>
          <w:b/>
          <w:bCs/>
          <w:sz w:val="24"/>
          <w:szCs w:val="24"/>
        </w:rPr>
        <w:t>manter a subsistência de quem dela necessite</w:t>
      </w:r>
      <w:r w:rsidRPr="00426CCB">
        <w:rPr>
          <w:rFonts w:ascii="Arial" w:hAnsi="Arial" w:cs="Arial"/>
          <w:sz w:val="24"/>
          <w:szCs w:val="24"/>
        </w:rPr>
        <w:t xml:space="preserve">. A </w:t>
      </w:r>
      <w:r w:rsidRPr="00426CCB">
        <w:rPr>
          <w:rFonts w:ascii="Arial" w:hAnsi="Arial" w:cs="Arial"/>
          <w:b/>
          <w:bCs/>
          <w:sz w:val="24"/>
          <w:szCs w:val="24"/>
          <w:u w:val="single"/>
        </w:rPr>
        <w:t>universalidade do atendimento</w:t>
      </w:r>
      <w:r w:rsidRPr="00426CCB">
        <w:rPr>
          <w:rFonts w:ascii="Arial" w:hAnsi="Arial" w:cs="Arial"/>
          <w:sz w:val="24"/>
          <w:szCs w:val="24"/>
        </w:rPr>
        <w:t xml:space="preserve"> significa, por seu turno, a entrega das ações, prestações e serviços de seguridade social a </w:t>
      </w:r>
      <w:r w:rsidRPr="00426CCB">
        <w:rPr>
          <w:rFonts w:ascii="Arial" w:hAnsi="Arial" w:cs="Arial"/>
          <w:b/>
          <w:bCs/>
          <w:sz w:val="24"/>
          <w:szCs w:val="24"/>
        </w:rPr>
        <w:t>todos os que necessitem</w:t>
      </w:r>
      <w:r w:rsidRPr="00426CCB">
        <w:rPr>
          <w:rFonts w:ascii="Arial" w:hAnsi="Arial" w:cs="Arial"/>
          <w:sz w:val="24"/>
          <w:szCs w:val="24"/>
        </w:rPr>
        <w:t>, tanto em termos de previdência social – obedecido o princípio contributivo – como no caso da saúde e da assistência social”.</w:t>
      </w:r>
    </w:p>
    <w:p w14:paraId="51BD6D95" w14:textId="77777777" w:rsidR="004A1A7E" w:rsidRPr="00426CCB" w:rsidRDefault="004A1A7E" w:rsidP="00426CCB">
      <w:pPr>
        <w:spacing w:before="120" w:after="0" w:line="240" w:lineRule="auto"/>
        <w:ind w:firstLine="1134"/>
        <w:jc w:val="both"/>
        <w:rPr>
          <w:rFonts w:ascii="Arial" w:hAnsi="Arial" w:cs="Arial"/>
          <w:sz w:val="24"/>
          <w:szCs w:val="24"/>
        </w:rPr>
      </w:pPr>
      <w:r w:rsidRPr="00426CCB">
        <w:rPr>
          <w:rFonts w:ascii="Arial" w:hAnsi="Arial" w:cs="Arial"/>
          <w:sz w:val="24"/>
          <w:szCs w:val="24"/>
        </w:rPr>
        <w:t>O artigo 203 da Constituição Federal ressalta o núcleo axiológico do princípio da universalidade ao dispor que “</w:t>
      </w:r>
      <w:r w:rsidRPr="00426CCB">
        <w:rPr>
          <w:rFonts w:ascii="Arial" w:hAnsi="Arial" w:cs="Arial"/>
          <w:b/>
          <w:bCs/>
          <w:sz w:val="24"/>
          <w:szCs w:val="24"/>
        </w:rPr>
        <w:t>a assistência social será prestada a quem dela necessitar (...)</w:t>
      </w:r>
      <w:r w:rsidRPr="00426CCB">
        <w:rPr>
          <w:rFonts w:ascii="Arial" w:hAnsi="Arial" w:cs="Arial"/>
          <w:sz w:val="24"/>
          <w:szCs w:val="24"/>
        </w:rPr>
        <w:t>”.</w:t>
      </w:r>
    </w:p>
    <w:p w14:paraId="7086A901" w14:textId="40A4B2F5"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t xml:space="preserve">No mesmo sentido, a já mencionada Portaria </w:t>
      </w:r>
      <w:r w:rsidR="00684730" w:rsidRPr="00426CCB">
        <w:rPr>
          <w:rFonts w:ascii="Arial" w:hAnsi="Arial" w:cs="Arial"/>
        </w:rPr>
        <w:t xml:space="preserve">nº </w:t>
      </w:r>
      <w:r w:rsidRPr="00426CCB">
        <w:rPr>
          <w:rFonts w:ascii="Arial" w:hAnsi="Arial" w:cs="Arial"/>
        </w:rPr>
        <w:t>337, de 24 de março de 2020, emitida pelo Ministro de Estado da Cidadania, a qual dispõe sobre a situação de calamidade decorrente da pandemia de COVID-19,</w:t>
      </w:r>
      <w:r w:rsidR="00426CCB" w:rsidRPr="00426CCB">
        <w:rPr>
          <w:rFonts w:ascii="Arial" w:hAnsi="Arial" w:cs="Arial"/>
        </w:rPr>
        <w:t xml:space="preserve"> </w:t>
      </w:r>
      <w:r w:rsidRPr="00426CCB">
        <w:rPr>
          <w:rFonts w:ascii="Arial" w:hAnsi="Arial" w:cs="Arial"/>
        </w:rPr>
        <w:t xml:space="preserve">estabelece, em seu artigo 2º, que “a oferta dos serviços, programas e benefícios socioassistenciais no âmbito do estados, municípios e Distrito Federal </w:t>
      </w:r>
      <w:r w:rsidRPr="00426CCB">
        <w:rPr>
          <w:rFonts w:ascii="Arial" w:hAnsi="Arial" w:cs="Arial"/>
          <w:b/>
          <w:bCs/>
        </w:rPr>
        <w:t>deverá ser garantida àqueles que necessitarem</w:t>
      </w:r>
      <w:r w:rsidRPr="00426CCB">
        <w:rPr>
          <w:rFonts w:ascii="Arial" w:hAnsi="Arial" w:cs="Arial"/>
        </w:rPr>
        <w:t>, observando as medidas e condições que garantam a segurança e saúde dos usuários e profissionais do SUAS”.</w:t>
      </w:r>
    </w:p>
    <w:p w14:paraId="790E83B2" w14:textId="6C1E787C" w:rsidR="004A1A7E" w:rsidRPr="00426CCB" w:rsidRDefault="004A1A7E" w:rsidP="00426CCB">
      <w:pPr>
        <w:spacing w:before="120" w:after="0" w:line="240" w:lineRule="auto"/>
        <w:ind w:firstLine="1134"/>
        <w:jc w:val="both"/>
        <w:rPr>
          <w:rFonts w:ascii="Arial" w:hAnsi="Arial" w:cs="Arial"/>
          <w:sz w:val="24"/>
          <w:szCs w:val="24"/>
        </w:rPr>
      </w:pPr>
      <w:r w:rsidRPr="00426CCB">
        <w:rPr>
          <w:rFonts w:ascii="Arial" w:hAnsi="Arial" w:cs="Arial"/>
          <w:sz w:val="24"/>
          <w:szCs w:val="24"/>
        </w:rPr>
        <w:t xml:space="preserve">O </w:t>
      </w:r>
      <w:r w:rsidRPr="00426CCB">
        <w:rPr>
          <w:rFonts w:ascii="Arial" w:hAnsi="Arial" w:cs="Arial"/>
          <w:b/>
          <w:bCs/>
          <w:sz w:val="24"/>
          <w:szCs w:val="24"/>
        </w:rPr>
        <w:t>princípio da distributividade</w:t>
      </w:r>
      <w:r w:rsidRPr="00426CCB">
        <w:rPr>
          <w:rFonts w:ascii="Arial" w:hAnsi="Arial" w:cs="Arial"/>
          <w:sz w:val="24"/>
          <w:szCs w:val="24"/>
        </w:rPr>
        <w:t xml:space="preserve">, conforme ensinamento de Miguel </w:t>
      </w:r>
      <w:proofErr w:type="spellStart"/>
      <w:r w:rsidRPr="00426CCB">
        <w:rPr>
          <w:rFonts w:ascii="Arial" w:hAnsi="Arial" w:cs="Arial"/>
          <w:sz w:val="24"/>
          <w:szCs w:val="24"/>
        </w:rPr>
        <w:t>Horvath</w:t>
      </w:r>
      <w:proofErr w:type="spellEnd"/>
      <w:r w:rsidRPr="00426CCB">
        <w:rPr>
          <w:rFonts w:ascii="Arial" w:hAnsi="Arial" w:cs="Arial"/>
          <w:sz w:val="24"/>
          <w:szCs w:val="24"/>
        </w:rPr>
        <w:t xml:space="preserve"> Júnior, relaciona-se à criação de critérios/requisitos para acesso aos riscos objeto de proteção, “</w:t>
      </w:r>
      <w:r w:rsidRPr="00426CCB">
        <w:rPr>
          <w:rFonts w:ascii="Arial" w:hAnsi="Arial" w:cs="Arial"/>
          <w:b/>
          <w:bCs/>
          <w:sz w:val="24"/>
          <w:szCs w:val="24"/>
          <w:u w:val="single"/>
        </w:rPr>
        <w:t>de forma a atingir o maior universo de pessoas, proporcionando assim uma cobertura mais ampla</w:t>
      </w:r>
      <w:r w:rsidRPr="00426CCB">
        <w:rPr>
          <w:rFonts w:ascii="Arial" w:hAnsi="Arial" w:cs="Arial"/>
          <w:sz w:val="24"/>
          <w:szCs w:val="24"/>
        </w:rPr>
        <w:t>”</w:t>
      </w:r>
      <w:r w:rsidR="0089457E">
        <w:rPr>
          <w:rFonts w:ascii="Arial" w:hAnsi="Arial" w:cs="Arial"/>
          <w:sz w:val="24"/>
          <w:szCs w:val="24"/>
        </w:rPr>
        <w:t>.</w:t>
      </w:r>
      <w:r w:rsidR="0089457E">
        <w:rPr>
          <w:rStyle w:val="Refdenotaderodap"/>
          <w:rFonts w:ascii="Arial" w:hAnsi="Arial" w:cs="Arial"/>
          <w:sz w:val="24"/>
          <w:szCs w:val="24"/>
        </w:rPr>
        <w:footnoteReference w:id="3"/>
      </w:r>
    </w:p>
    <w:p w14:paraId="3CDF3914" w14:textId="77777777"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t xml:space="preserve">Já o </w:t>
      </w:r>
      <w:r w:rsidRPr="00426CCB">
        <w:rPr>
          <w:rFonts w:ascii="Arial" w:hAnsi="Arial" w:cs="Arial"/>
          <w:b/>
          <w:bCs/>
        </w:rPr>
        <w:t>princípio da seletividade</w:t>
      </w:r>
      <w:r w:rsidRPr="00426CCB">
        <w:rPr>
          <w:rFonts w:ascii="Arial" w:hAnsi="Arial" w:cs="Arial"/>
        </w:rPr>
        <w:t>, de acordo com o citado autor, “consiste na eleição dos riscos e contingências sociais a serem cobertos”.</w:t>
      </w:r>
    </w:p>
    <w:p w14:paraId="5A9D8004" w14:textId="77777777"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t>Com efeito, a distributividade e a seletividade caracterizam-se como limitadores do princípio da universalidade, permitindo a concessão de tratamento prioritário a determinadas pessoas, grupos ou classes em razão de determinados eventos.</w:t>
      </w:r>
    </w:p>
    <w:p w14:paraId="67450BCB" w14:textId="77777777"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t>No entanto, qualquer discriminação nesse sentido pressupõe motivação razoável, apta a justificar plenamente o tratamento preferencial de forma a não incorrer em violação à isonomia, núcleo do princípio constitucional da igualdade.</w:t>
      </w:r>
    </w:p>
    <w:p w14:paraId="5EE24BA0" w14:textId="77777777"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t>A aplicação prática do princípio da igualdade não se restringe à igualdade formal ou abstrata, aquela positivada pela lei, mas, sobretudo, deve ser pautada pela máxima aristotélica da igualdade material: tratar igualmente os iguais e desigualmente os desiguais, ou seja, tratamento uniforme condizente com a realidade.</w:t>
      </w:r>
    </w:p>
    <w:p w14:paraId="2A7C3402" w14:textId="17DCD4FB" w:rsidR="004A1A7E" w:rsidRPr="00426CCB" w:rsidRDefault="004A1A7E" w:rsidP="00426CCB">
      <w:pPr>
        <w:pStyle w:val="Corpodetexto"/>
        <w:spacing w:before="120"/>
        <w:ind w:firstLine="1134"/>
        <w:jc w:val="both"/>
        <w:rPr>
          <w:rFonts w:ascii="Arial" w:hAnsi="Arial" w:cs="Arial"/>
        </w:rPr>
      </w:pPr>
      <w:r w:rsidRPr="00426CCB">
        <w:rPr>
          <w:rFonts w:ascii="Arial" w:hAnsi="Arial" w:cs="Arial"/>
        </w:rPr>
        <w:lastRenderedPageBreak/>
        <w:t>Nessa linha, Alexandre de Moraes</w:t>
      </w:r>
      <w:r w:rsidR="004605AD">
        <w:rPr>
          <w:rStyle w:val="Refdenotaderodap"/>
          <w:rFonts w:ascii="Arial" w:hAnsi="Arial" w:cs="Arial"/>
        </w:rPr>
        <w:footnoteReference w:id="4"/>
      </w:r>
      <w:r w:rsidRPr="00426CCB">
        <w:rPr>
          <w:rFonts w:ascii="Arial" w:hAnsi="Arial" w:cs="Arial"/>
        </w:rPr>
        <w:t>, com propriedade, afirma:</w:t>
      </w:r>
    </w:p>
    <w:p w14:paraId="79E4065E" w14:textId="77777777" w:rsidR="004A1A7E" w:rsidRPr="002628AC" w:rsidRDefault="004A1A7E" w:rsidP="004A1A7E">
      <w:pPr>
        <w:pStyle w:val="Corpodetexto"/>
        <w:spacing w:before="4"/>
      </w:pPr>
    </w:p>
    <w:p w14:paraId="3BD53597" w14:textId="77777777" w:rsidR="004A1A7E" w:rsidRPr="00C82C95" w:rsidRDefault="004A1A7E" w:rsidP="00291AA2">
      <w:pPr>
        <w:spacing w:after="120" w:line="240" w:lineRule="auto"/>
        <w:ind w:left="1134" w:right="6"/>
        <w:jc w:val="both"/>
        <w:rPr>
          <w:rFonts w:ascii="Arial" w:hAnsi="Arial" w:cs="Arial"/>
          <w:sz w:val="20"/>
          <w:szCs w:val="20"/>
        </w:rPr>
      </w:pPr>
      <w:r w:rsidRPr="00C82C95">
        <w:rPr>
          <w:rFonts w:ascii="Arial" w:hAnsi="Arial" w:cs="Arial"/>
          <w:sz w:val="20"/>
          <w:szCs w:val="20"/>
        </w:rPr>
        <w:t>A Constituição Federal de 1988 adotou o princípio da igualdade de direitos, prevendo a igualdade de aptidão, uma igualdade de possibilidades virtuais, ou seja, todos os cidadãos têm o direito de tratamento idêntico pela lei, em consonância com os critérios albergados pelo ordenamento jurídico.</w:t>
      </w:r>
    </w:p>
    <w:p w14:paraId="6664DC90" w14:textId="25820BC4" w:rsidR="004A1A7E" w:rsidRDefault="004A1A7E" w:rsidP="00C82C95">
      <w:pPr>
        <w:spacing w:after="0" w:line="240" w:lineRule="auto"/>
        <w:ind w:left="1134" w:right="3"/>
        <w:jc w:val="both"/>
        <w:rPr>
          <w:rFonts w:ascii="Arial" w:hAnsi="Arial" w:cs="Arial"/>
          <w:b/>
          <w:bCs/>
          <w:sz w:val="20"/>
          <w:szCs w:val="20"/>
        </w:rPr>
      </w:pPr>
      <w:r w:rsidRPr="00C82C95">
        <w:rPr>
          <w:rFonts w:ascii="Arial" w:hAnsi="Arial" w:cs="Arial"/>
          <w:b/>
          <w:bCs/>
          <w:sz w:val="20"/>
          <w:szCs w:val="20"/>
        </w:rPr>
        <w:t>Dessa forma, o que se veda são as diferenciações arbitrárias, as discriminações absurdas, pois, o tratamento desigual dos casos desiguais, na medida em que se desigualam, é exigência do próprio conceito de Justiça, pois o que realmente protege são certas</w:t>
      </w:r>
      <w:r w:rsidR="002628AC" w:rsidRPr="00C82C95">
        <w:rPr>
          <w:rFonts w:ascii="Arial" w:hAnsi="Arial" w:cs="Arial"/>
          <w:b/>
          <w:bCs/>
          <w:sz w:val="20"/>
          <w:szCs w:val="20"/>
        </w:rPr>
        <w:t xml:space="preserve"> </w:t>
      </w:r>
      <w:r w:rsidRPr="00C82C95">
        <w:rPr>
          <w:rFonts w:ascii="Arial" w:hAnsi="Arial" w:cs="Arial"/>
          <w:b/>
          <w:bCs/>
          <w:sz w:val="20"/>
          <w:szCs w:val="20"/>
        </w:rPr>
        <w:t>finalidades, somente se tendo por lesado o princípio constitucional</w:t>
      </w:r>
      <w:r w:rsidRPr="00C82C95">
        <w:rPr>
          <w:rFonts w:ascii="Arial" w:hAnsi="Arial" w:cs="Arial"/>
          <w:b/>
          <w:bCs/>
          <w:spacing w:val="1"/>
          <w:sz w:val="20"/>
          <w:szCs w:val="20"/>
        </w:rPr>
        <w:t xml:space="preserve"> </w:t>
      </w:r>
      <w:r w:rsidRPr="00C82C95">
        <w:rPr>
          <w:rFonts w:ascii="Arial" w:hAnsi="Arial" w:cs="Arial"/>
          <w:b/>
          <w:bCs/>
          <w:sz w:val="20"/>
          <w:szCs w:val="20"/>
        </w:rPr>
        <w:t>quando o elemento discriminador não se encontra a serviço de uma</w:t>
      </w:r>
      <w:r w:rsidRPr="00C82C95">
        <w:rPr>
          <w:rFonts w:ascii="Arial" w:hAnsi="Arial" w:cs="Arial"/>
          <w:b/>
          <w:bCs/>
          <w:spacing w:val="1"/>
          <w:sz w:val="20"/>
          <w:szCs w:val="20"/>
        </w:rPr>
        <w:t xml:space="preserve"> </w:t>
      </w:r>
      <w:r w:rsidRPr="00C82C95">
        <w:rPr>
          <w:rFonts w:ascii="Arial" w:hAnsi="Arial" w:cs="Arial"/>
          <w:b/>
          <w:bCs/>
          <w:sz w:val="20"/>
          <w:szCs w:val="20"/>
        </w:rPr>
        <w:t>finalidade</w:t>
      </w:r>
      <w:r w:rsidRPr="00C82C95">
        <w:rPr>
          <w:rFonts w:ascii="Arial" w:hAnsi="Arial" w:cs="Arial"/>
          <w:b/>
          <w:bCs/>
          <w:spacing w:val="-2"/>
          <w:sz w:val="20"/>
          <w:szCs w:val="20"/>
        </w:rPr>
        <w:t xml:space="preserve"> </w:t>
      </w:r>
      <w:r w:rsidRPr="00C82C95">
        <w:rPr>
          <w:rFonts w:ascii="Arial" w:hAnsi="Arial" w:cs="Arial"/>
          <w:b/>
          <w:bCs/>
          <w:sz w:val="20"/>
          <w:szCs w:val="20"/>
        </w:rPr>
        <w:t>acolhida</w:t>
      </w:r>
      <w:r w:rsidRPr="00C82C95">
        <w:rPr>
          <w:rFonts w:ascii="Arial" w:hAnsi="Arial" w:cs="Arial"/>
          <w:b/>
          <w:bCs/>
          <w:spacing w:val="-1"/>
          <w:sz w:val="20"/>
          <w:szCs w:val="20"/>
        </w:rPr>
        <w:t xml:space="preserve"> </w:t>
      </w:r>
      <w:r w:rsidRPr="00C82C95">
        <w:rPr>
          <w:rFonts w:ascii="Arial" w:hAnsi="Arial" w:cs="Arial"/>
          <w:b/>
          <w:bCs/>
          <w:sz w:val="20"/>
          <w:szCs w:val="20"/>
        </w:rPr>
        <w:t>pelo</w:t>
      </w:r>
      <w:r w:rsidRPr="00C82C95">
        <w:rPr>
          <w:rFonts w:ascii="Arial" w:hAnsi="Arial" w:cs="Arial"/>
          <w:b/>
          <w:bCs/>
          <w:spacing w:val="-1"/>
          <w:sz w:val="20"/>
          <w:szCs w:val="20"/>
        </w:rPr>
        <w:t xml:space="preserve"> </w:t>
      </w:r>
      <w:r w:rsidRPr="00C82C95">
        <w:rPr>
          <w:rFonts w:ascii="Arial" w:hAnsi="Arial" w:cs="Arial"/>
          <w:b/>
          <w:bCs/>
          <w:sz w:val="20"/>
          <w:szCs w:val="20"/>
        </w:rPr>
        <w:t>direito</w:t>
      </w:r>
      <w:r w:rsidRPr="00C82C95">
        <w:rPr>
          <w:rFonts w:ascii="Arial" w:hAnsi="Arial" w:cs="Arial"/>
          <w:b/>
          <w:bCs/>
          <w:spacing w:val="3"/>
          <w:sz w:val="20"/>
          <w:szCs w:val="20"/>
        </w:rPr>
        <w:t xml:space="preserve"> </w:t>
      </w:r>
      <w:r w:rsidRPr="00C82C95">
        <w:rPr>
          <w:rFonts w:ascii="Arial" w:hAnsi="Arial" w:cs="Arial"/>
          <w:b/>
          <w:bCs/>
          <w:sz w:val="20"/>
          <w:szCs w:val="20"/>
        </w:rPr>
        <w:t>(...).</w:t>
      </w:r>
    </w:p>
    <w:p w14:paraId="090A1966" w14:textId="77777777" w:rsidR="00C82C95" w:rsidRPr="00C82C95" w:rsidRDefault="00C82C95" w:rsidP="00C82C95">
      <w:pPr>
        <w:spacing w:after="0" w:line="240" w:lineRule="auto"/>
        <w:ind w:left="1134" w:right="3"/>
        <w:jc w:val="both"/>
        <w:rPr>
          <w:rFonts w:ascii="Arial" w:hAnsi="Arial" w:cs="Arial"/>
          <w:b/>
          <w:bCs/>
          <w:sz w:val="20"/>
          <w:szCs w:val="20"/>
        </w:rPr>
      </w:pPr>
    </w:p>
    <w:p w14:paraId="5F34C59B" w14:textId="2AAA55A8" w:rsidR="004A1A7E" w:rsidRDefault="004A1A7E" w:rsidP="00C82C95">
      <w:pPr>
        <w:pStyle w:val="Corpodetexto"/>
        <w:spacing w:before="120"/>
        <w:ind w:firstLine="1134"/>
        <w:jc w:val="both"/>
        <w:rPr>
          <w:rFonts w:ascii="Arial" w:hAnsi="Arial" w:cs="Arial"/>
        </w:rPr>
      </w:pPr>
      <w:r w:rsidRPr="00C82C95">
        <w:rPr>
          <w:rFonts w:ascii="Arial" w:hAnsi="Arial" w:cs="Arial"/>
        </w:rPr>
        <w:t>Na compreensão de Fernanda Duarte Lopes Lucas da Silva</w:t>
      </w:r>
      <w:r w:rsidR="00E2181C">
        <w:rPr>
          <w:rStyle w:val="Refdenotaderodap"/>
          <w:rFonts w:ascii="Arial" w:hAnsi="Arial" w:cs="Arial"/>
        </w:rPr>
        <w:footnoteReference w:id="5"/>
      </w:r>
      <w:r w:rsidRPr="00C82C95">
        <w:rPr>
          <w:rFonts w:ascii="Arial" w:hAnsi="Arial" w:cs="Arial"/>
        </w:rPr>
        <w:t>, a lei não pode instituir disciplinas diversas para situações equivalentes:</w:t>
      </w:r>
    </w:p>
    <w:p w14:paraId="4627C5AF" w14:textId="77777777" w:rsidR="00C82C95" w:rsidRPr="00C82C95" w:rsidRDefault="00C82C95" w:rsidP="00C82C95">
      <w:pPr>
        <w:pStyle w:val="Corpodetexto"/>
        <w:spacing w:before="120"/>
        <w:ind w:firstLine="1134"/>
        <w:jc w:val="both"/>
        <w:rPr>
          <w:rFonts w:ascii="Arial" w:hAnsi="Arial" w:cs="Arial"/>
        </w:rPr>
      </w:pPr>
    </w:p>
    <w:p w14:paraId="068DBC28" w14:textId="7640C0A7" w:rsidR="004A1A7E" w:rsidRDefault="004A1A7E" w:rsidP="00C82C95">
      <w:pPr>
        <w:spacing w:after="0" w:line="240" w:lineRule="auto"/>
        <w:ind w:left="1134"/>
        <w:jc w:val="both"/>
        <w:rPr>
          <w:rFonts w:ascii="Arial" w:hAnsi="Arial" w:cs="Arial"/>
          <w:sz w:val="20"/>
          <w:szCs w:val="20"/>
        </w:rPr>
      </w:pPr>
      <w:r w:rsidRPr="00C82C95">
        <w:rPr>
          <w:rFonts w:ascii="Arial" w:hAnsi="Arial" w:cs="Arial"/>
          <w:sz w:val="20"/>
          <w:szCs w:val="20"/>
        </w:rPr>
        <w:t xml:space="preserve">(...) o princípio da igualdade jurídica determina que </w:t>
      </w:r>
      <w:r w:rsidRPr="00C82C95">
        <w:rPr>
          <w:rFonts w:ascii="Arial" w:hAnsi="Arial" w:cs="Arial"/>
          <w:b/>
          <w:bCs/>
          <w:sz w:val="20"/>
          <w:szCs w:val="20"/>
        </w:rPr>
        <w:t>a lei não pode ser fonte de privilégio ou de perseguições, mas sim instrumento regulatório da vida social, que necessita tratar equitativamente todos os cidadãos.</w:t>
      </w:r>
      <w:r w:rsidRPr="00C82C95">
        <w:rPr>
          <w:rFonts w:ascii="Arial" w:hAnsi="Arial" w:cs="Arial"/>
          <w:sz w:val="20"/>
          <w:szCs w:val="20"/>
        </w:rPr>
        <w:t xml:space="preserve"> Ao se cumprir a lei, todos os seus destinatários hão de receber tratamento parificado, de modo que </w:t>
      </w:r>
      <w:r w:rsidRPr="00C82C95">
        <w:rPr>
          <w:rFonts w:ascii="Arial" w:hAnsi="Arial" w:cs="Arial"/>
          <w:b/>
          <w:bCs/>
          <w:sz w:val="20"/>
          <w:szCs w:val="20"/>
        </w:rPr>
        <w:t>ao próprio ditame legal é defeso instituir disciplinas diversas para situações equivalentes.</w:t>
      </w:r>
      <w:r w:rsidRPr="00C82C95">
        <w:rPr>
          <w:rFonts w:ascii="Arial" w:hAnsi="Arial" w:cs="Arial"/>
          <w:sz w:val="20"/>
          <w:szCs w:val="20"/>
        </w:rPr>
        <w:t xml:space="preserve"> Essa exigência, por sua vez, não interdita a possibilidade de tratamento diferenciado, que se razoável, tem abrigo na ordem constitucional.</w:t>
      </w:r>
    </w:p>
    <w:p w14:paraId="2D2BC7B2" w14:textId="77777777" w:rsidR="00C82C95" w:rsidRPr="00C82C95" w:rsidRDefault="00C82C95" w:rsidP="00C82C95">
      <w:pPr>
        <w:spacing w:after="0" w:line="240" w:lineRule="auto"/>
        <w:ind w:left="1134"/>
        <w:jc w:val="both"/>
        <w:rPr>
          <w:rFonts w:ascii="Arial" w:hAnsi="Arial" w:cs="Arial"/>
          <w:sz w:val="20"/>
          <w:szCs w:val="20"/>
        </w:rPr>
      </w:pPr>
    </w:p>
    <w:p w14:paraId="7ACD5397" w14:textId="310929A1" w:rsidR="004A1A7E" w:rsidRDefault="004A1A7E" w:rsidP="00C82C95">
      <w:pPr>
        <w:pStyle w:val="Corpodetexto"/>
        <w:spacing w:before="120"/>
        <w:ind w:firstLine="1134"/>
        <w:jc w:val="both"/>
      </w:pPr>
      <w:r w:rsidRPr="002628AC">
        <w:t>Conforme lição do Professor Celso Antônio Bandeira de Mello</w:t>
      </w:r>
      <w:r w:rsidR="002A2F02">
        <w:rPr>
          <w:rStyle w:val="Refdenotaderodap"/>
        </w:rPr>
        <w:footnoteReference w:id="6"/>
      </w:r>
      <w:r w:rsidRPr="002628AC">
        <w:t>, a ordem jurídica impossibilita desequiparações fortuitas ou injustificadas:</w:t>
      </w:r>
    </w:p>
    <w:p w14:paraId="37008BBE" w14:textId="77777777" w:rsidR="00C82C95" w:rsidRPr="002628AC" w:rsidRDefault="00C82C95" w:rsidP="00C82C95">
      <w:pPr>
        <w:pStyle w:val="Corpodetexto"/>
        <w:spacing w:before="120"/>
        <w:ind w:firstLine="1134"/>
        <w:jc w:val="both"/>
      </w:pPr>
    </w:p>
    <w:p w14:paraId="320CB301" w14:textId="77777777" w:rsidR="004A1A7E" w:rsidRPr="00C82C95" w:rsidRDefault="004A1A7E" w:rsidP="00C82C95">
      <w:pPr>
        <w:spacing w:after="0" w:line="240" w:lineRule="auto"/>
        <w:ind w:left="1134"/>
        <w:jc w:val="both"/>
        <w:rPr>
          <w:rFonts w:ascii="Arial" w:hAnsi="Arial" w:cs="Arial"/>
          <w:sz w:val="20"/>
          <w:szCs w:val="20"/>
        </w:rPr>
      </w:pPr>
      <w:r w:rsidRPr="00C82C95">
        <w:rPr>
          <w:rFonts w:ascii="Arial" w:hAnsi="Arial" w:cs="Arial"/>
          <w:sz w:val="20"/>
          <w:szCs w:val="20"/>
        </w:rPr>
        <w:t>(...), por via do princípio da igualdade, o que a ordem jurídica pretende firmar é a impossibilidade de desequiparações fortuitas ou injustificadas. Para atingir este bem, este valor absorvido pelo Direito, o sistema normativo concebeu fórmulas hábil que interdita, o quanto possível, tais resultados, posto que, exigindo igualdade, assegura que os preceitos genéricos, os abstratos e atos concretos colham a todos sem especificações arbitrárias, assim proveitosas que detrimentosas para os atingidos.</w:t>
      </w:r>
    </w:p>
    <w:p w14:paraId="2C3BFD9D" w14:textId="77777777" w:rsidR="004A1A7E" w:rsidRPr="002628AC" w:rsidRDefault="004A1A7E" w:rsidP="004A1A7E">
      <w:pPr>
        <w:pStyle w:val="Corpodetexto"/>
      </w:pPr>
    </w:p>
    <w:p w14:paraId="22DEA6B3" w14:textId="77777777" w:rsidR="004A1A7E" w:rsidRPr="002628AC" w:rsidRDefault="004A1A7E" w:rsidP="00C82C95">
      <w:pPr>
        <w:pStyle w:val="Corpodetexto"/>
        <w:spacing w:before="120"/>
        <w:ind w:firstLine="1134"/>
        <w:jc w:val="both"/>
      </w:pPr>
      <w:r w:rsidRPr="002628AC">
        <w:t>Esse posicionamento majoritário da doutrina é compartilhado pelo Supremo Tribunal Federal. No âmbito do recurso extraordinário - RE 587970/SP, a Suprema Corte discutiu a amplitude do benefício de prestação continuada, previsto no art. 203, V, da CF, tal como regulamentado pela Lei 8.742/1993 e pelo Decreto 1.744/1995, normas que estabelecem a nacionalidade brasileira como requisito para o gozo do benefício, além dos requisitos etário e socioeconômico, excluída a possibilidade de concessão a estrangeiros residentes no país.</w:t>
      </w:r>
    </w:p>
    <w:p w14:paraId="5D5D45AC" w14:textId="77777777" w:rsidR="00C15D17" w:rsidRDefault="004A1A7E" w:rsidP="00C82C95">
      <w:pPr>
        <w:pStyle w:val="Corpodetexto"/>
        <w:spacing w:before="120"/>
        <w:ind w:firstLine="1134"/>
        <w:jc w:val="both"/>
        <w:rPr>
          <w:rFonts w:ascii="Arial" w:hAnsi="Arial" w:cs="Arial"/>
        </w:rPr>
      </w:pPr>
      <w:r w:rsidRPr="00C15D17">
        <w:rPr>
          <w:rFonts w:ascii="Arial" w:hAnsi="Arial" w:cs="Arial"/>
        </w:rPr>
        <w:lastRenderedPageBreak/>
        <w:t xml:space="preserve">Por unanimidade, a Corte entendeu que a limitação do benefício assistencial apenas a cidadãos brasileiros conflita diretamente com o texto constitucional, que expressamente determina uma cobertura mais ampla, não suscetível de limitação pelo critério da nacionalidade, desde que atendidos os </w:t>
      </w:r>
      <w:r w:rsidR="00C15D17" w:rsidRPr="00C15D17">
        <w:rPr>
          <w:rFonts w:ascii="Arial" w:hAnsi="Arial" w:cs="Arial"/>
        </w:rPr>
        <w:t>demais critérios legais.</w:t>
      </w:r>
    </w:p>
    <w:p w14:paraId="610D19C9" w14:textId="5E46CF85" w:rsidR="004A1A7E" w:rsidRPr="00684730" w:rsidRDefault="004A1A7E" w:rsidP="00C82C95">
      <w:pPr>
        <w:pStyle w:val="Corpodetexto"/>
        <w:spacing w:before="120"/>
        <w:ind w:firstLine="1134"/>
        <w:jc w:val="both"/>
      </w:pPr>
      <w:r w:rsidRPr="00684730">
        <w:t>Diante de todo esse contexto jurídico, verifica-se que o município possui competência para implementar benefício assistencial eventual, a ser concedido na forma de pecúnia, restrito a determinadas categorias de trabalhadores, desde que essa desequiparação esteja fundamentada em fato relevante, motivado, razoável e em plena sintonia com a ordem constitucional.</w:t>
      </w:r>
    </w:p>
    <w:p w14:paraId="4EA31C9E" w14:textId="77777777" w:rsidR="004A1A7E" w:rsidRPr="00684730" w:rsidRDefault="004A1A7E" w:rsidP="00C82C95">
      <w:pPr>
        <w:pStyle w:val="Corpodetexto"/>
        <w:spacing w:before="120"/>
        <w:ind w:firstLine="1134"/>
        <w:jc w:val="both"/>
      </w:pPr>
      <w:r w:rsidRPr="00684730">
        <w:t>Ou seja, o Município deve justificar a instituição de benefício assistencial que contemple determinadas categorias profissionais, já que a atual crise econômica decorrente da pandemia atinge de forma ampla e irrestrita diversas atividades econômicas. Dessa forma, a mera comprovação do impacto da crise econômica sobre essas categorias não constitui motivação suficiente para a elegibilidade do benefício assistencial.</w:t>
      </w:r>
    </w:p>
    <w:p w14:paraId="628DC91D" w14:textId="77777777" w:rsidR="004A1A7E" w:rsidRPr="00684730" w:rsidRDefault="004A1A7E" w:rsidP="00C82C95">
      <w:pPr>
        <w:pStyle w:val="Corpodetexto"/>
        <w:spacing w:before="120"/>
        <w:ind w:firstLine="1134"/>
        <w:jc w:val="both"/>
      </w:pPr>
      <w:r w:rsidRPr="00684730">
        <w:t>Reputa-se necessária a demonstração de que a política social de enfrentamento da pandemia instituída pelo município garanta o amplo acesso de todas as categorias e grupos em situação de vulnerabilidade social, de modo que a implementação de benefício restrito a determinadas classes constitui medida que visa complementar a universalidade de atendimento.</w:t>
      </w:r>
    </w:p>
    <w:p w14:paraId="74695711" w14:textId="77777777" w:rsidR="004A1A7E" w:rsidRPr="00684730" w:rsidRDefault="004A1A7E" w:rsidP="00C82C95">
      <w:pPr>
        <w:pStyle w:val="Corpodetexto"/>
        <w:spacing w:before="120"/>
        <w:ind w:firstLine="1134"/>
        <w:jc w:val="both"/>
      </w:pPr>
      <w:r w:rsidRPr="00684730">
        <w:t>Essa comprovação pode ocorrer através de um diagnóstico que demonstre que os beneficiários constituem as únicas categorias não contempladas por outros benefícios assistenciais, como, por exemplo, o auxílio emergencial instituído pelo governo federal.</w:t>
      </w:r>
    </w:p>
    <w:p w14:paraId="083E18D9" w14:textId="77777777" w:rsidR="004A1A7E" w:rsidRPr="00684730" w:rsidRDefault="004A1A7E" w:rsidP="00C82C95">
      <w:pPr>
        <w:pStyle w:val="Corpodetexto"/>
        <w:spacing w:before="120"/>
        <w:ind w:firstLine="1134"/>
        <w:jc w:val="both"/>
      </w:pPr>
      <w:r w:rsidRPr="00684730">
        <w:t>Nesse sentido, importa mencionar a complementariedade dos benefícios assistenciais criados pelo governo federal com o objetivo de fornecer proteção emergencial aos trabalhadores no período de enfrentamento à crise causada pela pandemia do coronavírus - COVID 19.</w:t>
      </w:r>
    </w:p>
    <w:p w14:paraId="514BDF13" w14:textId="77777777" w:rsidR="004A1A7E" w:rsidRPr="00684730" w:rsidRDefault="004A1A7E" w:rsidP="00C82C95">
      <w:pPr>
        <w:pStyle w:val="Corpodetexto"/>
        <w:spacing w:before="120"/>
        <w:ind w:firstLine="1134"/>
        <w:jc w:val="both"/>
      </w:pPr>
      <w:r w:rsidRPr="00684730">
        <w:t>Inicialmente, mediante a Lei 13.982/20, foi instituído o auxílio emergencial, que consiste em benefício financeiro destinado, de forma geral, aos trabalhadores informais, microempreendedores individuais (MEI), autônomos e desempregados, que cumpram os demais requisitos previstos na lei.</w:t>
      </w:r>
    </w:p>
    <w:p w14:paraId="0EF39683" w14:textId="2A57957F" w:rsidR="004A1A7E" w:rsidRDefault="004A1A7E" w:rsidP="00C82C95">
      <w:pPr>
        <w:pStyle w:val="Corpodetexto"/>
        <w:spacing w:before="120"/>
        <w:ind w:firstLine="1134"/>
      </w:pPr>
      <w:r w:rsidRPr="00684730">
        <w:t>Posteriormente, o Governo Federal implementou o benefício de renda emergencial mensal aos trabalhadores da cultura não contemplados por</w:t>
      </w:r>
      <w:r w:rsidR="00684730" w:rsidRPr="00684730">
        <w:t xml:space="preserve"> </w:t>
      </w:r>
      <w:r w:rsidRPr="00684730">
        <w:t>outros benefícios assistenciais, conforme os critérios de elegibilidade previstos no artigo 6º da Lei 14.017/20:</w:t>
      </w:r>
    </w:p>
    <w:p w14:paraId="7D0EFEC7" w14:textId="77777777" w:rsidR="003075FD" w:rsidRPr="00684730" w:rsidRDefault="003075FD" w:rsidP="00C15D17">
      <w:pPr>
        <w:pStyle w:val="Corpodetexto"/>
        <w:ind w:firstLine="1134"/>
      </w:pPr>
    </w:p>
    <w:p w14:paraId="31E1C97A" w14:textId="77777777" w:rsidR="004A1A7E" w:rsidRPr="003075FD" w:rsidRDefault="004A1A7E" w:rsidP="003075FD">
      <w:pPr>
        <w:spacing w:after="0" w:line="240" w:lineRule="auto"/>
        <w:ind w:left="1134" w:right="118"/>
        <w:jc w:val="both"/>
        <w:rPr>
          <w:rFonts w:ascii="Arial" w:hAnsi="Arial" w:cs="Arial"/>
          <w:sz w:val="20"/>
          <w:szCs w:val="20"/>
        </w:rPr>
      </w:pPr>
      <w:r w:rsidRPr="003075FD">
        <w:rPr>
          <w:rFonts w:ascii="Arial" w:hAnsi="Arial" w:cs="Arial"/>
          <w:sz w:val="20"/>
          <w:szCs w:val="20"/>
        </w:rPr>
        <w:t>Art. 6º Farão jus à renda emergencial prevista no inciso I do caput do art. 2º desta Lei os trabalhadores e trabalhadoras da cultura com atividades interrompidas e que comprovem:</w:t>
      </w:r>
    </w:p>
    <w:p w14:paraId="3DFB1567" w14:textId="77777777" w:rsidR="004A1A7E" w:rsidRPr="003075FD" w:rsidRDefault="004A1A7E" w:rsidP="003075FD">
      <w:pPr>
        <w:pStyle w:val="PargrafodaLista"/>
        <w:numPr>
          <w:ilvl w:val="0"/>
          <w:numId w:val="2"/>
        </w:numPr>
        <w:tabs>
          <w:tab w:val="left" w:pos="1948"/>
        </w:tabs>
        <w:spacing w:before="0"/>
        <w:ind w:left="1134" w:right="118" w:firstLine="0"/>
        <w:rPr>
          <w:rFonts w:ascii="Arial" w:hAnsi="Arial" w:cs="Arial"/>
          <w:sz w:val="20"/>
          <w:szCs w:val="20"/>
        </w:rPr>
      </w:pPr>
      <w:r w:rsidRPr="003075FD">
        <w:rPr>
          <w:rFonts w:ascii="Arial" w:hAnsi="Arial" w:cs="Arial"/>
          <w:sz w:val="20"/>
          <w:szCs w:val="20"/>
        </w:rPr>
        <w:t>- terem atuado social ou profissionalmente nas áreas artística e cultural nos 24 (vinte e quatro) meses imediatamente anteriores à data de publicação desta Lei, comprovada a atuação de forma documental ou autodeclaratória;</w:t>
      </w:r>
    </w:p>
    <w:p w14:paraId="6470E037" w14:textId="77777777" w:rsidR="004A1A7E" w:rsidRPr="003075FD" w:rsidRDefault="004A1A7E" w:rsidP="003075FD">
      <w:pPr>
        <w:pStyle w:val="PargrafodaLista"/>
        <w:numPr>
          <w:ilvl w:val="0"/>
          <w:numId w:val="2"/>
        </w:numPr>
        <w:tabs>
          <w:tab w:val="left" w:pos="1970"/>
        </w:tabs>
        <w:spacing w:before="0"/>
        <w:ind w:left="1134" w:firstLine="0"/>
        <w:rPr>
          <w:rFonts w:ascii="Arial" w:hAnsi="Arial" w:cs="Arial"/>
          <w:sz w:val="20"/>
          <w:szCs w:val="20"/>
        </w:rPr>
      </w:pPr>
      <w:r w:rsidRPr="003075FD">
        <w:rPr>
          <w:rFonts w:ascii="Arial" w:hAnsi="Arial" w:cs="Arial"/>
          <w:sz w:val="20"/>
          <w:szCs w:val="20"/>
        </w:rPr>
        <w:t>- não terem emprego formal ativo;</w:t>
      </w:r>
    </w:p>
    <w:p w14:paraId="595688FA" w14:textId="77777777" w:rsidR="004A1A7E" w:rsidRPr="003075FD" w:rsidRDefault="004A1A7E" w:rsidP="003075FD">
      <w:pPr>
        <w:pStyle w:val="PargrafodaLista"/>
        <w:numPr>
          <w:ilvl w:val="0"/>
          <w:numId w:val="2"/>
        </w:numPr>
        <w:tabs>
          <w:tab w:val="left" w:pos="2092"/>
        </w:tabs>
        <w:spacing w:before="0"/>
        <w:ind w:left="1134" w:right="118" w:firstLine="0"/>
        <w:rPr>
          <w:rFonts w:ascii="Arial" w:hAnsi="Arial" w:cs="Arial"/>
          <w:sz w:val="20"/>
          <w:szCs w:val="20"/>
        </w:rPr>
      </w:pPr>
      <w:r w:rsidRPr="003075FD">
        <w:rPr>
          <w:rFonts w:ascii="Arial" w:hAnsi="Arial" w:cs="Arial"/>
          <w:sz w:val="20"/>
          <w:szCs w:val="20"/>
        </w:rPr>
        <w:lastRenderedPageBreak/>
        <w:t>- não serem titulares de benefício previdenciário ou assistencial ou beneficiários do seguro-desemprego ou de programa de transferência de renda federal, ressalvado o Programa Bolsa Família;</w:t>
      </w:r>
    </w:p>
    <w:p w14:paraId="67D1C758" w14:textId="77777777" w:rsidR="004A1A7E" w:rsidRPr="003075FD" w:rsidRDefault="004A1A7E" w:rsidP="003075FD">
      <w:pPr>
        <w:pStyle w:val="PargrafodaLista"/>
        <w:numPr>
          <w:ilvl w:val="0"/>
          <w:numId w:val="2"/>
        </w:numPr>
        <w:tabs>
          <w:tab w:val="left" w:pos="2049"/>
        </w:tabs>
        <w:spacing w:before="0"/>
        <w:ind w:left="1134" w:right="117" w:firstLine="0"/>
        <w:rPr>
          <w:rFonts w:ascii="Arial" w:hAnsi="Arial" w:cs="Arial"/>
          <w:sz w:val="20"/>
          <w:szCs w:val="20"/>
        </w:rPr>
      </w:pPr>
      <w:r w:rsidRPr="003075FD">
        <w:rPr>
          <w:rFonts w:ascii="Arial" w:hAnsi="Arial" w:cs="Arial"/>
          <w:sz w:val="20"/>
          <w:szCs w:val="20"/>
        </w:rPr>
        <w:t xml:space="preserve">- terem renda familiar mensal </w:t>
      </w:r>
      <w:r w:rsidRPr="003075FD">
        <w:rPr>
          <w:rFonts w:ascii="Arial" w:hAnsi="Arial" w:cs="Arial"/>
          <w:b/>
          <w:bCs/>
          <w:sz w:val="20"/>
          <w:szCs w:val="20"/>
        </w:rPr>
        <w:t>per capita</w:t>
      </w:r>
      <w:r w:rsidRPr="003075FD">
        <w:rPr>
          <w:rFonts w:ascii="Arial" w:hAnsi="Arial" w:cs="Arial"/>
          <w:sz w:val="20"/>
          <w:szCs w:val="20"/>
        </w:rPr>
        <w:t xml:space="preserve"> de até 1/2 (meio) salário-mínimo ou renda familiar mensal total de até 3 (três) salários-mínimos, o que for maior;</w:t>
      </w:r>
    </w:p>
    <w:p w14:paraId="75D963B7" w14:textId="77777777" w:rsidR="004A1A7E" w:rsidRPr="003075FD" w:rsidRDefault="004A1A7E" w:rsidP="003075FD">
      <w:pPr>
        <w:pStyle w:val="PargrafodaLista"/>
        <w:numPr>
          <w:ilvl w:val="0"/>
          <w:numId w:val="2"/>
        </w:numPr>
        <w:tabs>
          <w:tab w:val="left" w:pos="2010"/>
        </w:tabs>
        <w:spacing w:before="0"/>
        <w:ind w:left="1134" w:right="119" w:firstLine="0"/>
        <w:rPr>
          <w:rFonts w:ascii="Arial" w:hAnsi="Arial" w:cs="Arial"/>
          <w:sz w:val="20"/>
          <w:szCs w:val="20"/>
        </w:rPr>
      </w:pPr>
      <w:r w:rsidRPr="003075FD">
        <w:rPr>
          <w:rFonts w:ascii="Arial" w:hAnsi="Arial" w:cs="Arial"/>
          <w:sz w:val="20"/>
          <w:szCs w:val="20"/>
        </w:rPr>
        <w:t>- não terem recebido, no ano de 2018, rendimentos tributáveis acima de R$ 28.559,70 (vinte e oito mil, quinhentos e cinquenta e nove reais e setenta centavos);</w:t>
      </w:r>
    </w:p>
    <w:p w14:paraId="2FD36123" w14:textId="77777777" w:rsidR="004A1A7E" w:rsidRPr="003075FD" w:rsidRDefault="004A1A7E" w:rsidP="003075FD">
      <w:pPr>
        <w:pStyle w:val="PargrafodaLista"/>
        <w:numPr>
          <w:ilvl w:val="0"/>
          <w:numId w:val="2"/>
        </w:numPr>
        <w:tabs>
          <w:tab w:val="left" w:pos="2051"/>
        </w:tabs>
        <w:spacing w:before="0"/>
        <w:ind w:left="1134" w:right="125" w:firstLine="0"/>
        <w:rPr>
          <w:rFonts w:ascii="Arial" w:hAnsi="Arial" w:cs="Arial"/>
          <w:sz w:val="20"/>
          <w:szCs w:val="20"/>
        </w:rPr>
      </w:pPr>
      <w:r w:rsidRPr="003075FD">
        <w:rPr>
          <w:rFonts w:ascii="Arial" w:hAnsi="Arial" w:cs="Arial"/>
          <w:sz w:val="20"/>
          <w:szCs w:val="20"/>
        </w:rPr>
        <w:t>- estarem inscritos, com a respectiva homologação da inscrição, em, pelo menos, um dos cadastros previstos no § 1º do art. 7º desta Lei; e</w:t>
      </w:r>
    </w:p>
    <w:p w14:paraId="5B4246B7" w14:textId="1F94352F" w:rsidR="004A1A7E" w:rsidRPr="003075FD" w:rsidRDefault="004A1A7E" w:rsidP="003075FD">
      <w:pPr>
        <w:pStyle w:val="PargrafodaLista"/>
        <w:numPr>
          <w:ilvl w:val="0"/>
          <w:numId w:val="2"/>
        </w:numPr>
        <w:tabs>
          <w:tab w:val="left" w:pos="2162"/>
        </w:tabs>
        <w:spacing w:before="0"/>
        <w:ind w:left="1134" w:right="117" w:firstLine="0"/>
        <w:rPr>
          <w:rFonts w:ascii="Arial" w:hAnsi="Arial" w:cs="Arial"/>
          <w:sz w:val="20"/>
          <w:szCs w:val="20"/>
        </w:rPr>
      </w:pPr>
      <w:r w:rsidRPr="003075FD">
        <w:rPr>
          <w:rFonts w:ascii="Arial" w:hAnsi="Arial" w:cs="Arial"/>
          <w:sz w:val="20"/>
          <w:szCs w:val="20"/>
        </w:rPr>
        <w:t xml:space="preserve">- não serem beneficiários do auxílio emergencial previsto na </w:t>
      </w:r>
      <w:hyperlink r:id="rId9">
        <w:r w:rsidRPr="003075FD">
          <w:rPr>
            <w:rFonts w:ascii="Arial" w:hAnsi="Arial" w:cs="Arial"/>
            <w:sz w:val="20"/>
            <w:szCs w:val="20"/>
          </w:rPr>
          <w:t xml:space="preserve">Lei </w:t>
        </w:r>
        <w:r w:rsidR="00684730" w:rsidRPr="003075FD">
          <w:rPr>
            <w:rFonts w:ascii="Arial" w:hAnsi="Arial" w:cs="Arial"/>
            <w:sz w:val="20"/>
            <w:szCs w:val="20"/>
          </w:rPr>
          <w:t xml:space="preserve">nº </w:t>
        </w:r>
      </w:hyperlink>
      <w:r w:rsidRPr="003075FD">
        <w:rPr>
          <w:rFonts w:ascii="Arial" w:hAnsi="Arial" w:cs="Arial"/>
          <w:sz w:val="20"/>
          <w:szCs w:val="20"/>
        </w:rPr>
        <w:t xml:space="preserve"> </w:t>
      </w:r>
      <w:hyperlink r:id="rId10">
        <w:r w:rsidRPr="003075FD">
          <w:rPr>
            <w:rFonts w:ascii="Arial" w:hAnsi="Arial" w:cs="Arial"/>
            <w:sz w:val="20"/>
            <w:szCs w:val="20"/>
          </w:rPr>
          <w:t>13.982, de 2 de abril de 2020.</w:t>
        </w:r>
      </w:hyperlink>
    </w:p>
    <w:p w14:paraId="189FD3DE" w14:textId="77777777" w:rsidR="004A1A7E" w:rsidRPr="00684730" w:rsidRDefault="004A1A7E" w:rsidP="004A1A7E">
      <w:pPr>
        <w:pStyle w:val="Corpodetexto"/>
      </w:pPr>
    </w:p>
    <w:p w14:paraId="1053CF3B" w14:textId="77777777" w:rsidR="004A1A7E" w:rsidRPr="003075FD" w:rsidRDefault="004A1A7E" w:rsidP="003075FD">
      <w:pPr>
        <w:pStyle w:val="Corpodetexto"/>
        <w:spacing w:before="120"/>
        <w:ind w:right="118" w:firstLine="1134"/>
        <w:jc w:val="both"/>
        <w:rPr>
          <w:rFonts w:ascii="Arial" w:hAnsi="Arial" w:cs="Arial"/>
        </w:rPr>
      </w:pPr>
      <w:r w:rsidRPr="003075FD">
        <w:rPr>
          <w:rFonts w:ascii="Arial" w:hAnsi="Arial" w:cs="Arial"/>
        </w:rPr>
        <w:t>Portanto, a instituição do benefício específico ao setor cultural, mediante discriminação justa e razoável, teve por finalidade precípua a garantia do amplo acesso (universalidade de atendimento) aos trabalhadores afetados pela atual crise econômica.</w:t>
      </w:r>
    </w:p>
    <w:p w14:paraId="638A2487" w14:textId="77777777" w:rsidR="004A1A7E" w:rsidRPr="003075FD" w:rsidRDefault="004A1A7E" w:rsidP="003075FD">
      <w:pPr>
        <w:pStyle w:val="PargrafodaLista"/>
        <w:numPr>
          <w:ilvl w:val="0"/>
          <w:numId w:val="1"/>
        </w:numPr>
        <w:tabs>
          <w:tab w:val="left" w:pos="2167"/>
        </w:tabs>
        <w:spacing w:before="120"/>
        <w:ind w:left="0" w:right="116" w:firstLine="1134"/>
        <w:rPr>
          <w:rFonts w:ascii="Arial" w:hAnsi="Arial" w:cs="Arial"/>
          <w:sz w:val="24"/>
          <w:szCs w:val="24"/>
        </w:rPr>
      </w:pPr>
      <w:r w:rsidRPr="003075FD">
        <w:rPr>
          <w:rFonts w:ascii="Arial" w:hAnsi="Arial" w:cs="Arial"/>
          <w:sz w:val="24"/>
          <w:szCs w:val="24"/>
        </w:rPr>
        <w:t>- O gestor público também deve observar as cautelas relativas à legislação eleitoral.</w:t>
      </w:r>
    </w:p>
    <w:p w14:paraId="45A84548" w14:textId="29CF3B98" w:rsidR="004A1A7E" w:rsidRDefault="004A1A7E" w:rsidP="003075FD">
      <w:pPr>
        <w:pStyle w:val="Corpodetexto"/>
        <w:spacing w:before="120"/>
        <w:ind w:right="115" w:firstLine="1134"/>
        <w:jc w:val="both"/>
        <w:rPr>
          <w:rFonts w:ascii="Arial" w:hAnsi="Arial" w:cs="Arial"/>
        </w:rPr>
      </w:pPr>
      <w:r w:rsidRPr="003075FD">
        <w:rPr>
          <w:rFonts w:ascii="Arial" w:hAnsi="Arial" w:cs="Arial"/>
        </w:rPr>
        <w:t xml:space="preserve">O artigo 73, § 10, da Lei 9.504/97 (Lei das Eleições), proíbe, em ano eleitoral, a distribuição gratuita de bens, valores ou benefícios por parte da Administração Pública, exceto nos casos de calamidade pública, de estado de emergência ou de programas sociais autorizados em lei e já em execução orçamentária no exercício anterior, </w:t>
      </w:r>
      <w:r w:rsidRPr="003075FD">
        <w:rPr>
          <w:rFonts w:ascii="Arial" w:hAnsi="Arial" w:cs="Arial"/>
          <w:i/>
          <w:iCs/>
        </w:rPr>
        <w:t>in verbis</w:t>
      </w:r>
      <w:r w:rsidRPr="003075FD">
        <w:rPr>
          <w:rFonts w:ascii="Arial" w:hAnsi="Arial" w:cs="Arial"/>
        </w:rPr>
        <w:t>:</w:t>
      </w:r>
    </w:p>
    <w:p w14:paraId="6376A6C2" w14:textId="50DCAC91" w:rsidR="004A1A7E" w:rsidRDefault="004A1A7E" w:rsidP="00F800C0">
      <w:pPr>
        <w:spacing w:before="240" w:after="240" w:line="240" w:lineRule="auto"/>
        <w:ind w:left="1134"/>
        <w:jc w:val="both"/>
        <w:rPr>
          <w:rFonts w:ascii="Arial" w:hAnsi="Arial" w:cs="Arial"/>
          <w:sz w:val="20"/>
          <w:szCs w:val="20"/>
        </w:rPr>
      </w:pPr>
      <w:r w:rsidRPr="003075FD">
        <w:rPr>
          <w:rFonts w:ascii="Arial" w:hAnsi="Arial" w:cs="Arial"/>
          <w:sz w:val="20"/>
          <w:szCs w:val="20"/>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14:paraId="3EA754DD" w14:textId="77777777" w:rsidR="004A1A7E" w:rsidRPr="003075FD" w:rsidRDefault="004A1A7E" w:rsidP="003075FD">
      <w:pPr>
        <w:pStyle w:val="Corpodetexto"/>
        <w:spacing w:before="120"/>
        <w:ind w:right="113" w:firstLine="1134"/>
        <w:jc w:val="both"/>
        <w:rPr>
          <w:rFonts w:ascii="Arial" w:hAnsi="Arial" w:cs="Arial"/>
        </w:rPr>
      </w:pPr>
      <w:r w:rsidRPr="003075FD">
        <w:rPr>
          <w:rFonts w:ascii="Arial" w:hAnsi="Arial" w:cs="Arial"/>
        </w:rPr>
        <w:t>O atual estado de calamidade pública decorrente da pandemia do coronavírus, reconhecido em todos os níveis da federação, enquadra-se perfeitamente à hipótese excepcional prevista na lei, permitindo a distribuição gratuita de bens, valores ou benefícios em ano eleitoral. Porém, qualquer benefício implementado deve guardar estrita relação com o enfrentamento e superação da crise atual.</w:t>
      </w:r>
    </w:p>
    <w:p w14:paraId="346F760E" w14:textId="77777777" w:rsidR="004A1A7E" w:rsidRPr="003075FD" w:rsidRDefault="004A1A7E" w:rsidP="003075FD">
      <w:pPr>
        <w:pStyle w:val="Corpodetexto"/>
        <w:spacing w:before="120"/>
        <w:ind w:right="114" w:firstLine="1134"/>
        <w:jc w:val="both"/>
        <w:rPr>
          <w:rFonts w:ascii="Arial" w:hAnsi="Arial" w:cs="Arial"/>
        </w:rPr>
      </w:pPr>
      <w:r w:rsidRPr="003075FD">
        <w:rPr>
          <w:rFonts w:ascii="Arial" w:hAnsi="Arial" w:cs="Arial"/>
        </w:rPr>
        <w:t>Além disso, mesmo diante da situação de calamidade, devem ser respeitados os princípios da legalidade, impessoalidade, moralidade, publicidade e eficiência, dispostos no artigo 37 da Constituição Federal, os quais vedam a utilização de programas sociais para promoção pessoal e/ou eleitoral, sob pena de incorrer na conduta vedada prevista no artigo 73, IV, da Lei n. 9.504/97:</w:t>
      </w:r>
    </w:p>
    <w:p w14:paraId="3310D3C6" w14:textId="77777777" w:rsidR="004A1A7E" w:rsidRPr="003075FD" w:rsidRDefault="004A1A7E" w:rsidP="003075FD">
      <w:pPr>
        <w:spacing w:after="0" w:line="240" w:lineRule="auto"/>
        <w:ind w:left="1134" w:firstLine="55"/>
        <w:jc w:val="both"/>
        <w:rPr>
          <w:rFonts w:ascii="Arial" w:hAnsi="Arial" w:cs="Arial"/>
          <w:sz w:val="20"/>
          <w:szCs w:val="20"/>
        </w:rPr>
      </w:pPr>
      <w:r w:rsidRPr="003075FD">
        <w:rPr>
          <w:rFonts w:ascii="Arial" w:hAnsi="Arial" w:cs="Arial"/>
          <w:sz w:val="20"/>
          <w:szCs w:val="20"/>
        </w:rPr>
        <w:t>Art. 73. São proibidas aos agentes públicos, servidores ou não, as seguintes condutas tendentes a afetar a igualdade de oportunidades entre candidatos nos pleitos eleitorais:</w:t>
      </w:r>
    </w:p>
    <w:p w14:paraId="279920DB" w14:textId="77777777" w:rsidR="004A1A7E" w:rsidRPr="003075FD" w:rsidRDefault="004A1A7E" w:rsidP="003075FD">
      <w:pPr>
        <w:spacing w:after="0" w:line="240" w:lineRule="auto"/>
        <w:ind w:left="1134"/>
        <w:rPr>
          <w:rFonts w:ascii="Arial" w:hAnsi="Arial" w:cs="Arial"/>
          <w:sz w:val="20"/>
          <w:szCs w:val="20"/>
        </w:rPr>
      </w:pPr>
      <w:r w:rsidRPr="003075FD">
        <w:rPr>
          <w:rFonts w:ascii="Arial" w:hAnsi="Arial" w:cs="Arial"/>
          <w:sz w:val="20"/>
          <w:szCs w:val="20"/>
        </w:rPr>
        <w:t>(...)</w:t>
      </w:r>
    </w:p>
    <w:p w14:paraId="388E47CD" w14:textId="659386BF" w:rsidR="004A1A7E" w:rsidRDefault="004A1A7E" w:rsidP="003075FD">
      <w:pPr>
        <w:pStyle w:val="PargrafodaLista"/>
        <w:numPr>
          <w:ilvl w:val="0"/>
          <w:numId w:val="1"/>
        </w:numPr>
        <w:tabs>
          <w:tab w:val="left" w:pos="2063"/>
        </w:tabs>
        <w:spacing w:before="0"/>
        <w:ind w:left="1134" w:firstLine="0"/>
        <w:rPr>
          <w:rFonts w:ascii="Arial" w:hAnsi="Arial" w:cs="Arial"/>
          <w:sz w:val="20"/>
          <w:szCs w:val="20"/>
        </w:rPr>
      </w:pPr>
      <w:r w:rsidRPr="003075FD">
        <w:rPr>
          <w:rFonts w:ascii="Arial" w:hAnsi="Arial" w:cs="Arial"/>
          <w:b/>
          <w:bCs/>
          <w:sz w:val="20"/>
          <w:szCs w:val="20"/>
        </w:rPr>
        <w:lastRenderedPageBreak/>
        <w:t>– fazer ou permitir uso promocional em favor de candidato, partido político ou coligação, de distribuição gratuita de bens e serviços de caráter social custeados ou subvencionados pelo Poder Público</w:t>
      </w:r>
      <w:r w:rsidRPr="003075FD">
        <w:rPr>
          <w:rFonts w:ascii="Arial" w:hAnsi="Arial" w:cs="Arial"/>
          <w:sz w:val="20"/>
          <w:szCs w:val="20"/>
        </w:rPr>
        <w:t>;</w:t>
      </w:r>
    </w:p>
    <w:p w14:paraId="67A54B1D" w14:textId="77777777" w:rsidR="003075FD" w:rsidRPr="003075FD" w:rsidRDefault="003075FD" w:rsidP="003075FD">
      <w:pPr>
        <w:pStyle w:val="PargrafodaLista"/>
        <w:tabs>
          <w:tab w:val="left" w:pos="2063"/>
        </w:tabs>
        <w:spacing w:before="0"/>
        <w:ind w:left="1134"/>
        <w:rPr>
          <w:rFonts w:ascii="Arial" w:hAnsi="Arial" w:cs="Arial"/>
          <w:sz w:val="20"/>
          <w:szCs w:val="20"/>
        </w:rPr>
      </w:pPr>
    </w:p>
    <w:p w14:paraId="6A9F5ADB" w14:textId="77777777" w:rsidR="004A1A7E" w:rsidRPr="003075FD" w:rsidRDefault="004A1A7E" w:rsidP="003075FD">
      <w:pPr>
        <w:pStyle w:val="Corpodetexto"/>
        <w:spacing w:before="120"/>
        <w:ind w:firstLine="1134"/>
        <w:jc w:val="both"/>
        <w:rPr>
          <w:rFonts w:ascii="Arial" w:hAnsi="Arial" w:cs="Arial"/>
        </w:rPr>
      </w:pPr>
      <w:r w:rsidRPr="003075FD">
        <w:rPr>
          <w:rFonts w:ascii="Arial" w:hAnsi="Arial" w:cs="Arial"/>
        </w:rPr>
        <w:t>Assim, a lei proíbe, por exemplo, a participação ativa de pré- candidatos em eventos relacionados à execução de programa social na qual seja feita a entrega de bens ou vantagens aos beneficiários.</w:t>
      </w:r>
    </w:p>
    <w:p w14:paraId="7E6D8542" w14:textId="159CDE83" w:rsidR="004A1A7E" w:rsidRPr="003075FD" w:rsidRDefault="004A1A7E" w:rsidP="003075FD">
      <w:pPr>
        <w:pStyle w:val="Corpodetexto"/>
        <w:spacing w:before="120"/>
        <w:ind w:firstLine="1134"/>
        <w:jc w:val="both"/>
        <w:rPr>
          <w:rFonts w:ascii="Arial" w:hAnsi="Arial" w:cs="Arial"/>
        </w:rPr>
      </w:pPr>
      <w:r w:rsidRPr="003075FD">
        <w:rPr>
          <w:rFonts w:ascii="Arial" w:hAnsi="Arial" w:cs="Arial"/>
        </w:rPr>
        <w:t>Da mesma forma, a publicidade institucional relativamente a atos, programas, obras, serviços e campanhas dos órgãos públicos deverá ter caráter educativo, informativo ou de orientação social, não podendo constar nomes, símbolos ou imagens que caracterizem promoção pessoal ou eleitoral de autoridades ou servidores públicos, conforme preconiza o § 1º do art. 37 da CF, cujo descumprimento poderá configurar o abuso de poder, conforme o artigo 74 da Lei 9.504/976</w:t>
      </w:r>
      <w:r w:rsidR="007A4CC1">
        <w:rPr>
          <w:rStyle w:val="Refdenotaderodap"/>
          <w:rFonts w:ascii="Arial" w:hAnsi="Arial" w:cs="Arial"/>
        </w:rPr>
        <w:footnoteReference w:id="7"/>
      </w:r>
      <w:r w:rsidRPr="003075FD">
        <w:rPr>
          <w:rFonts w:ascii="Arial" w:hAnsi="Arial" w:cs="Arial"/>
        </w:rPr>
        <w:t>.</w:t>
      </w:r>
    </w:p>
    <w:p w14:paraId="0F1B31AE" w14:textId="3B871735" w:rsidR="004A1A7E" w:rsidRPr="003075FD" w:rsidRDefault="004A1A7E" w:rsidP="003075FD">
      <w:pPr>
        <w:spacing w:before="120" w:after="0" w:line="240" w:lineRule="auto"/>
        <w:ind w:firstLine="1134"/>
        <w:jc w:val="both"/>
        <w:rPr>
          <w:rFonts w:ascii="Arial" w:hAnsi="Arial" w:cs="Arial"/>
          <w:sz w:val="24"/>
          <w:szCs w:val="24"/>
        </w:rPr>
      </w:pPr>
      <w:r w:rsidRPr="003075FD">
        <w:rPr>
          <w:rFonts w:ascii="Arial" w:hAnsi="Arial" w:cs="Arial"/>
          <w:sz w:val="24"/>
          <w:szCs w:val="24"/>
        </w:rPr>
        <w:t>Por fim, o gestor público deve assegurar a total transparência dos programas sociais instituídos, possibilitando aos órgãos de controle competentes a fiscalização definida no § 10 do art. 73 da norma de regência</w:t>
      </w:r>
      <w:r w:rsidR="009408A2">
        <w:rPr>
          <w:rStyle w:val="Refdenotaderodap"/>
          <w:rFonts w:ascii="Arial" w:hAnsi="Arial" w:cs="Arial"/>
          <w:sz w:val="24"/>
          <w:szCs w:val="24"/>
        </w:rPr>
        <w:footnoteReference w:id="8"/>
      </w:r>
      <w:r w:rsidRPr="003075FD">
        <w:rPr>
          <w:rFonts w:ascii="Arial" w:hAnsi="Arial" w:cs="Arial"/>
          <w:sz w:val="24"/>
          <w:szCs w:val="24"/>
        </w:rPr>
        <w:t>.</w:t>
      </w:r>
    </w:p>
    <w:p w14:paraId="214D9E55" w14:textId="77777777" w:rsidR="004A1A7E" w:rsidRPr="003075FD" w:rsidRDefault="004A1A7E" w:rsidP="003075FD">
      <w:pPr>
        <w:pStyle w:val="Corpodetexto"/>
        <w:spacing w:before="120"/>
        <w:ind w:firstLine="1134"/>
        <w:rPr>
          <w:rFonts w:ascii="Arial" w:hAnsi="Arial" w:cs="Arial"/>
        </w:rPr>
      </w:pPr>
    </w:p>
    <w:p w14:paraId="39BFDD40" w14:textId="77777777" w:rsidR="004A1A7E" w:rsidRPr="00684730" w:rsidRDefault="004A1A7E" w:rsidP="004A1A7E">
      <w:pPr>
        <w:pStyle w:val="Corpodetexto"/>
        <w:spacing w:before="9"/>
      </w:pPr>
    </w:p>
    <w:p w14:paraId="1097A6D6" w14:textId="1ED531A9" w:rsidR="004A1A7E" w:rsidRPr="00684730" w:rsidRDefault="004A1A7E" w:rsidP="003075FD">
      <w:pPr>
        <w:pStyle w:val="Corpodetexto"/>
        <w:ind w:right="3"/>
        <w:jc w:val="center"/>
      </w:pPr>
      <w:r w:rsidRPr="00684730">
        <w:t>CGF, 6 de agosto de 2020.</w:t>
      </w:r>
    </w:p>
    <w:p w14:paraId="24E81744" w14:textId="77777777" w:rsidR="004A1A7E" w:rsidRPr="00684730" w:rsidRDefault="004A1A7E" w:rsidP="004A1A7E">
      <w:pPr>
        <w:pStyle w:val="Corpodetexto"/>
      </w:pPr>
    </w:p>
    <w:p w14:paraId="76D15607" w14:textId="77777777" w:rsidR="004A1A7E" w:rsidRPr="00684730" w:rsidRDefault="004A1A7E" w:rsidP="004A1A7E">
      <w:pPr>
        <w:pStyle w:val="Corpodetexto"/>
        <w:spacing w:before="5"/>
      </w:pPr>
    </w:p>
    <w:p w14:paraId="57DE51F0" w14:textId="77777777" w:rsidR="004A1A7E" w:rsidRPr="00684730" w:rsidRDefault="004A1A7E" w:rsidP="003075FD">
      <w:pPr>
        <w:pStyle w:val="Corpodetexto"/>
        <w:ind w:right="3"/>
        <w:jc w:val="center"/>
      </w:pPr>
      <w:r w:rsidRPr="00684730">
        <w:t>-assinatura digital-</w:t>
      </w:r>
    </w:p>
    <w:p w14:paraId="06FA46B9" w14:textId="77777777" w:rsidR="004A1A7E" w:rsidRPr="00684730" w:rsidRDefault="004A1A7E" w:rsidP="003075FD">
      <w:pPr>
        <w:pStyle w:val="Ttulo1"/>
        <w:ind w:left="0" w:right="3"/>
      </w:pPr>
      <w:r w:rsidRPr="00684730">
        <w:t>RAFAEL MORAIS GONÇALVES AYRES</w:t>
      </w:r>
    </w:p>
    <w:p w14:paraId="0B6CDCB1" w14:textId="77777777" w:rsidR="003075FD" w:rsidRDefault="004A1A7E" w:rsidP="003075FD">
      <w:pPr>
        <w:pStyle w:val="Corpodetexto"/>
        <w:spacing w:before="41" w:line="278" w:lineRule="auto"/>
        <w:ind w:right="3"/>
        <w:jc w:val="center"/>
      </w:pPr>
      <w:r w:rsidRPr="00684730">
        <w:t xml:space="preserve">Coordenador-Geral de Fiscalização </w:t>
      </w:r>
    </w:p>
    <w:p w14:paraId="4A77D536" w14:textId="45E8B4CC" w:rsidR="004A1A7E" w:rsidRPr="00684730" w:rsidRDefault="004A1A7E" w:rsidP="003075FD">
      <w:pPr>
        <w:pStyle w:val="Corpodetexto"/>
        <w:spacing w:before="41" w:line="278" w:lineRule="auto"/>
        <w:ind w:right="3"/>
        <w:jc w:val="center"/>
      </w:pPr>
      <w:r w:rsidRPr="00684730">
        <w:t xml:space="preserve">Matrícula </w:t>
      </w:r>
      <w:r w:rsidR="00684730">
        <w:t xml:space="preserve">nº </w:t>
      </w:r>
      <w:r w:rsidRPr="00684730">
        <w:t xml:space="preserve"> 51298</w:t>
      </w:r>
      <w:r w:rsidR="003075FD">
        <w:t>-</w:t>
      </w:r>
      <w:r w:rsidRPr="00684730">
        <w:t>2</w:t>
      </w:r>
    </w:p>
    <w:sectPr w:rsidR="004A1A7E" w:rsidRPr="00684730" w:rsidSect="00B368D2">
      <w:footnotePr>
        <w:numRestart w:val="eachSect"/>
      </w:footnotePr>
      <w:type w:val="continuous"/>
      <w:pgSz w:w="11910" w:h="16840"/>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AFE8" w14:textId="77777777" w:rsidR="00A33BDA" w:rsidRDefault="00A33BDA" w:rsidP="008A3213">
      <w:pPr>
        <w:spacing w:after="0" w:line="240" w:lineRule="auto"/>
      </w:pPr>
      <w:r>
        <w:separator/>
      </w:r>
    </w:p>
  </w:endnote>
  <w:endnote w:type="continuationSeparator" w:id="0">
    <w:p w14:paraId="6F6B5BC9" w14:textId="77777777" w:rsidR="00A33BDA" w:rsidRDefault="00A33BDA" w:rsidP="008A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FB78" w14:textId="77777777" w:rsidR="00A33BDA" w:rsidRDefault="00A33BDA" w:rsidP="008A3213">
      <w:pPr>
        <w:spacing w:after="0" w:line="240" w:lineRule="auto"/>
      </w:pPr>
      <w:r>
        <w:separator/>
      </w:r>
    </w:p>
  </w:footnote>
  <w:footnote w:type="continuationSeparator" w:id="0">
    <w:p w14:paraId="79666576" w14:textId="77777777" w:rsidR="00A33BDA" w:rsidRDefault="00A33BDA" w:rsidP="008A3213">
      <w:pPr>
        <w:spacing w:after="0" w:line="240" w:lineRule="auto"/>
      </w:pPr>
      <w:r>
        <w:continuationSeparator/>
      </w:r>
    </w:p>
  </w:footnote>
  <w:footnote w:id="1">
    <w:p w14:paraId="15C741FF" w14:textId="30E477FA" w:rsidR="00862B69" w:rsidRPr="00F800C0" w:rsidRDefault="00C15D17" w:rsidP="00862B69">
      <w:pPr>
        <w:pStyle w:val="Textodenotaderodap"/>
        <w:rPr>
          <w:rFonts w:ascii="Arial" w:hAnsi="Arial" w:cs="Arial"/>
          <w:sz w:val="18"/>
          <w:szCs w:val="18"/>
        </w:rPr>
      </w:pPr>
      <w:r>
        <w:rPr>
          <w:rStyle w:val="Refdenotaderodap"/>
        </w:rPr>
        <w:footnoteRef/>
      </w:r>
      <w:r>
        <w:t xml:space="preserve"> </w:t>
      </w:r>
      <w:r w:rsidR="00862B69" w:rsidRPr="00F800C0">
        <w:rPr>
          <w:rFonts w:ascii="Arial" w:hAnsi="Arial" w:cs="Arial"/>
          <w:b/>
          <w:sz w:val="18"/>
          <w:szCs w:val="18"/>
        </w:rPr>
        <w:t>Nota da Biblioteca:</w:t>
      </w:r>
    </w:p>
    <w:p w14:paraId="4B6C8DAD" w14:textId="183B99BC" w:rsidR="00C15D17" w:rsidRDefault="00862B69" w:rsidP="00862B69">
      <w:pPr>
        <w:pStyle w:val="Textodenotaderodap"/>
        <w:ind w:left="142"/>
      </w:pPr>
      <w:r w:rsidRPr="00F800C0">
        <w:rPr>
          <w:rFonts w:ascii="Arial" w:hAnsi="Arial" w:cs="Arial"/>
          <w:sz w:val="18"/>
          <w:szCs w:val="18"/>
        </w:rPr>
        <w:t xml:space="preserve">Este texto não substitui o publicado no periódico: </w:t>
      </w:r>
      <w:hyperlink r:id="rId1" w:history="1">
        <w:r w:rsidRPr="00F800C0">
          <w:rPr>
            <w:rStyle w:val="Hyperlink"/>
            <w:rFonts w:ascii="Arial" w:hAnsi="Arial" w:cs="Arial"/>
            <w:b/>
            <w:bCs/>
            <w:sz w:val="18"/>
            <w:szCs w:val="18"/>
          </w:rPr>
          <w:t>Diário Eletrônico do Tribunal de Contas do Estado do Paraná</w:t>
        </w:r>
        <w:r w:rsidRPr="00F800C0">
          <w:rPr>
            <w:rStyle w:val="Hyperlink"/>
            <w:rFonts w:ascii="Arial" w:hAnsi="Arial" w:cs="Arial"/>
            <w:sz w:val="18"/>
            <w:szCs w:val="18"/>
          </w:rPr>
          <w:t>, Curitiba, PR, n. 2360, 13 ago. 2020, p. 70-71</w:t>
        </w:r>
      </w:hyperlink>
      <w:r w:rsidRPr="00F800C0">
        <w:rPr>
          <w:rFonts w:ascii="Arial" w:hAnsi="Arial" w:cs="Arial"/>
          <w:color w:val="0000FF"/>
          <w:sz w:val="18"/>
          <w:szCs w:val="18"/>
        </w:rPr>
        <w:t>.</w:t>
      </w:r>
    </w:p>
  </w:footnote>
  <w:footnote w:id="2">
    <w:p w14:paraId="21E4B059" w14:textId="35DEC9D3" w:rsidR="00B368D2" w:rsidRPr="00A609CE" w:rsidRDefault="00B368D2" w:rsidP="0008607F">
      <w:pPr>
        <w:pStyle w:val="Textodenotaderodap"/>
        <w:ind w:left="142" w:hanging="142"/>
        <w:rPr>
          <w:sz w:val="18"/>
          <w:szCs w:val="18"/>
        </w:rPr>
      </w:pPr>
      <w:r>
        <w:rPr>
          <w:rStyle w:val="Refdenotaderodap"/>
        </w:rPr>
        <w:footnoteRef/>
      </w:r>
      <w:r>
        <w:t xml:space="preserve"> </w:t>
      </w:r>
      <w:r w:rsidR="0008607F" w:rsidRPr="00A609CE">
        <w:rPr>
          <w:rFonts w:ascii="Arial" w:hAnsi="Arial" w:cs="Arial"/>
          <w:sz w:val="18"/>
          <w:szCs w:val="18"/>
        </w:rPr>
        <w:t xml:space="preserve">CASTRO, Carlos Alberto Pereira de; LAZZARI, João Batista. </w:t>
      </w:r>
      <w:r w:rsidR="0008607F" w:rsidRPr="00A609CE">
        <w:rPr>
          <w:rFonts w:ascii="Arial" w:hAnsi="Arial" w:cs="Arial"/>
          <w:b/>
          <w:bCs/>
          <w:sz w:val="18"/>
          <w:szCs w:val="18"/>
        </w:rPr>
        <w:t>Manual de direito previdenciário</w:t>
      </w:r>
      <w:r w:rsidR="0008607F" w:rsidRPr="00A609CE">
        <w:rPr>
          <w:rFonts w:ascii="Arial" w:hAnsi="Arial" w:cs="Arial"/>
          <w:sz w:val="18"/>
          <w:szCs w:val="18"/>
        </w:rPr>
        <w:t xml:space="preserve">. 6. ed. São Paulo: </w:t>
      </w:r>
      <w:proofErr w:type="spellStart"/>
      <w:r w:rsidR="0008607F" w:rsidRPr="00A609CE">
        <w:rPr>
          <w:rFonts w:ascii="Arial" w:hAnsi="Arial" w:cs="Arial"/>
          <w:sz w:val="18"/>
          <w:szCs w:val="18"/>
        </w:rPr>
        <w:t>LTr</w:t>
      </w:r>
      <w:proofErr w:type="spellEnd"/>
      <w:r w:rsidR="0008607F" w:rsidRPr="00A609CE">
        <w:rPr>
          <w:rFonts w:ascii="Arial" w:hAnsi="Arial" w:cs="Arial"/>
          <w:sz w:val="18"/>
          <w:szCs w:val="18"/>
        </w:rPr>
        <w:t>, 2005, p. 88-89.</w:t>
      </w:r>
    </w:p>
  </w:footnote>
  <w:footnote w:id="3">
    <w:p w14:paraId="68010D1A" w14:textId="05499EDE" w:rsidR="0089457E" w:rsidRPr="004605AD" w:rsidRDefault="0089457E" w:rsidP="004605AD">
      <w:pPr>
        <w:pStyle w:val="Textodenotaderodap"/>
        <w:ind w:left="142" w:hanging="142"/>
        <w:rPr>
          <w:rFonts w:ascii="Arial" w:hAnsi="Arial" w:cs="Arial"/>
        </w:rPr>
      </w:pPr>
      <w:r w:rsidRPr="00A609CE">
        <w:rPr>
          <w:rStyle w:val="Refdenotaderodap"/>
          <w:rFonts w:ascii="Arial" w:hAnsi="Arial" w:cs="Arial"/>
          <w:sz w:val="18"/>
          <w:szCs w:val="18"/>
        </w:rPr>
        <w:footnoteRef/>
      </w:r>
      <w:r w:rsidRPr="00A609CE">
        <w:rPr>
          <w:rFonts w:ascii="Arial" w:hAnsi="Arial" w:cs="Arial"/>
          <w:sz w:val="18"/>
          <w:szCs w:val="18"/>
        </w:rPr>
        <w:t xml:space="preserve"> </w:t>
      </w:r>
      <w:r w:rsidR="004605AD" w:rsidRPr="00A609CE">
        <w:rPr>
          <w:rFonts w:ascii="Arial" w:hAnsi="Arial" w:cs="Arial"/>
          <w:sz w:val="18"/>
          <w:szCs w:val="18"/>
        </w:rPr>
        <w:t xml:space="preserve">HORVATH JÚNIOR, Miguel. </w:t>
      </w:r>
      <w:r w:rsidR="004605AD" w:rsidRPr="00A609CE">
        <w:rPr>
          <w:rFonts w:ascii="Arial" w:hAnsi="Arial" w:cs="Arial"/>
          <w:b/>
          <w:bCs/>
          <w:sz w:val="18"/>
          <w:szCs w:val="18"/>
        </w:rPr>
        <w:t>Direito previdenciário</w:t>
      </w:r>
      <w:r w:rsidR="004605AD" w:rsidRPr="00A609CE">
        <w:rPr>
          <w:rFonts w:ascii="Arial" w:hAnsi="Arial" w:cs="Arial"/>
          <w:sz w:val="18"/>
          <w:szCs w:val="18"/>
        </w:rPr>
        <w:t xml:space="preserve">. 10. ed. São Paulo: </w:t>
      </w:r>
      <w:proofErr w:type="spellStart"/>
      <w:r w:rsidR="004605AD" w:rsidRPr="00A609CE">
        <w:rPr>
          <w:rFonts w:ascii="Arial" w:hAnsi="Arial" w:cs="Arial"/>
          <w:sz w:val="18"/>
          <w:szCs w:val="18"/>
        </w:rPr>
        <w:t>Quartier</w:t>
      </w:r>
      <w:proofErr w:type="spellEnd"/>
      <w:r w:rsidR="004605AD" w:rsidRPr="00A609CE">
        <w:rPr>
          <w:rFonts w:ascii="Arial" w:hAnsi="Arial" w:cs="Arial"/>
          <w:sz w:val="18"/>
          <w:szCs w:val="18"/>
        </w:rPr>
        <w:t xml:space="preserve"> </w:t>
      </w:r>
      <w:proofErr w:type="spellStart"/>
      <w:r w:rsidR="004605AD" w:rsidRPr="00A609CE">
        <w:rPr>
          <w:rFonts w:ascii="Arial" w:hAnsi="Arial" w:cs="Arial"/>
          <w:sz w:val="18"/>
          <w:szCs w:val="18"/>
        </w:rPr>
        <w:t>Latien</w:t>
      </w:r>
      <w:proofErr w:type="spellEnd"/>
      <w:r w:rsidR="004605AD" w:rsidRPr="00A609CE">
        <w:rPr>
          <w:rFonts w:ascii="Arial" w:hAnsi="Arial" w:cs="Arial"/>
          <w:sz w:val="18"/>
          <w:szCs w:val="18"/>
        </w:rPr>
        <w:t>, 2014.</w:t>
      </w:r>
    </w:p>
  </w:footnote>
  <w:footnote w:id="4">
    <w:p w14:paraId="0DE36479" w14:textId="54F285BD" w:rsidR="004605AD" w:rsidRPr="00A609CE" w:rsidRDefault="004605AD" w:rsidP="008803CC">
      <w:pPr>
        <w:pStyle w:val="Textodenotaderodap"/>
        <w:ind w:left="142" w:hanging="142"/>
        <w:rPr>
          <w:rFonts w:ascii="Arial" w:hAnsi="Arial" w:cs="Arial"/>
          <w:sz w:val="18"/>
          <w:szCs w:val="18"/>
        </w:rPr>
      </w:pPr>
      <w:r w:rsidRPr="00A609CE">
        <w:rPr>
          <w:rStyle w:val="Refdenotaderodap"/>
          <w:sz w:val="18"/>
          <w:szCs w:val="18"/>
        </w:rPr>
        <w:footnoteRef/>
      </w:r>
      <w:r w:rsidRPr="00A609CE">
        <w:rPr>
          <w:sz w:val="18"/>
          <w:szCs w:val="18"/>
        </w:rPr>
        <w:t xml:space="preserve"> </w:t>
      </w:r>
      <w:r w:rsidR="007A5691" w:rsidRPr="00A609CE">
        <w:rPr>
          <w:rFonts w:ascii="Arial" w:hAnsi="Arial" w:cs="Arial"/>
          <w:sz w:val="18"/>
          <w:szCs w:val="18"/>
        </w:rPr>
        <w:t xml:space="preserve">MORAES, Alexandre de. </w:t>
      </w:r>
      <w:r w:rsidR="007A5691" w:rsidRPr="00A609CE">
        <w:rPr>
          <w:rFonts w:ascii="Arial" w:hAnsi="Arial" w:cs="Arial"/>
          <w:b/>
          <w:bCs/>
          <w:sz w:val="18"/>
          <w:szCs w:val="18"/>
        </w:rPr>
        <w:t>Direito constitucional:</w:t>
      </w:r>
      <w:r w:rsidR="007A5691" w:rsidRPr="00A609CE">
        <w:rPr>
          <w:rFonts w:ascii="Arial" w:hAnsi="Arial" w:cs="Arial"/>
          <w:sz w:val="18"/>
          <w:szCs w:val="18"/>
        </w:rPr>
        <w:t xml:space="preserve"> princípio da igualdade e a extinção de discriminações absurdas. São Paulo: Atlas, 2011.</w:t>
      </w:r>
    </w:p>
  </w:footnote>
  <w:footnote w:id="5">
    <w:p w14:paraId="63A4C58D" w14:textId="66794A2C" w:rsidR="00E2181C" w:rsidRPr="00A609CE" w:rsidRDefault="00E2181C" w:rsidP="008803CC">
      <w:pPr>
        <w:pStyle w:val="Textodenotaderodap"/>
        <w:ind w:left="142" w:hanging="142"/>
        <w:rPr>
          <w:rFonts w:ascii="Arial" w:hAnsi="Arial" w:cs="Arial"/>
          <w:sz w:val="18"/>
          <w:szCs w:val="18"/>
        </w:rPr>
      </w:pPr>
      <w:r w:rsidRPr="00A609CE">
        <w:rPr>
          <w:rStyle w:val="Refdenotaderodap"/>
          <w:rFonts w:ascii="Arial" w:hAnsi="Arial" w:cs="Arial"/>
          <w:sz w:val="18"/>
          <w:szCs w:val="18"/>
        </w:rPr>
        <w:footnoteRef/>
      </w:r>
      <w:r w:rsidRPr="00A609CE">
        <w:rPr>
          <w:rFonts w:ascii="Arial" w:hAnsi="Arial" w:cs="Arial"/>
          <w:sz w:val="18"/>
          <w:szCs w:val="18"/>
        </w:rPr>
        <w:t xml:space="preserve"> </w:t>
      </w:r>
      <w:r w:rsidR="002A2F02" w:rsidRPr="00A609CE">
        <w:rPr>
          <w:rFonts w:ascii="Arial" w:hAnsi="Arial" w:cs="Arial"/>
          <w:sz w:val="18"/>
          <w:szCs w:val="18"/>
        </w:rPr>
        <w:t xml:space="preserve">SILVA, Fernanda Duarte Lopes Lucas da. </w:t>
      </w:r>
      <w:r w:rsidR="008803CC" w:rsidRPr="00A609CE">
        <w:rPr>
          <w:rFonts w:ascii="Arial" w:hAnsi="Arial" w:cs="Arial"/>
          <w:b/>
          <w:bCs/>
          <w:sz w:val="18"/>
          <w:szCs w:val="18"/>
        </w:rPr>
        <w:t>Princípio constitucional da igualdade</w:t>
      </w:r>
      <w:r w:rsidR="002A2F02" w:rsidRPr="00A609CE">
        <w:rPr>
          <w:rFonts w:ascii="Arial" w:hAnsi="Arial" w:cs="Arial"/>
          <w:sz w:val="18"/>
          <w:szCs w:val="18"/>
        </w:rPr>
        <w:t>. Rio de Janeiro: Lumen Juris, 2003.</w:t>
      </w:r>
    </w:p>
  </w:footnote>
  <w:footnote w:id="6">
    <w:p w14:paraId="478EDFC7" w14:textId="17284F21" w:rsidR="002A2F02" w:rsidRDefault="002A2F02" w:rsidP="008803CC">
      <w:pPr>
        <w:pStyle w:val="Textodenotaderodap"/>
        <w:ind w:left="142" w:hanging="142"/>
      </w:pPr>
      <w:r w:rsidRPr="00A609CE">
        <w:rPr>
          <w:rStyle w:val="Refdenotaderodap"/>
          <w:rFonts w:ascii="Arial" w:hAnsi="Arial" w:cs="Arial"/>
          <w:sz w:val="18"/>
          <w:szCs w:val="18"/>
        </w:rPr>
        <w:footnoteRef/>
      </w:r>
      <w:r w:rsidRPr="00A609CE">
        <w:rPr>
          <w:rFonts w:ascii="Arial" w:hAnsi="Arial" w:cs="Arial"/>
          <w:sz w:val="18"/>
          <w:szCs w:val="18"/>
        </w:rPr>
        <w:t xml:space="preserve"> </w:t>
      </w:r>
      <w:r w:rsidR="008803CC" w:rsidRPr="00A609CE">
        <w:rPr>
          <w:rFonts w:ascii="Arial" w:hAnsi="Arial" w:cs="Arial"/>
          <w:sz w:val="18"/>
          <w:szCs w:val="18"/>
        </w:rPr>
        <w:t>M</w:t>
      </w:r>
      <w:r w:rsidRPr="00A609CE">
        <w:rPr>
          <w:rFonts w:ascii="Arial" w:hAnsi="Arial" w:cs="Arial"/>
          <w:sz w:val="18"/>
          <w:szCs w:val="18"/>
        </w:rPr>
        <w:t xml:space="preserve">ELLO, Celso Antônio Bandeira. </w:t>
      </w:r>
      <w:r w:rsidR="008803CC" w:rsidRPr="00A609CE">
        <w:rPr>
          <w:rFonts w:ascii="Arial" w:hAnsi="Arial" w:cs="Arial"/>
          <w:b/>
          <w:bCs/>
          <w:sz w:val="18"/>
          <w:szCs w:val="18"/>
        </w:rPr>
        <w:t>Conteúdo jurídico do princípio da igualdade</w:t>
      </w:r>
      <w:r w:rsidR="008803CC" w:rsidRPr="00A609CE">
        <w:rPr>
          <w:rFonts w:ascii="Arial" w:hAnsi="Arial" w:cs="Arial"/>
          <w:sz w:val="18"/>
          <w:szCs w:val="18"/>
        </w:rPr>
        <w:t>: fator de diferenciação elencados pela lei.</w:t>
      </w:r>
      <w:r w:rsidRPr="00A609CE">
        <w:rPr>
          <w:rFonts w:ascii="Arial" w:hAnsi="Arial" w:cs="Arial"/>
          <w:sz w:val="18"/>
          <w:szCs w:val="18"/>
        </w:rPr>
        <w:t xml:space="preserve"> São Paulo: Malheiros, 2002.</w:t>
      </w:r>
    </w:p>
  </w:footnote>
  <w:footnote w:id="7">
    <w:p w14:paraId="3E110F26" w14:textId="01B0EAC2" w:rsidR="007A4CC1" w:rsidRPr="00F800C0" w:rsidRDefault="007A4CC1" w:rsidP="009C7EBA">
      <w:pPr>
        <w:pStyle w:val="Textodenotaderodap"/>
        <w:ind w:left="142" w:hanging="142"/>
        <w:jc w:val="both"/>
        <w:rPr>
          <w:sz w:val="18"/>
          <w:szCs w:val="18"/>
        </w:rPr>
      </w:pPr>
      <w:r>
        <w:rPr>
          <w:rStyle w:val="Refdenotaderodap"/>
        </w:rPr>
        <w:footnoteRef/>
      </w:r>
      <w:r>
        <w:t xml:space="preserve"> </w:t>
      </w:r>
      <w:r w:rsidRPr="00F800C0">
        <w:rPr>
          <w:rFonts w:ascii="Arial" w:hAnsi="Arial" w:cs="Arial"/>
          <w:sz w:val="18"/>
          <w:szCs w:val="18"/>
        </w:rPr>
        <w:t>Art. 74. Configura abuso de autoridade, para os fins do disposto no art. 22 da Lei Complementar nº 64, de 18 de maio de 1990, a infringência do disposto no § 1º do art. 37 da Constituição Federal, ficando o responsável, se candidato, sujeito ao cancelamento do registro ou do diploma.</w:t>
      </w:r>
    </w:p>
  </w:footnote>
  <w:footnote w:id="8">
    <w:p w14:paraId="48921E13" w14:textId="035A63EB" w:rsidR="009408A2" w:rsidRDefault="009408A2" w:rsidP="009C7EBA">
      <w:pPr>
        <w:pStyle w:val="Textodenotaderodap"/>
        <w:ind w:left="142" w:hanging="142"/>
        <w:jc w:val="both"/>
      </w:pPr>
      <w:r w:rsidRPr="00F800C0">
        <w:rPr>
          <w:rStyle w:val="Refdenotaderodap"/>
          <w:sz w:val="18"/>
          <w:szCs w:val="18"/>
        </w:rPr>
        <w:footnoteRef/>
      </w:r>
      <w:r w:rsidRPr="00F800C0">
        <w:rPr>
          <w:sz w:val="18"/>
          <w:szCs w:val="18"/>
        </w:rPr>
        <w:t xml:space="preserve"> </w:t>
      </w:r>
      <w:r w:rsidR="009C7EBA" w:rsidRPr="00F800C0">
        <w:rPr>
          <w:rFonts w:ascii="Arial" w:hAnsi="Arial" w:cs="Arial"/>
          <w:sz w:val="18"/>
          <w:szCs w:val="18"/>
        </w:rPr>
        <w:t>§ 10. No ano em que se realizar eleição, fica proibida a distribuição gratuita de bens, valores ou benefícios por parte da Administração Pública,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F445" w14:textId="77777777" w:rsidR="004A1A7E" w:rsidRDefault="004A1A7E" w:rsidP="00014AA5">
    <w:pPr>
      <w:tabs>
        <w:tab w:val="center" w:pos="4252"/>
        <w:tab w:val="right" w:pos="8504"/>
      </w:tabs>
      <w:spacing w:before="480" w:after="120"/>
      <w:ind w:left="1134"/>
      <w:jc w:val="center"/>
      <w:rPr>
        <w:rFonts w:ascii="Arial" w:hAnsi="Arial" w:cs="Arial"/>
        <w:b/>
        <w:sz w:val="30"/>
        <w:szCs w:val="30"/>
      </w:rPr>
    </w:pPr>
    <w:r>
      <w:rPr>
        <w:rFonts w:ascii="Times New Roman" w:hAnsi="Times New Roman" w:cs="Times New Roman"/>
        <w:noProof/>
        <w:sz w:val="20"/>
        <w:szCs w:val="20"/>
      </w:rPr>
      <w:drawing>
        <wp:anchor distT="0" distB="0" distL="114300" distR="114300" simplePos="0" relativeHeight="251659264" behindDoc="0" locked="0" layoutInCell="1" allowOverlap="1" wp14:anchorId="3B4166A4" wp14:editId="570B6922">
          <wp:simplePos x="0" y="0"/>
          <wp:positionH relativeFrom="column">
            <wp:posOffset>-3175</wp:posOffset>
          </wp:positionH>
          <wp:positionV relativeFrom="paragraph">
            <wp:posOffset>57785</wp:posOffset>
          </wp:positionV>
          <wp:extent cx="605790" cy="712470"/>
          <wp:effectExtent l="0" t="0" r="3810" b="0"/>
          <wp:wrapSquare wrapText="bothSides"/>
          <wp:docPr id="8" name="Imagem 8"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ascii="Arial" w:hAnsi="Arial" w:cs="Arial"/>
        <w:b/>
        <w:sz w:val="30"/>
        <w:szCs w:val="30"/>
      </w:rPr>
      <w:t>TRIBUNAL DE CONTAS DO ESTADO DO PARANÁ</w:t>
    </w:r>
  </w:p>
  <w:p w14:paraId="5B8CED7B" w14:textId="77777777" w:rsidR="004A1A7E" w:rsidRPr="00F800C0" w:rsidRDefault="004A1A7E" w:rsidP="00014AA5">
    <w:pPr>
      <w:tabs>
        <w:tab w:val="center" w:pos="4252"/>
        <w:tab w:val="right" w:pos="8504"/>
      </w:tabs>
      <w:spacing w:before="120" w:after="120"/>
      <w:ind w:left="1134"/>
      <w:jc w:val="center"/>
      <w:rPr>
        <w:sz w:val="28"/>
        <w:szCs w:val="28"/>
      </w:rPr>
    </w:pPr>
    <w:r w:rsidRPr="00F800C0">
      <w:rPr>
        <w:rFonts w:ascii="Arial" w:hAnsi="Arial" w:cs="Arial"/>
        <w:b/>
        <w:sz w:val="28"/>
        <w:szCs w:val="28"/>
      </w:rPr>
      <w:t>Coordenadoria-Geral de Fiscalização</w:t>
    </w:r>
  </w:p>
  <w:p w14:paraId="487F6F89" w14:textId="77777777" w:rsidR="004A1A7E" w:rsidRDefault="004A1A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5701"/>
    <w:multiLevelType w:val="hybridMultilevel"/>
    <w:tmpl w:val="02FCC2AA"/>
    <w:lvl w:ilvl="0" w:tplc="9D1E16C4">
      <w:start w:val="3"/>
      <w:numFmt w:val="upperRoman"/>
      <w:lvlText w:val="%1"/>
      <w:lvlJc w:val="left"/>
      <w:pPr>
        <w:ind w:left="102" w:hanging="363"/>
      </w:pPr>
      <w:rPr>
        <w:rFonts w:hint="default"/>
        <w:w w:val="100"/>
        <w:lang w:val="pt-PT" w:eastAsia="en-US" w:bidi="ar-SA"/>
      </w:rPr>
    </w:lvl>
    <w:lvl w:ilvl="1" w:tplc="A0E01B2A">
      <w:numFmt w:val="bullet"/>
      <w:lvlText w:val="•"/>
      <w:lvlJc w:val="left"/>
      <w:pPr>
        <w:ind w:left="962" w:hanging="363"/>
      </w:pPr>
      <w:rPr>
        <w:rFonts w:hint="default"/>
        <w:lang w:val="pt-PT" w:eastAsia="en-US" w:bidi="ar-SA"/>
      </w:rPr>
    </w:lvl>
    <w:lvl w:ilvl="2" w:tplc="81EE18AE">
      <w:numFmt w:val="bullet"/>
      <w:lvlText w:val="•"/>
      <w:lvlJc w:val="left"/>
      <w:pPr>
        <w:ind w:left="1825" w:hanging="363"/>
      </w:pPr>
      <w:rPr>
        <w:rFonts w:hint="default"/>
        <w:lang w:val="pt-PT" w:eastAsia="en-US" w:bidi="ar-SA"/>
      </w:rPr>
    </w:lvl>
    <w:lvl w:ilvl="3" w:tplc="0ABC3D5C">
      <w:numFmt w:val="bullet"/>
      <w:lvlText w:val="•"/>
      <w:lvlJc w:val="left"/>
      <w:pPr>
        <w:ind w:left="2687" w:hanging="363"/>
      </w:pPr>
      <w:rPr>
        <w:rFonts w:hint="default"/>
        <w:lang w:val="pt-PT" w:eastAsia="en-US" w:bidi="ar-SA"/>
      </w:rPr>
    </w:lvl>
    <w:lvl w:ilvl="4" w:tplc="51441434">
      <w:numFmt w:val="bullet"/>
      <w:lvlText w:val="•"/>
      <w:lvlJc w:val="left"/>
      <w:pPr>
        <w:ind w:left="3550" w:hanging="363"/>
      </w:pPr>
      <w:rPr>
        <w:rFonts w:hint="default"/>
        <w:lang w:val="pt-PT" w:eastAsia="en-US" w:bidi="ar-SA"/>
      </w:rPr>
    </w:lvl>
    <w:lvl w:ilvl="5" w:tplc="72E8CA12">
      <w:numFmt w:val="bullet"/>
      <w:lvlText w:val="•"/>
      <w:lvlJc w:val="left"/>
      <w:pPr>
        <w:ind w:left="4413" w:hanging="363"/>
      </w:pPr>
      <w:rPr>
        <w:rFonts w:hint="default"/>
        <w:lang w:val="pt-PT" w:eastAsia="en-US" w:bidi="ar-SA"/>
      </w:rPr>
    </w:lvl>
    <w:lvl w:ilvl="6" w:tplc="8FBE0BDC">
      <w:numFmt w:val="bullet"/>
      <w:lvlText w:val="•"/>
      <w:lvlJc w:val="left"/>
      <w:pPr>
        <w:ind w:left="5275" w:hanging="363"/>
      </w:pPr>
      <w:rPr>
        <w:rFonts w:hint="default"/>
        <w:lang w:val="pt-PT" w:eastAsia="en-US" w:bidi="ar-SA"/>
      </w:rPr>
    </w:lvl>
    <w:lvl w:ilvl="7" w:tplc="6AD4DB3C">
      <w:numFmt w:val="bullet"/>
      <w:lvlText w:val="•"/>
      <w:lvlJc w:val="left"/>
      <w:pPr>
        <w:ind w:left="6138" w:hanging="363"/>
      </w:pPr>
      <w:rPr>
        <w:rFonts w:hint="default"/>
        <w:lang w:val="pt-PT" w:eastAsia="en-US" w:bidi="ar-SA"/>
      </w:rPr>
    </w:lvl>
    <w:lvl w:ilvl="8" w:tplc="07B03DCA">
      <w:numFmt w:val="bullet"/>
      <w:lvlText w:val="•"/>
      <w:lvlJc w:val="left"/>
      <w:pPr>
        <w:ind w:left="7001" w:hanging="363"/>
      </w:pPr>
      <w:rPr>
        <w:rFonts w:hint="default"/>
        <w:lang w:val="pt-PT" w:eastAsia="en-US" w:bidi="ar-SA"/>
      </w:rPr>
    </w:lvl>
  </w:abstractNum>
  <w:abstractNum w:abstractNumId="1" w15:restartNumberingAfterBreak="0">
    <w:nsid w:val="2B341329"/>
    <w:multiLevelType w:val="hybridMultilevel"/>
    <w:tmpl w:val="640E026A"/>
    <w:lvl w:ilvl="0" w:tplc="E1B6B532">
      <w:start w:val="1"/>
      <w:numFmt w:val="upperRoman"/>
      <w:lvlText w:val="%1"/>
      <w:lvlJc w:val="left"/>
      <w:pPr>
        <w:ind w:left="1803" w:hanging="144"/>
      </w:pPr>
      <w:rPr>
        <w:rFonts w:ascii="Arial MT" w:eastAsia="Arial MT" w:hAnsi="Arial MT" w:cs="Arial MT" w:hint="default"/>
        <w:w w:val="99"/>
        <w:sz w:val="20"/>
        <w:szCs w:val="20"/>
        <w:lang w:val="pt-PT" w:eastAsia="en-US" w:bidi="ar-SA"/>
      </w:rPr>
    </w:lvl>
    <w:lvl w:ilvl="1" w:tplc="F000CBF0">
      <w:numFmt w:val="bullet"/>
      <w:lvlText w:val="•"/>
      <w:lvlJc w:val="left"/>
      <w:pPr>
        <w:ind w:left="2492" w:hanging="144"/>
      </w:pPr>
      <w:rPr>
        <w:rFonts w:hint="default"/>
        <w:lang w:val="pt-PT" w:eastAsia="en-US" w:bidi="ar-SA"/>
      </w:rPr>
    </w:lvl>
    <w:lvl w:ilvl="2" w:tplc="5A6A1096">
      <w:numFmt w:val="bullet"/>
      <w:lvlText w:val="•"/>
      <w:lvlJc w:val="left"/>
      <w:pPr>
        <w:ind w:left="3185" w:hanging="144"/>
      </w:pPr>
      <w:rPr>
        <w:rFonts w:hint="default"/>
        <w:lang w:val="pt-PT" w:eastAsia="en-US" w:bidi="ar-SA"/>
      </w:rPr>
    </w:lvl>
    <w:lvl w:ilvl="3" w:tplc="9FF279D0">
      <w:numFmt w:val="bullet"/>
      <w:lvlText w:val="•"/>
      <w:lvlJc w:val="left"/>
      <w:pPr>
        <w:ind w:left="3877" w:hanging="144"/>
      </w:pPr>
      <w:rPr>
        <w:rFonts w:hint="default"/>
        <w:lang w:val="pt-PT" w:eastAsia="en-US" w:bidi="ar-SA"/>
      </w:rPr>
    </w:lvl>
    <w:lvl w:ilvl="4" w:tplc="82D8322E">
      <w:numFmt w:val="bullet"/>
      <w:lvlText w:val="•"/>
      <w:lvlJc w:val="left"/>
      <w:pPr>
        <w:ind w:left="4570" w:hanging="144"/>
      </w:pPr>
      <w:rPr>
        <w:rFonts w:hint="default"/>
        <w:lang w:val="pt-PT" w:eastAsia="en-US" w:bidi="ar-SA"/>
      </w:rPr>
    </w:lvl>
    <w:lvl w:ilvl="5" w:tplc="6116F1D6">
      <w:numFmt w:val="bullet"/>
      <w:lvlText w:val="•"/>
      <w:lvlJc w:val="left"/>
      <w:pPr>
        <w:ind w:left="5263" w:hanging="144"/>
      </w:pPr>
      <w:rPr>
        <w:rFonts w:hint="default"/>
        <w:lang w:val="pt-PT" w:eastAsia="en-US" w:bidi="ar-SA"/>
      </w:rPr>
    </w:lvl>
    <w:lvl w:ilvl="6" w:tplc="3BF80EBE">
      <w:numFmt w:val="bullet"/>
      <w:lvlText w:val="•"/>
      <w:lvlJc w:val="left"/>
      <w:pPr>
        <w:ind w:left="5955" w:hanging="144"/>
      </w:pPr>
      <w:rPr>
        <w:rFonts w:hint="default"/>
        <w:lang w:val="pt-PT" w:eastAsia="en-US" w:bidi="ar-SA"/>
      </w:rPr>
    </w:lvl>
    <w:lvl w:ilvl="7" w:tplc="1552726E">
      <w:numFmt w:val="bullet"/>
      <w:lvlText w:val="•"/>
      <w:lvlJc w:val="left"/>
      <w:pPr>
        <w:ind w:left="6648" w:hanging="144"/>
      </w:pPr>
      <w:rPr>
        <w:rFonts w:hint="default"/>
        <w:lang w:val="pt-PT" w:eastAsia="en-US" w:bidi="ar-SA"/>
      </w:rPr>
    </w:lvl>
    <w:lvl w:ilvl="8" w:tplc="4726E71A">
      <w:numFmt w:val="bullet"/>
      <w:lvlText w:val="•"/>
      <w:lvlJc w:val="left"/>
      <w:pPr>
        <w:ind w:left="7341" w:hanging="144"/>
      </w:pPr>
      <w:rPr>
        <w:rFonts w:hint="default"/>
        <w:lang w:val="pt-PT" w:eastAsia="en-US" w:bidi="ar-SA"/>
      </w:rPr>
    </w:lvl>
  </w:abstractNum>
  <w:abstractNum w:abstractNumId="2" w15:restartNumberingAfterBreak="0">
    <w:nsid w:val="2EF0567F"/>
    <w:multiLevelType w:val="hybridMultilevel"/>
    <w:tmpl w:val="FDC04638"/>
    <w:lvl w:ilvl="0" w:tplc="4A46C988">
      <w:start w:val="1"/>
      <w:numFmt w:val="upperRoman"/>
      <w:lvlText w:val="%1"/>
      <w:lvlJc w:val="left"/>
      <w:pPr>
        <w:ind w:left="102" w:hanging="176"/>
      </w:pPr>
      <w:rPr>
        <w:rFonts w:ascii="Arial MT" w:eastAsia="Arial MT" w:hAnsi="Arial MT" w:cs="Arial MT" w:hint="default"/>
        <w:w w:val="100"/>
        <w:sz w:val="24"/>
        <w:szCs w:val="24"/>
        <w:lang w:val="pt-PT" w:eastAsia="en-US" w:bidi="ar-SA"/>
      </w:rPr>
    </w:lvl>
    <w:lvl w:ilvl="1" w:tplc="1F6CD3E8">
      <w:numFmt w:val="bullet"/>
      <w:lvlText w:val="•"/>
      <w:lvlJc w:val="left"/>
      <w:pPr>
        <w:ind w:left="962" w:hanging="176"/>
      </w:pPr>
      <w:rPr>
        <w:rFonts w:hint="default"/>
        <w:lang w:val="pt-PT" w:eastAsia="en-US" w:bidi="ar-SA"/>
      </w:rPr>
    </w:lvl>
    <w:lvl w:ilvl="2" w:tplc="0B307852">
      <w:numFmt w:val="bullet"/>
      <w:lvlText w:val="•"/>
      <w:lvlJc w:val="left"/>
      <w:pPr>
        <w:ind w:left="1825" w:hanging="176"/>
      </w:pPr>
      <w:rPr>
        <w:rFonts w:hint="default"/>
        <w:lang w:val="pt-PT" w:eastAsia="en-US" w:bidi="ar-SA"/>
      </w:rPr>
    </w:lvl>
    <w:lvl w:ilvl="3" w:tplc="69125DE8">
      <w:numFmt w:val="bullet"/>
      <w:lvlText w:val="•"/>
      <w:lvlJc w:val="left"/>
      <w:pPr>
        <w:ind w:left="2687" w:hanging="176"/>
      </w:pPr>
      <w:rPr>
        <w:rFonts w:hint="default"/>
        <w:lang w:val="pt-PT" w:eastAsia="en-US" w:bidi="ar-SA"/>
      </w:rPr>
    </w:lvl>
    <w:lvl w:ilvl="4" w:tplc="FC22673E">
      <w:numFmt w:val="bullet"/>
      <w:lvlText w:val="•"/>
      <w:lvlJc w:val="left"/>
      <w:pPr>
        <w:ind w:left="3550" w:hanging="176"/>
      </w:pPr>
      <w:rPr>
        <w:rFonts w:hint="default"/>
        <w:lang w:val="pt-PT" w:eastAsia="en-US" w:bidi="ar-SA"/>
      </w:rPr>
    </w:lvl>
    <w:lvl w:ilvl="5" w:tplc="508EF1E6">
      <w:numFmt w:val="bullet"/>
      <w:lvlText w:val="•"/>
      <w:lvlJc w:val="left"/>
      <w:pPr>
        <w:ind w:left="4413" w:hanging="176"/>
      </w:pPr>
      <w:rPr>
        <w:rFonts w:hint="default"/>
        <w:lang w:val="pt-PT" w:eastAsia="en-US" w:bidi="ar-SA"/>
      </w:rPr>
    </w:lvl>
    <w:lvl w:ilvl="6" w:tplc="98A2F0EE">
      <w:numFmt w:val="bullet"/>
      <w:lvlText w:val="•"/>
      <w:lvlJc w:val="left"/>
      <w:pPr>
        <w:ind w:left="5275" w:hanging="176"/>
      </w:pPr>
      <w:rPr>
        <w:rFonts w:hint="default"/>
        <w:lang w:val="pt-PT" w:eastAsia="en-US" w:bidi="ar-SA"/>
      </w:rPr>
    </w:lvl>
    <w:lvl w:ilvl="7" w:tplc="5E86A21C">
      <w:numFmt w:val="bullet"/>
      <w:lvlText w:val="•"/>
      <w:lvlJc w:val="left"/>
      <w:pPr>
        <w:ind w:left="6138" w:hanging="176"/>
      </w:pPr>
      <w:rPr>
        <w:rFonts w:hint="default"/>
        <w:lang w:val="pt-PT" w:eastAsia="en-US" w:bidi="ar-SA"/>
      </w:rPr>
    </w:lvl>
    <w:lvl w:ilvl="8" w:tplc="75BE5810">
      <w:numFmt w:val="bullet"/>
      <w:lvlText w:val="•"/>
      <w:lvlJc w:val="left"/>
      <w:pPr>
        <w:ind w:left="7001" w:hanging="176"/>
      </w:pPr>
      <w:rPr>
        <w:rFonts w:hint="default"/>
        <w:lang w:val="pt-PT" w:eastAsia="en-US" w:bidi="ar-SA"/>
      </w:rPr>
    </w:lvl>
  </w:abstractNum>
  <w:abstractNum w:abstractNumId="3" w15:restartNumberingAfterBreak="0">
    <w:nsid w:val="6A6D35D6"/>
    <w:multiLevelType w:val="hybridMultilevel"/>
    <w:tmpl w:val="0A2CA56E"/>
    <w:lvl w:ilvl="0" w:tplc="FD6826C4">
      <w:start w:val="1"/>
      <w:numFmt w:val="upperRoman"/>
      <w:lvlText w:val="%1"/>
      <w:lvlJc w:val="left"/>
      <w:pPr>
        <w:ind w:left="1914" w:hanging="111"/>
      </w:pPr>
      <w:rPr>
        <w:rFonts w:hint="default"/>
        <w:b/>
        <w:bCs/>
        <w:w w:val="99"/>
        <w:lang w:val="pt-PT" w:eastAsia="en-US" w:bidi="ar-SA"/>
      </w:rPr>
    </w:lvl>
    <w:lvl w:ilvl="1" w:tplc="77B8560A">
      <w:numFmt w:val="bullet"/>
      <w:lvlText w:val="•"/>
      <w:lvlJc w:val="left"/>
      <w:pPr>
        <w:ind w:left="2600" w:hanging="111"/>
      </w:pPr>
      <w:rPr>
        <w:rFonts w:hint="default"/>
        <w:lang w:val="pt-PT" w:eastAsia="en-US" w:bidi="ar-SA"/>
      </w:rPr>
    </w:lvl>
    <w:lvl w:ilvl="2" w:tplc="3FB460BE">
      <w:numFmt w:val="bullet"/>
      <w:lvlText w:val="•"/>
      <w:lvlJc w:val="left"/>
      <w:pPr>
        <w:ind w:left="3281" w:hanging="111"/>
      </w:pPr>
      <w:rPr>
        <w:rFonts w:hint="default"/>
        <w:lang w:val="pt-PT" w:eastAsia="en-US" w:bidi="ar-SA"/>
      </w:rPr>
    </w:lvl>
    <w:lvl w:ilvl="3" w:tplc="F0DCCECC">
      <w:numFmt w:val="bullet"/>
      <w:lvlText w:val="•"/>
      <w:lvlJc w:val="left"/>
      <w:pPr>
        <w:ind w:left="3961" w:hanging="111"/>
      </w:pPr>
      <w:rPr>
        <w:rFonts w:hint="default"/>
        <w:lang w:val="pt-PT" w:eastAsia="en-US" w:bidi="ar-SA"/>
      </w:rPr>
    </w:lvl>
    <w:lvl w:ilvl="4" w:tplc="1AD6DBBE">
      <w:numFmt w:val="bullet"/>
      <w:lvlText w:val="•"/>
      <w:lvlJc w:val="left"/>
      <w:pPr>
        <w:ind w:left="4642" w:hanging="111"/>
      </w:pPr>
      <w:rPr>
        <w:rFonts w:hint="default"/>
        <w:lang w:val="pt-PT" w:eastAsia="en-US" w:bidi="ar-SA"/>
      </w:rPr>
    </w:lvl>
    <w:lvl w:ilvl="5" w:tplc="9FC61414">
      <w:numFmt w:val="bullet"/>
      <w:lvlText w:val="•"/>
      <w:lvlJc w:val="left"/>
      <w:pPr>
        <w:ind w:left="5323" w:hanging="111"/>
      </w:pPr>
      <w:rPr>
        <w:rFonts w:hint="default"/>
        <w:lang w:val="pt-PT" w:eastAsia="en-US" w:bidi="ar-SA"/>
      </w:rPr>
    </w:lvl>
    <w:lvl w:ilvl="6" w:tplc="84D8C67E">
      <w:numFmt w:val="bullet"/>
      <w:lvlText w:val="•"/>
      <w:lvlJc w:val="left"/>
      <w:pPr>
        <w:ind w:left="6003" w:hanging="111"/>
      </w:pPr>
      <w:rPr>
        <w:rFonts w:hint="default"/>
        <w:lang w:val="pt-PT" w:eastAsia="en-US" w:bidi="ar-SA"/>
      </w:rPr>
    </w:lvl>
    <w:lvl w:ilvl="7" w:tplc="5ADADD1E">
      <w:numFmt w:val="bullet"/>
      <w:lvlText w:val="•"/>
      <w:lvlJc w:val="left"/>
      <w:pPr>
        <w:ind w:left="6684" w:hanging="111"/>
      </w:pPr>
      <w:rPr>
        <w:rFonts w:hint="default"/>
        <w:lang w:val="pt-PT" w:eastAsia="en-US" w:bidi="ar-SA"/>
      </w:rPr>
    </w:lvl>
    <w:lvl w:ilvl="8" w:tplc="6B68CF16">
      <w:numFmt w:val="bullet"/>
      <w:lvlText w:val="•"/>
      <w:lvlJc w:val="left"/>
      <w:pPr>
        <w:ind w:left="7365" w:hanging="111"/>
      </w:pPr>
      <w:rPr>
        <w:rFonts w:hint="default"/>
        <w:lang w:val="pt-PT" w:eastAsia="en-US" w:bidi="ar-SA"/>
      </w:rPr>
    </w:lvl>
  </w:abstractNum>
  <w:num w:numId="1" w16cid:durableId="1808545966">
    <w:abstractNumId w:val="0"/>
  </w:num>
  <w:num w:numId="2" w16cid:durableId="440805617">
    <w:abstractNumId w:val="1"/>
  </w:num>
  <w:num w:numId="3" w16cid:durableId="1546065493">
    <w:abstractNumId w:val="3"/>
  </w:num>
  <w:num w:numId="4" w16cid:durableId="156279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13"/>
    <w:rsid w:val="00037A40"/>
    <w:rsid w:val="0008607F"/>
    <w:rsid w:val="002628AC"/>
    <w:rsid w:val="00291AA2"/>
    <w:rsid w:val="002A2F02"/>
    <w:rsid w:val="003075FD"/>
    <w:rsid w:val="003B6DD8"/>
    <w:rsid w:val="00426CCB"/>
    <w:rsid w:val="004605AD"/>
    <w:rsid w:val="00485248"/>
    <w:rsid w:val="004A1A7E"/>
    <w:rsid w:val="004E7298"/>
    <w:rsid w:val="00684730"/>
    <w:rsid w:val="006E55CB"/>
    <w:rsid w:val="007A4CC1"/>
    <w:rsid w:val="007A5691"/>
    <w:rsid w:val="00862B69"/>
    <w:rsid w:val="008803CC"/>
    <w:rsid w:val="0089457E"/>
    <w:rsid w:val="008A3213"/>
    <w:rsid w:val="009408A2"/>
    <w:rsid w:val="009C7EBA"/>
    <w:rsid w:val="00A33BDA"/>
    <w:rsid w:val="00A609CE"/>
    <w:rsid w:val="00B368D2"/>
    <w:rsid w:val="00C15D17"/>
    <w:rsid w:val="00C82C95"/>
    <w:rsid w:val="00D86760"/>
    <w:rsid w:val="00E2181C"/>
    <w:rsid w:val="00EF14E0"/>
    <w:rsid w:val="00F80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9B58"/>
  <w15:chartTrackingRefBased/>
  <w15:docId w15:val="{9ED5C3E6-FDF8-4C97-9EAA-8CCF566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A1A7E"/>
    <w:pPr>
      <w:widowControl w:val="0"/>
      <w:autoSpaceDE w:val="0"/>
      <w:autoSpaceDN w:val="0"/>
      <w:spacing w:after="0" w:line="240" w:lineRule="auto"/>
      <w:ind w:left="1981" w:right="1996"/>
      <w:jc w:val="center"/>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32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213"/>
  </w:style>
  <w:style w:type="paragraph" w:styleId="Rodap">
    <w:name w:val="footer"/>
    <w:basedOn w:val="Normal"/>
    <w:link w:val="RodapChar"/>
    <w:uiPriority w:val="99"/>
    <w:unhideWhenUsed/>
    <w:rsid w:val="008A3213"/>
    <w:pPr>
      <w:tabs>
        <w:tab w:val="center" w:pos="4252"/>
        <w:tab w:val="right" w:pos="8504"/>
      </w:tabs>
      <w:spacing w:after="0" w:line="240" w:lineRule="auto"/>
    </w:pPr>
  </w:style>
  <w:style w:type="character" w:customStyle="1" w:styleId="RodapChar">
    <w:name w:val="Rodapé Char"/>
    <w:basedOn w:val="Fontepargpadro"/>
    <w:link w:val="Rodap"/>
    <w:uiPriority w:val="99"/>
    <w:rsid w:val="008A3213"/>
  </w:style>
  <w:style w:type="character" w:customStyle="1" w:styleId="Ttulo1Char">
    <w:name w:val="Título 1 Char"/>
    <w:basedOn w:val="Fontepargpadro"/>
    <w:link w:val="Ttulo1"/>
    <w:uiPriority w:val="9"/>
    <w:rsid w:val="004A1A7E"/>
    <w:rPr>
      <w:rFonts w:ascii="Arial" w:eastAsia="Arial" w:hAnsi="Arial" w:cs="Arial"/>
      <w:b/>
      <w:bCs/>
      <w:sz w:val="24"/>
      <w:szCs w:val="24"/>
      <w:lang w:val="pt-PT"/>
    </w:rPr>
  </w:style>
  <w:style w:type="table" w:customStyle="1" w:styleId="TableNormal">
    <w:name w:val="Table Normal"/>
    <w:uiPriority w:val="2"/>
    <w:semiHidden/>
    <w:unhideWhenUsed/>
    <w:qFormat/>
    <w:rsid w:val="004A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4A1A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4A1A7E"/>
    <w:rPr>
      <w:rFonts w:ascii="Arial MT" w:eastAsia="Arial MT" w:hAnsi="Arial MT" w:cs="Arial MT"/>
      <w:sz w:val="24"/>
      <w:szCs w:val="24"/>
      <w:lang w:val="pt-PT"/>
    </w:rPr>
  </w:style>
  <w:style w:type="paragraph" w:styleId="PargrafodaLista">
    <w:name w:val="List Paragraph"/>
    <w:basedOn w:val="Normal"/>
    <w:uiPriority w:val="1"/>
    <w:qFormat/>
    <w:rsid w:val="004A1A7E"/>
    <w:pPr>
      <w:widowControl w:val="0"/>
      <w:autoSpaceDE w:val="0"/>
      <w:autoSpaceDN w:val="0"/>
      <w:spacing w:before="121" w:after="0" w:line="240" w:lineRule="auto"/>
      <w:ind w:left="1803"/>
      <w:jc w:val="both"/>
    </w:pPr>
    <w:rPr>
      <w:rFonts w:ascii="Arial MT" w:eastAsia="Arial MT" w:hAnsi="Arial MT" w:cs="Arial MT"/>
      <w:lang w:val="pt-PT"/>
    </w:rPr>
  </w:style>
  <w:style w:type="paragraph" w:customStyle="1" w:styleId="TableParagraph">
    <w:name w:val="Table Paragraph"/>
    <w:basedOn w:val="Normal"/>
    <w:uiPriority w:val="1"/>
    <w:qFormat/>
    <w:rsid w:val="004A1A7E"/>
    <w:pPr>
      <w:widowControl w:val="0"/>
      <w:autoSpaceDE w:val="0"/>
      <w:autoSpaceDN w:val="0"/>
      <w:spacing w:after="0" w:line="240" w:lineRule="auto"/>
    </w:pPr>
    <w:rPr>
      <w:rFonts w:ascii="Arial MT" w:eastAsia="Arial MT" w:hAnsi="Arial MT" w:cs="Arial MT"/>
      <w:lang w:val="pt-PT"/>
    </w:rPr>
  </w:style>
  <w:style w:type="paragraph" w:styleId="Textodenotaderodap">
    <w:name w:val="footnote text"/>
    <w:basedOn w:val="Normal"/>
    <w:link w:val="TextodenotaderodapChar"/>
    <w:unhideWhenUsed/>
    <w:rsid w:val="00C15D17"/>
    <w:pPr>
      <w:spacing w:after="0" w:line="240" w:lineRule="auto"/>
    </w:pPr>
    <w:rPr>
      <w:sz w:val="20"/>
      <w:szCs w:val="20"/>
    </w:rPr>
  </w:style>
  <w:style w:type="character" w:customStyle="1" w:styleId="TextodenotaderodapChar">
    <w:name w:val="Texto de nota de rodapé Char"/>
    <w:basedOn w:val="Fontepargpadro"/>
    <w:link w:val="Textodenotaderodap"/>
    <w:rsid w:val="00C15D17"/>
    <w:rPr>
      <w:sz w:val="20"/>
      <w:szCs w:val="20"/>
    </w:rPr>
  </w:style>
  <w:style w:type="character" w:styleId="Refdenotaderodap">
    <w:name w:val="footnote reference"/>
    <w:basedOn w:val="Fontepargpadro"/>
    <w:uiPriority w:val="99"/>
    <w:semiHidden/>
    <w:unhideWhenUsed/>
    <w:rsid w:val="00C15D17"/>
    <w:rPr>
      <w:vertAlign w:val="superscript"/>
    </w:rPr>
  </w:style>
  <w:style w:type="character" w:styleId="Hyperlink">
    <w:name w:val="Hyperlink"/>
    <w:rsid w:val="00862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9-2022/2020/Lei/L13982.htm" TargetMode="External"/><Relationship Id="rId4" Type="http://schemas.openxmlformats.org/officeDocument/2006/relationships/settings" Target="settings.xml"/><Relationship Id="rId9" Type="http://schemas.openxmlformats.org/officeDocument/2006/relationships/hyperlink" Target="http://www.planalto.gov.br/ccivil_03/_Ato2019-2022/2020/Lei/L13982.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tce.pr.gov.br/multimidia/2020/8/pdf/0034835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90F4-ED26-43E6-AAEA-5129755E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2693</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18</cp:revision>
  <dcterms:created xsi:type="dcterms:W3CDTF">2022-07-14T20:29:00Z</dcterms:created>
  <dcterms:modified xsi:type="dcterms:W3CDTF">2022-07-26T21:16:00Z</dcterms:modified>
</cp:coreProperties>
</file>