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8446" w14:textId="77777777" w:rsidR="00506478" w:rsidRDefault="00506478" w:rsidP="00506478">
      <w:pPr>
        <w:pStyle w:val="Texto"/>
        <w:spacing w:before="240" w:after="240"/>
        <w:ind w:firstLine="0"/>
        <w:jc w:val="center"/>
        <w:rPr>
          <w:rFonts w:eastAsia="Arial" w:cs="Arial"/>
          <w:b/>
          <w:bCs/>
          <w:sz w:val="28"/>
          <w:szCs w:val="28"/>
        </w:rPr>
      </w:pPr>
      <w:r w:rsidRPr="00744C5B">
        <w:rPr>
          <w:rFonts w:eastAsia="Arial" w:cs="Arial"/>
          <w:b/>
          <w:bCs/>
          <w:sz w:val="28"/>
          <w:szCs w:val="28"/>
        </w:rPr>
        <w:t>NOTA TÉCNICA Nº 17/2022 – CGF/TCEPR</w:t>
      </w:r>
      <w:r>
        <w:rPr>
          <w:rStyle w:val="Refdenotaderodap"/>
          <w:rFonts w:eastAsia="Arial" w:cs="Arial"/>
          <w:b/>
          <w:bCs/>
          <w:sz w:val="28"/>
          <w:szCs w:val="28"/>
        </w:rPr>
        <w:footnoteReference w:id="1"/>
      </w:r>
    </w:p>
    <w:p w14:paraId="68C438AF" w14:textId="77777777" w:rsidR="00506478" w:rsidRPr="00744C5B" w:rsidRDefault="00506478" w:rsidP="00506478">
      <w:pPr>
        <w:pStyle w:val="Texto"/>
        <w:spacing w:before="240" w:after="240"/>
        <w:ind w:firstLine="0"/>
        <w:jc w:val="center"/>
        <w:rPr>
          <w:rFonts w:eastAsia="Arial" w:cs="Arial"/>
          <w:b/>
          <w:bCs/>
          <w:sz w:val="28"/>
          <w:szCs w:val="28"/>
        </w:rPr>
      </w:pPr>
    </w:p>
    <w:p w14:paraId="4ABF87D0" w14:textId="77777777" w:rsidR="00506478" w:rsidRPr="0064437C" w:rsidRDefault="00506478" w:rsidP="00506478">
      <w:pPr>
        <w:spacing w:before="240" w:after="240"/>
        <w:ind w:left="4536"/>
        <w:rPr>
          <w:rFonts w:cs="Arial"/>
          <w:bCs/>
          <w:i/>
          <w:iCs/>
          <w:sz w:val="22"/>
        </w:rPr>
      </w:pPr>
      <w:r w:rsidRPr="0064437C">
        <w:rPr>
          <w:rFonts w:cs="Arial"/>
          <w:bCs/>
          <w:i/>
          <w:iCs/>
          <w:sz w:val="22"/>
        </w:rPr>
        <w:t>Dispõe sobre os formulários de avaliação de políticas públicas e sobre os critérios para cadastramento dos interlocutores municipais referidos no § 1º do art. 8º da Instrução Normativa nº 172, de 12 de julho de 2022, para a Prestação de Contas de Prefeito Municipal referentes aos exercícios financeiros de 2022 e seguintes.</w:t>
      </w:r>
    </w:p>
    <w:p w14:paraId="366BE98A" w14:textId="77777777" w:rsidR="00506478" w:rsidRDefault="00506478" w:rsidP="00506478">
      <w:pPr>
        <w:pStyle w:val="Texto"/>
        <w:rPr>
          <w:rFonts w:cs="Arial"/>
        </w:rPr>
      </w:pPr>
    </w:p>
    <w:p w14:paraId="12D90B38" w14:textId="1B4A4C94" w:rsidR="00506478" w:rsidRDefault="00506478" w:rsidP="00506478">
      <w:pPr>
        <w:pStyle w:val="Texto"/>
      </w:pPr>
      <w:r w:rsidRPr="0064437C">
        <w:rPr>
          <w:rFonts w:cs="Arial"/>
        </w:rPr>
        <w:t>A</w:t>
      </w:r>
      <w:r>
        <w:rPr>
          <w:rFonts w:cs="Arial"/>
          <w:b/>
          <w:bCs/>
        </w:rPr>
        <w:t xml:space="preserve"> COORDENADORIA-GERAL DE FISCALIZAÇÃO (CGF) do TRIBUNAL DE CONTAS DO ESTADO DO PARANÁ (TCEPR)</w:t>
      </w:r>
      <w:r>
        <w:rPr>
          <w:rFonts w:cs="Arial"/>
        </w:rPr>
        <w:t>, em observância ao contido no art. 151-A, inciso IX, e no art. 217-A do Regimento Interno</w:t>
      </w:r>
      <w:r>
        <w:rPr>
          <w:rStyle w:val="Refdenotaderodap"/>
          <w:rFonts w:cs="Arial"/>
        </w:rPr>
        <w:footnoteReference w:id="2"/>
      </w:r>
      <w:r>
        <w:rPr>
          <w:rFonts w:cs="Arial"/>
        </w:rPr>
        <w:t xml:space="preserve">, </w:t>
      </w:r>
      <w:r>
        <w:rPr>
          <w:rFonts w:eastAsia="Arial" w:cs="Arial"/>
        </w:rPr>
        <w:t xml:space="preserve">e considerando o disposto no </w:t>
      </w:r>
      <w:r>
        <w:rPr>
          <w:rFonts w:cs="Arial"/>
        </w:rPr>
        <w:t xml:space="preserve">§ 1º do </w:t>
      </w:r>
      <w:r>
        <w:t xml:space="preserve">art. </w:t>
      </w:r>
      <w:r>
        <w:rPr>
          <w:rFonts w:cs="Arial"/>
        </w:rPr>
        <w:t xml:space="preserve">7º e </w:t>
      </w:r>
      <w:r>
        <w:rPr>
          <w:rFonts w:eastAsia="Arial" w:cs="Arial"/>
        </w:rPr>
        <w:t xml:space="preserve">no </w:t>
      </w:r>
      <w:r>
        <w:rPr>
          <w:rFonts w:cs="Arial"/>
        </w:rPr>
        <w:t>§ 1º do art.</w:t>
      </w:r>
      <w:r>
        <w:t xml:space="preserve"> </w:t>
      </w:r>
      <w:r>
        <w:rPr>
          <w:rFonts w:cs="Arial"/>
        </w:rPr>
        <w:t xml:space="preserve">8º </w:t>
      </w:r>
      <w:r>
        <w:rPr>
          <w:rFonts w:eastAsia="Arial" w:cs="Arial"/>
        </w:rPr>
        <w:t xml:space="preserve">da Instrução Normativa </w:t>
      </w:r>
      <w:r w:rsidRPr="00744C5B">
        <w:rPr>
          <w:rFonts w:eastAsia="Arial" w:cs="Arial"/>
        </w:rPr>
        <w:t>nº 172, de 12 de julho de 2022</w:t>
      </w:r>
      <w:r>
        <w:rPr>
          <w:rStyle w:val="Refdenotaderodap"/>
          <w:rFonts w:eastAsia="Arial" w:cs="Arial"/>
        </w:rPr>
        <w:footnoteReference w:id="3"/>
      </w:r>
      <w:r w:rsidRPr="00744C5B">
        <w:rPr>
          <w:rFonts w:eastAsia="Arial" w:cs="Arial"/>
        </w:rPr>
        <w:t>,</w:t>
      </w:r>
      <w:r w:rsidRPr="00744C5B">
        <w:rPr>
          <w:rStyle w:val="Refdenotaderodap"/>
        </w:rPr>
        <w:t xml:space="preserve"> </w:t>
      </w:r>
      <w:r w:rsidRPr="00744C5B">
        <w:rPr>
          <w:rFonts w:cs="Arial"/>
        </w:rPr>
        <w:t xml:space="preserve">apresenta esta Nota Técnica, com o objetivo de estabelecer </w:t>
      </w:r>
      <w:r w:rsidRPr="00744C5B">
        <w:t xml:space="preserve">as áreas </w:t>
      </w:r>
      <w:r>
        <w:t xml:space="preserve">de avaliação de políticas públicas nas </w:t>
      </w:r>
      <w:r>
        <w:rPr>
          <w:rFonts w:cs="Arial"/>
          <w:bCs/>
        </w:rPr>
        <w:t>Prestações de Contas de Prefeito Municipal</w:t>
      </w:r>
      <w:r>
        <w:t xml:space="preserve">, os formulários de avaliação que subsidiarão a avaliação do grau de implementação dessas políticas pelo Tribunal de Contas, bem como definir </w:t>
      </w:r>
      <w:r>
        <w:rPr>
          <w:rFonts w:cs="Arial"/>
        </w:rPr>
        <w:t xml:space="preserve">os </w:t>
      </w:r>
      <w:r>
        <w:t xml:space="preserve">critérios </w:t>
      </w:r>
      <w:r>
        <w:rPr>
          <w:rFonts w:cs="Arial"/>
        </w:rPr>
        <w:t>para</w:t>
      </w:r>
      <w:r>
        <w:t xml:space="preserve"> a indicação dos interlocutores municipais que enviarão respostas a esses formulários</w:t>
      </w:r>
      <w:r>
        <w:t>.</w:t>
      </w:r>
    </w:p>
    <w:p w14:paraId="0C68888F" w14:textId="77777777" w:rsidR="00506478" w:rsidRDefault="00506478" w:rsidP="00506478">
      <w:pPr>
        <w:pStyle w:val="Texto"/>
      </w:pPr>
    </w:p>
    <w:p w14:paraId="2B9011BA" w14:textId="77777777" w:rsidR="00506478" w:rsidRDefault="00506478" w:rsidP="00506478">
      <w:pPr>
        <w:pStyle w:val="Ttulo1"/>
        <w:spacing w:after="240"/>
        <w:jc w:val="center"/>
        <w:rPr>
          <w:rFonts w:eastAsia="Arial"/>
        </w:rPr>
      </w:pPr>
      <w:r>
        <w:rPr>
          <w:rFonts w:eastAsia="Arial"/>
        </w:rPr>
        <w:lastRenderedPageBreak/>
        <w:t>DAS ÁREAS DE GOVERNO E DOS OBJETIVOS DE AVALIAÇÃO</w:t>
      </w:r>
    </w:p>
    <w:p w14:paraId="3EE54BAE" w14:textId="77777777" w:rsidR="00506478" w:rsidRDefault="00506478" w:rsidP="00506478">
      <w:pPr>
        <w:spacing w:after="0"/>
        <w:ind w:firstLine="1134"/>
        <w:rPr>
          <w:rFonts w:cs="Arial"/>
          <w:bCs/>
          <w:iCs/>
          <w:szCs w:val="24"/>
        </w:rPr>
      </w:pPr>
      <w:bookmarkStart w:id="0" w:name="_Ref103778055"/>
      <w:r>
        <w:t xml:space="preserve">As áreas da gestão pública municipal que serão objeto de avaliação nas </w:t>
      </w:r>
      <w:r>
        <w:rPr>
          <w:rFonts w:cs="Arial"/>
          <w:bCs/>
        </w:rPr>
        <w:t>Prestações de Contas de Prefeito Municipal no Tribunal de Contas do Paraná</w:t>
      </w:r>
      <w:r>
        <w:t xml:space="preserve"> são as seguintes:</w:t>
      </w:r>
      <w:bookmarkEnd w:id="0"/>
      <w:r>
        <w:t xml:space="preserve"> </w:t>
      </w:r>
      <w:r>
        <w:rPr>
          <w:rFonts w:cs="Arial"/>
          <w:bCs/>
          <w:szCs w:val="24"/>
        </w:rPr>
        <w:t>administração financeira, a</w:t>
      </w:r>
      <w:r>
        <w:rPr>
          <w:rFonts w:cs="Arial"/>
          <w:bCs/>
          <w:iCs/>
          <w:szCs w:val="24"/>
        </w:rPr>
        <w:t>ssistência social, educação, previdência social – nos Municípios que possuírem regime próprio –, saúde e transparência e relacionamento com o cidadão.</w:t>
      </w:r>
    </w:p>
    <w:p w14:paraId="7D952022" w14:textId="77777777" w:rsidR="00506478" w:rsidRDefault="00506478" w:rsidP="00506478">
      <w:pPr>
        <w:spacing w:after="0"/>
        <w:ind w:firstLine="1134"/>
      </w:pPr>
      <w:r>
        <w:rPr>
          <w:rFonts w:eastAsia="Arial" w:cs="Arial"/>
          <w:szCs w:val="24"/>
        </w:rPr>
        <w:t xml:space="preserve">Nesse sentido, os </w:t>
      </w:r>
      <w:r>
        <w:t>objetivos da avaliação para cada área da gestão pública municipal serão os seguintes:</w:t>
      </w:r>
    </w:p>
    <w:p w14:paraId="5CFEB4F5" w14:textId="77777777" w:rsidR="00506478" w:rsidRDefault="00506478" w:rsidP="00506478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5"/>
        <w:gridCol w:w="6539"/>
      </w:tblGrid>
      <w:tr w:rsidR="00506478" w14:paraId="3C572688" w14:textId="77777777" w:rsidTr="00CC60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F78B" w14:textId="77777777" w:rsidR="00506478" w:rsidRDefault="00506478" w:rsidP="00CC6030">
            <w:pPr>
              <w:jc w:val="center"/>
              <w:rPr>
                <w:rFonts w:cs="Arial"/>
                <w:bCs/>
                <w:sz w:val="22"/>
              </w:rPr>
            </w:pPr>
            <w:r>
              <w:rPr>
                <w:b/>
                <w:sz w:val="22"/>
              </w:rPr>
              <w:t>Área da gestão pública municipal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4F7C" w14:textId="77777777" w:rsidR="00506478" w:rsidRDefault="00506478" w:rsidP="00CC6030">
            <w:pPr>
              <w:tabs>
                <w:tab w:val="left" w:pos="933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Objetivo da avaliação</w:t>
            </w:r>
          </w:p>
        </w:tc>
      </w:tr>
      <w:tr w:rsidR="00506478" w14:paraId="74EEA9AD" w14:textId="77777777" w:rsidTr="00CC60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0B1E" w14:textId="77777777" w:rsidR="00506478" w:rsidRDefault="00506478" w:rsidP="00CC6030">
            <w:pPr>
              <w:rPr>
                <w:sz w:val="22"/>
              </w:rPr>
            </w:pPr>
            <w:r>
              <w:rPr>
                <w:rFonts w:cs="Arial"/>
                <w:bCs/>
                <w:sz w:val="22"/>
              </w:rPr>
              <w:t>Administração Financeira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6453" w14:textId="77777777" w:rsidR="00506478" w:rsidRDefault="00506478" w:rsidP="00CC6030">
            <w:pPr>
              <w:tabs>
                <w:tab w:val="left" w:pos="933"/>
              </w:tabs>
              <w:rPr>
                <w:sz w:val="22"/>
              </w:rPr>
            </w:pPr>
            <w:r>
              <w:rPr>
                <w:sz w:val="22"/>
              </w:rPr>
              <w:t xml:space="preserve">Avaliar as ações do governo </w:t>
            </w:r>
            <w:r>
              <w:rPr>
                <w:rFonts w:cs="Arial"/>
                <w:bCs/>
                <w:iCs/>
                <w:sz w:val="22"/>
              </w:rPr>
              <w:t>que contribuam para</w:t>
            </w:r>
            <w:r>
              <w:rPr>
                <w:sz w:val="22"/>
              </w:rPr>
              <w:t xml:space="preserve"> uma condição financeira sustentável a fim de garantir a continuidade da prestação adequada de serviços públicos.</w:t>
            </w:r>
          </w:p>
        </w:tc>
      </w:tr>
      <w:tr w:rsidR="00506478" w14:paraId="1B68EAF5" w14:textId="77777777" w:rsidTr="00CC60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56D9" w14:textId="77777777" w:rsidR="00506478" w:rsidRDefault="00506478" w:rsidP="00CC6030">
            <w:pPr>
              <w:rPr>
                <w:sz w:val="22"/>
              </w:rPr>
            </w:pPr>
            <w:r>
              <w:rPr>
                <w:rFonts w:cs="Arial"/>
                <w:bCs/>
                <w:sz w:val="22"/>
              </w:rPr>
              <w:t>A</w:t>
            </w:r>
            <w:r>
              <w:rPr>
                <w:rFonts w:cs="Arial"/>
                <w:bCs/>
                <w:iCs/>
                <w:sz w:val="22"/>
              </w:rPr>
              <w:t>ssistência Social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8631" w14:textId="77777777" w:rsidR="00506478" w:rsidRDefault="00506478" w:rsidP="00CC6030">
            <w:pPr>
              <w:rPr>
                <w:sz w:val="22"/>
              </w:rPr>
            </w:pPr>
            <w:r>
              <w:rPr>
                <w:sz w:val="22"/>
              </w:rPr>
              <w:t>Avaliar o grau de atendimento das ações do governo que visem à identificação e à prevenção de situações de vulnerabilidade e risco social por meio da oferta de serviços de Proteção Social Básica.</w:t>
            </w:r>
          </w:p>
        </w:tc>
      </w:tr>
      <w:tr w:rsidR="00506478" w14:paraId="029204DC" w14:textId="77777777" w:rsidTr="00CC60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8BBA" w14:textId="77777777" w:rsidR="00506478" w:rsidRDefault="00506478" w:rsidP="00CC6030">
            <w:pPr>
              <w:rPr>
                <w:rFonts w:cs="Arial"/>
                <w:bCs/>
                <w:iCs/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>Educação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266D" w14:textId="77777777" w:rsidR="00506478" w:rsidRDefault="00506478" w:rsidP="00CC6030">
            <w:pPr>
              <w:rPr>
                <w:sz w:val="22"/>
              </w:rPr>
            </w:pPr>
            <w:r>
              <w:rPr>
                <w:sz w:val="22"/>
              </w:rPr>
              <w:t>Avaliar as ações do governo que visem à melhoria da qualidade do ensino e à ampliação do acesso e da permanência escolar na educação infantil e nos anos iniciais do ensino fundamental ofertados na Rede Municipal de Ensino.</w:t>
            </w:r>
          </w:p>
        </w:tc>
      </w:tr>
      <w:tr w:rsidR="00506478" w14:paraId="5AD9C9DD" w14:textId="77777777" w:rsidTr="00CC60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168F" w14:textId="77777777" w:rsidR="00506478" w:rsidRDefault="00506478" w:rsidP="00CC6030">
            <w:pPr>
              <w:rPr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>Previdência Social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2CFE" w14:textId="77777777" w:rsidR="00506478" w:rsidRDefault="00506478" w:rsidP="00CC6030">
            <w:pPr>
              <w:rPr>
                <w:rFonts w:cs="Arial"/>
                <w:bCs/>
                <w:iCs/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>Avaliar as ações do governo que contribuam para a solvência financeira e atuarial do Regime Próprio de Previdência Social.</w:t>
            </w:r>
          </w:p>
        </w:tc>
      </w:tr>
      <w:tr w:rsidR="00506478" w14:paraId="02BA45BA" w14:textId="77777777" w:rsidTr="00CC60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08F6" w14:textId="77777777" w:rsidR="00506478" w:rsidRDefault="00506478" w:rsidP="00CC6030">
            <w:pPr>
              <w:rPr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>Saúde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B1DD" w14:textId="77777777" w:rsidR="00506478" w:rsidRDefault="00506478" w:rsidP="00CC6030">
            <w:pPr>
              <w:rPr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>Avaliar as ações do governo que visem à melhoria da qualidade dos serviços da Atenção Básica em Saúde, de acordo com as necessidades e demandas da população cada território.</w:t>
            </w:r>
          </w:p>
        </w:tc>
      </w:tr>
      <w:tr w:rsidR="00506478" w14:paraId="7D942DD9" w14:textId="77777777" w:rsidTr="00CC60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AD43" w14:textId="77777777" w:rsidR="00506478" w:rsidRDefault="00506478" w:rsidP="00CC6030">
            <w:pPr>
              <w:rPr>
                <w:rFonts w:eastAsia="Arial" w:cs="Arial"/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>Transparência e Relacionamento com o cidadão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C221" w14:textId="77777777" w:rsidR="00506478" w:rsidRDefault="00506478" w:rsidP="00CC6030">
            <w:pPr>
              <w:rPr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>Avaliar as ações do governo que busquem garantir a transparência e o relacionamento com o cidadão a fim de fomentar o controle social.</w:t>
            </w:r>
          </w:p>
        </w:tc>
      </w:tr>
    </w:tbl>
    <w:p w14:paraId="38AFD113" w14:textId="77777777" w:rsidR="00506478" w:rsidRDefault="00506478" w:rsidP="00506478"/>
    <w:p w14:paraId="4BF48777" w14:textId="77777777" w:rsidR="00506478" w:rsidRDefault="00506478" w:rsidP="00506478">
      <w:pPr>
        <w:pStyle w:val="Ttulo1"/>
        <w:spacing w:after="240"/>
        <w:jc w:val="center"/>
        <w:rPr>
          <w:rFonts w:eastAsia="Arial"/>
        </w:rPr>
      </w:pPr>
      <w:r>
        <w:rPr>
          <w:rFonts w:eastAsia="Arial"/>
        </w:rPr>
        <w:t>DOS CRITÉRIOS PARA O CADASTRAMENTO DOS INTERLOCUTORES MUNICIPAIS</w:t>
      </w:r>
    </w:p>
    <w:p w14:paraId="7EFDB798" w14:textId="77777777" w:rsidR="00506478" w:rsidRDefault="00506478" w:rsidP="00506478">
      <w:pPr>
        <w:spacing w:after="0"/>
        <w:ind w:firstLine="1134"/>
      </w:pPr>
      <w:r>
        <w:t xml:space="preserve">Os </w:t>
      </w:r>
      <w:r>
        <w:rPr>
          <w:rFonts w:eastAsia="Arial"/>
        </w:rPr>
        <w:t xml:space="preserve">interlocutores municipais referidos no </w:t>
      </w:r>
      <w:r>
        <w:rPr>
          <w:rFonts w:cs="Arial"/>
        </w:rPr>
        <w:t>§ 1º do art.</w:t>
      </w:r>
      <w:r>
        <w:t xml:space="preserve"> </w:t>
      </w:r>
      <w:r>
        <w:rPr>
          <w:rFonts w:cs="Arial"/>
        </w:rPr>
        <w:t xml:space="preserve">8º </w:t>
      </w:r>
      <w:r>
        <w:rPr>
          <w:rFonts w:eastAsia="Arial" w:cs="Arial"/>
        </w:rPr>
        <w:t xml:space="preserve">da Instrução Normativa nº 172, de 2022, </w:t>
      </w:r>
      <w:r>
        <w:t>deverão ser indicados pelo Prefeito Municipal</w:t>
      </w:r>
      <w:r>
        <w:rPr>
          <w:rFonts w:eastAsia="Arial"/>
        </w:rPr>
        <w:t xml:space="preserve"> </w:t>
      </w:r>
      <w:r>
        <w:t xml:space="preserve">e </w:t>
      </w:r>
      <w:r>
        <w:lastRenderedPageBreak/>
        <w:t>ocupar os cargos definidos no quadro a seguir ou em cargos equivalentes, conforme a área da gestão pública municipal correspondente</w:t>
      </w:r>
      <w:r>
        <w:rPr>
          <w:rStyle w:val="Refdenotaderodap"/>
        </w:rPr>
        <w:footnoteReference w:id="4"/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42"/>
        <w:gridCol w:w="6552"/>
      </w:tblGrid>
      <w:tr w:rsidR="00506478" w14:paraId="52827721" w14:textId="77777777" w:rsidTr="00CC6030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3A7A" w14:textId="77777777" w:rsidR="00506478" w:rsidRDefault="00506478" w:rsidP="00CC603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Área da gestão pública municipal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48B0" w14:textId="77777777" w:rsidR="00506478" w:rsidRDefault="00506478" w:rsidP="00CC603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Cargo(s) ocupado(s) pelo(s) interlocutor(es) (ou cargo equivalente)</w:t>
            </w:r>
          </w:p>
        </w:tc>
      </w:tr>
      <w:tr w:rsidR="00506478" w14:paraId="6616E66C" w14:textId="77777777" w:rsidTr="00CC6030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1C1B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Administração Financeira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1FF5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 - </w:t>
            </w:r>
            <w:proofErr w:type="gramStart"/>
            <w:r>
              <w:rPr>
                <w:rFonts w:cs="Arial"/>
                <w:sz w:val="22"/>
              </w:rPr>
              <w:t>gestor</w:t>
            </w:r>
            <w:proofErr w:type="gramEnd"/>
            <w:r>
              <w:rPr>
                <w:rFonts w:cs="Arial"/>
                <w:sz w:val="22"/>
              </w:rPr>
              <w:t xml:space="preserve"> municipal da área de finanças.</w:t>
            </w:r>
          </w:p>
        </w:tc>
      </w:tr>
      <w:tr w:rsidR="00506478" w14:paraId="3E501DD5" w14:textId="77777777" w:rsidTr="00CC6030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B725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Assistência Social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CE38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 - </w:t>
            </w:r>
            <w:proofErr w:type="gramStart"/>
            <w:r>
              <w:rPr>
                <w:rFonts w:cs="Arial"/>
                <w:sz w:val="22"/>
              </w:rPr>
              <w:t>gestor</w:t>
            </w:r>
            <w:proofErr w:type="gramEnd"/>
            <w:r>
              <w:rPr>
                <w:rFonts w:cs="Arial"/>
                <w:sz w:val="22"/>
              </w:rPr>
              <w:t xml:space="preserve"> municipal da área de assistência social;</w:t>
            </w:r>
          </w:p>
          <w:p w14:paraId="055C3B00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II - </w:t>
            </w:r>
            <w:proofErr w:type="gramStart"/>
            <w:r>
              <w:rPr>
                <w:rFonts w:cs="Arial"/>
                <w:sz w:val="22"/>
              </w:rPr>
              <w:t>coordenador</w:t>
            </w:r>
            <w:proofErr w:type="gramEnd"/>
            <w:r>
              <w:rPr>
                <w:rFonts w:cs="Arial"/>
                <w:sz w:val="22"/>
              </w:rPr>
              <w:t xml:space="preserve"> de centro de referência de assistência social municipal.</w:t>
            </w:r>
          </w:p>
        </w:tc>
      </w:tr>
      <w:tr w:rsidR="00506478" w14:paraId="3007DC75" w14:textId="77777777" w:rsidTr="00CC6030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3C03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Educação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0B71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 - </w:t>
            </w:r>
            <w:proofErr w:type="gramStart"/>
            <w:r>
              <w:rPr>
                <w:rFonts w:cs="Arial"/>
                <w:sz w:val="22"/>
              </w:rPr>
              <w:t>gestor</w:t>
            </w:r>
            <w:proofErr w:type="gramEnd"/>
            <w:r>
              <w:rPr>
                <w:rFonts w:cs="Arial"/>
                <w:sz w:val="22"/>
              </w:rPr>
              <w:t xml:space="preserve"> municipal da área de educação;</w:t>
            </w:r>
          </w:p>
          <w:p w14:paraId="7EBFCB68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II - </w:t>
            </w:r>
            <w:proofErr w:type="gramStart"/>
            <w:r>
              <w:rPr>
                <w:rFonts w:cs="Arial"/>
                <w:sz w:val="22"/>
              </w:rPr>
              <w:t>diretor</w:t>
            </w:r>
            <w:proofErr w:type="gramEnd"/>
            <w:r>
              <w:rPr>
                <w:rFonts w:cs="Arial"/>
                <w:sz w:val="22"/>
              </w:rPr>
              <w:t xml:space="preserve"> de escola municipal e/ou de centro municipal de educação infantil;</w:t>
            </w:r>
          </w:p>
          <w:p w14:paraId="1EEB616D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III - coordenador pedagógico de escola municipal e/ou de centro municipal de educação infantil;</w:t>
            </w:r>
          </w:p>
          <w:p w14:paraId="470543D3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IV - </w:t>
            </w:r>
            <w:proofErr w:type="gramStart"/>
            <w:r>
              <w:rPr>
                <w:rFonts w:cs="Arial"/>
                <w:sz w:val="22"/>
              </w:rPr>
              <w:t>nutricionista</w:t>
            </w:r>
            <w:proofErr w:type="gramEnd"/>
            <w:r>
              <w:rPr>
                <w:rFonts w:cs="Arial"/>
                <w:sz w:val="22"/>
              </w:rPr>
              <w:t xml:space="preserve"> responsável técnico pelo programa municipal de alimentação escolar.</w:t>
            </w:r>
          </w:p>
        </w:tc>
      </w:tr>
      <w:tr w:rsidR="00506478" w14:paraId="74A1F166" w14:textId="77777777" w:rsidTr="00CC6030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3013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Previdência Social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0BE4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 - </w:t>
            </w:r>
            <w:proofErr w:type="gramStart"/>
            <w:r>
              <w:rPr>
                <w:rFonts w:cs="Arial"/>
                <w:sz w:val="22"/>
              </w:rPr>
              <w:t>gestor</w:t>
            </w:r>
            <w:proofErr w:type="gramEnd"/>
            <w:r>
              <w:rPr>
                <w:rFonts w:cs="Arial"/>
                <w:sz w:val="22"/>
              </w:rPr>
              <w:t xml:space="preserve"> municipal da área de administração;</w:t>
            </w:r>
          </w:p>
          <w:p w14:paraId="07DAEC25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II - </w:t>
            </w:r>
            <w:proofErr w:type="gramStart"/>
            <w:r>
              <w:rPr>
                <w:rFonts w:cs="Arial"/>
                <w:sz w:val="22"/>
              </w:rPr>
              <w:t>gestor</w:t>
            </w:r>
            <w:proofErr w:type="gramEnd"/>
            <w:r>
              <w:rPr>
                <w:rFonts w:cs="Arial"/>
                <w:sz w:val="22"/>
              </w:rPr>
              <w:t xml:space="preserve"> municipal do regime próprio de previdência social.</w:t>
            </w:r>
          </w:p>
        </w:tc>
      </w:tr>
      <w:tr w:rsidR="00506478" w14:paraId="1AE0F3A7" w14:textId="77777777" w:rsidTr="00CC6030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CB79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Saúde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8659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 - </w:t>
            </w:r>
            <w:proofErr w:type="gramStart"/>
            <w:r>
              <w:rPr>
                <w:rFonts w:cs="Arial"/>
                <w:sz w:val="22"/>
              </w:rPr>
              <w:t>gestor</w:t>
            </w:r>
            <w:proofErr w:type="gramEnd"/>
            <w:r>
              <w:rPr>
                <w:rFonts w:cs="Arial"/>
                <w:sz w:val="22"/>
              </w:rPr>
              <w:t xml:space="preserve"> municipal da área de saúde;</w:t>
            </w:r>
          </w:p>
          <w:p w14:paraId="5A36D04F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II - </w:t>
            </w:r>
            <w:proofErr w:type="gramStart"/>
            <w:r>
              <w:rPr>
                <w:rFonts w:cs="Arial"/>
                <w:sz w:val="22"/>
              </w:rPr>
              <w:t>coordenador</w:t>
            </w:r>
            <w:proofErr w:type="gramEnd"/>
            <w:r>
              <w:rPr>
                <w:rFonts w:cs="Arial"/>
                <w:sz w:val="22"/>
              </w:rPr>
              <w:t xml:space="preserve"> de unidade básica de saúde municipal;</w:t>
            </w:r>
          </w:p>
          <w:p w14:paraId="03E24796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III - farmacêutico responsável pela dispensação de medicamentos da atenção básica.</w:t>
            </w:r>
          </w:p>
        </w:tc>
      </w:tr>
      <w:tr w:rsidR="00506478" w14:paraId="09519A0D" w14:textId="77777777" w:rsidTr="00CC6030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FCF3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Transparência e relacionamento com o cidadão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C15C" w14:textId="77777777" w:rsidR="00506478" w:rsidRDefault="00506478" w:rsidP="00CC60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 - </w:t>
            </w:r>
            <w:proofErr w:type="gramStart"/>
            <w:r>
              <w:rPr>
                <w:rFonts w:cs="Arial"/>
                <w:sz w:val="22"/>
              </w:rPr>
              <w:t>gestor</w:t>
            </w:r>
            <w:proofErr w:type="gramEnd"/>
            <w:r>
              <w:rPr>
                <w:rFonts w:cs="Arial"/>
                <w:sz w:val="22"/>
              </w:rPr>
              <w:t xml:space="preserve"> municipal da área de administração.</w:t>
            </w:r>
          </w:p>
        </w:tc>
      </w:tr>
    </w:tbl>
    <w:p w14:paraId="1A8F9DF8" w14:textId="77777777" w:rsidR="00506478" w:rsidRDefault="00506478" w:rsidP="00506478">
      <w:pPr>
        <w:spacing w:line="360" w:lineRule="auto"/>
      </w:pPr>
    </w:p>
    <w:p w14:paraId="12AC043F" w14:textId="77777777" w:rsidR="00506478" w:rsidRDefault="00506478" w:rsidP="00506478">
      <w:pPr>
        <w:spacing w:after="0"/>
        <w:ind w:firstLine="1134"/>
      </w:pPr>
      <w:r>
        <w:t xml:space="preserve">O Prefeito Municipal deverá indicar e manter atualizado cadastro da integralidade dos ocupantes dos cargos públicos detalhados no quadro anterior ou equivalentes, nos termos dos </w:t>
      </w:r>
      <w:proofErr w:type="spellStart"/>
      <w:r>
        <w:t>a</w:t>
      </w:r>
      <w:r>
        <w:rPr>
          <w:rFonts w:cs="Arial"/>
        </w:rPr>
        <w:t>rts</w:t>
      </w:r>
      <w:proofErr w:type="spellEnd"/>
      <w:r>
        <w:rPr>
          <w:rFonts w:cs="Arial"/>
        </w:rPr>
        <w:t>.</w:t>
      </w:r>
      <w:r>
        <w:t xml:space="preserve"> </w:t>
      </w:r>
      <w:r>
        <w:rPr>
          <w:rFonts w:cs="Arial"/>
        </w:rPr>
        <w:t xml:space="preserve">8º, § 1º, e 13 </w:t>
      </w:r>
      <w:r>
        <w:rPr>
          <w:rFonts w:eastAsia="Arial" w:cs="Arial"/>
        </w:rPr>
        <w:t>da Instrução Norma</w:t>
      </w:r>
      <w:r w:rsidRPr="00744C5B">
        <w:rPr>
          <w:rFonts w:eastAsia="Arial" w:cs="Arial"/>
        </w:rPr>
        <w:t>tiva nº 172, de 2022</w:t>
      </w:r>
      <w:r w:rsidRPr="00744C5B">
        <w:t xml:space="preserve">. </w:t>
      </w:r>
    </w:p>
    <w:p w14:paraId="6C2B8D7F" w14:textId="77777777" w:rsidR="00506478" w:rsidRDefault="00506478" w:rsidP="00506478">
      <w:pPr>
        <w:spacing w:after="0"/>
        <w:ind w:firstLine="1134"/>
      </w:pPr>
      <w:r>
        <w:lastRenderedPageBreak/>
        <w:t>Caso v</w:t>
      </w:r>
      <w:r>
        <w:rPr>
          <w:rFonts w:eastAsia="Arial" w:cs="Arial"/>
        </w:rPr>
        <w:t>erificada a ausência, parcial ou integral, de cadastro dos interlocutores</w:t>
      </w:r>
      <w:r>
        <w:t xml:space="preserve"> municipais tratados nesta Nota Técnica, </w:t>
      </w:r>
      <w:r>
        <w:rPr>
          <w:rFonts w:eastAsia="Arial" w:cs="Arial"/>
        </w:rPr>
        <w:t xml:space="preserve">os formulários de avaliação de políticas públicas serão disponibilizados </w:t>
      </w:r>
      <w:r w:rsidRPr="00744C5B">
        <w:rPr>
          <w:rFonts w:eastAsia="Arial" w:cs="Arial"/>
        </w:rPr>
        <w:t xml:space="preserve">exclusivamente ao Prefeito Municipal, nos termos do § 2º do art. 8º da </w:t>
      </w:r>
      <w:r w:rsidRPr="00744C5B">
        <w:t>Instrução Normativa nº 172, de 2022.</w:t>
      </w:r>
    </w:p>
    <w:p w14:paraId="5DE02C35" w14:textId="77777777" w:rsidR="00506478" w:rsidRDefault="00506478" w:rsidP="00506478">
      <w:pPr>
        <w:pStyle w:val="Ttulo1"/>
        <w:spacing w:after="240"/>
        <w:jc w:val="center"/>
      </w:pPr>
      <w:r>
        <w:t>DOS FORMULÁRIOS DE AVALIAÇÃO DO GRAU DE IMPLEMENTAÇÃO DE POLÍTICAS PÚBLICAS</w:t>
      </w:r>
    </w:p>
    <w:p w14:paraId="7C0CDCD2" w14:textId="77777777" w:rsidR="00506478" w:rsidRDefault="00506478" w:rsidP="00506478">
      <w:pPr>
        <w:spacing w:after="0"/>
        <w:ind w:firstLine="1134"/>
      </w:pPr>
      <w:r w:rsidRPr="00744C5B">
        <w:t xml:space="preserve">A íntegra dos formulários </w:t>
      </w:r>
      <w:r>
        <w:t>de avaliação do grau de implementação de políticas públicas</w:t>
      </w:r>
      <w:r w:rsidRPr="00744C5B">
        <w:t xml:space="preserve"> encontra-se nos Anexos desta Nota Técnica.</w:t>
      </w:r>
    </w:p>
    <w:p w14:paraId="14804FE4" w14:textId="77777777" w:rsidR="00506478" w:rsidRPr="00744C5B" w:rsidRDefault="00506478" w:rsidP="00506478">
      <w:pPr>
        <w:spacing w:after="0"/>
        <w:ind w:firstLine="1134"/>
      </w:pPr>
      <w:r>
        <w:t>Registra-se que as respostas declaradas pelos interlocutores ao formulário da área “Transparência e relacionamento com o cidadão”, detalhado no Anexo VI deste documento, poderão ser confrontadas com os dados do Índice de Transparência da Administração Pública - ITP, do Tribunal de Contas.</w:t>
      </w:r>
    </w:p>
    <w:p w14:paraId="19858B03" w14:textId="77777777" w:rsidR="00506478" w:rsidRDefault="00506478" w:rsidP="00506478">
      <w:pPr>
        <w:spacing w:after="0" w:line="288" w:lineRule="auto"/>
        <w:jc w:val="center"/>
        <w:rPr>
          <w:rFonts w:eastAsia="Arial" w:cs="Arial"/>
          <w:szCs w:val="24"/>
        </w:rPr>
      </w:pPr>
    </w:p>
    <w:p w14:paraId="3332B9DF" w14:textId="77777777" w:rsidR="00506478" w:rsidRPr="00744C5B" w:rsidRDefault="00506478" w:rsidP="00506478">
      <w:pPr>
        <w:spacing w:after="0" w:line="288" w:lineRule="auto"/>
        <w:jc w:val="center"/>
        <w:rPr>
          <w:rFonts w:eastAsia="Arial" w:cs="Arial"/>
          <w:szCs w:val="24"/>
        </w:rPr>
      </w:pPr>
    </w:p>
    <w:p w14:paraId="3C117A4D" w14:textId="77777777" w:rsidR="00506478" w:rsidRDefault="00506478" w:rsidP="00506478">
      <w:pPr>
        <w:spacing w:after="0" w:line="288" w:lineRule="auto"/>
        <w:jc w:val="center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szCs w:val="24"/>
        </w:rPr>
        <w:t>CGF, 20</w:t>
      </w:r>
      <w:r w:rsidRPr="00744C5B">
        <w:rPr>
          <w:rFonts w:eastAsia="Arial" w:cs="Arial"/>
          <w:szCs w:val="24"/>
        </w:rPr>
        <w:t xml:space="preserve"> de julho </w:t>
      </w:r>
      <w:r>
        <w:rPr>
          <w:rFonts w:eastAsia="Arial" w:cs="Arial"/>
          <w:color w:val="000000" w:themeColor="text1"/>
          <w:szCs w:val="24"/>
        </w:rPr>
        <w:t>de 2022.</w:t>
      </w:r>
    </w:p>
    <w:p w14:paraId="058DB118" w14:textId="77777777" w:rsidR="00506478" w:rsidRDefault="00506478" w:rsidP="00506478">
      <w:pPr>
        <w:spacing w:after="0" w:line="288" w:lineRule="auto"/>
        <w:jc w:val="center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 </w:t>
      </w:r>
    </w:p>
    <w:p w14:paraId="27CFA662" w14:textId="77777777" w:rsidR="00506478" w:rsidRDefault="00506478" w:rsidP="00506478">
      <w:pPr>
        <w:spacing w:after="0" w:line="288" w:lineRule="auto"/>
        <w:jc w:val="center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-</w:t>
      </w:r>
      <w:proofErr w:type="gramStart"/>
      <w:r>
        <w:rPr>
          <w:rFonts w:eastAsia="Arial" w:cs="Arial"/>
          <w:color w:val="000000" w:themeColor="text1"/>
          <w:szCs w:val="24"/>
        </w:rPr>
        <w:t>assinatura</w:t>
      </w:r>
      <w:proofErr w:type="gramEnd"/>
      <w:r>
        <w:rPr>
          <w:rFonts w:eastAsia="Arial" w:cs="Arial"/>
          <w:color w:val="000000" w:themeColor="text1"/>
          <w:szCs w:val="24"/>
        </w:rPr>
        <w:t xml:space="preserve"> digital-</w:t>
      </w:r>
    </w:p>
    <w:p w14:paraId="642ECE13" w14:textId="77777777" w:rsidR="00506478" w:rsidRPr="003B572B" w:rsidRDefault="00506478" w:rsidP="00506478">
      <w:pPr>
        <w:spacing w:after="0"/>
        <w:jc w:val="center"/>
        <w:rPr>
          <w:rFonts w:eastAsia="Arial" w:cs="Arial"/>
          <w:b/>
          <w:bCs/>
          <w:color w:val="000000" w:themeColor="text1"/>
          <w:szCs w:val="24"/>
        </w:rPr>
      </w:pPr>
      <w:r w:rsidRPr="003B572B">
        <w:rPr>
          <w:rFonts w:eastAsia="Arial" w:cs="Arial"/>
          <w:b/>
          <w:bCs/>
          <w:color w:val="000000" w:themeColor="text1"/>
          <w:szCs w:val="24"/>
        </w:rPr>
        <w:t>VIVIANÉLI ARAUJO PRESTES</w:t>
      </w:r>
    </w:p>
    <w:p w14:paraId="68728431" w14:textId="1D120701" w:rsidR="006C6FA9" w:rsidRDefault="00506478" w:rsidP="00506478">
      <w:pPr>
        <w:jc w:val="center"/>
      </w:pPr>
      <w:r>
        <w:rPr>
          <w:rFonts w:eastAsia="Arial" w:cs="Arial"/>
          <w:color w:val="000000" w:themeColor="text1"/>
          <w:szCs w:val="24"/>
        </w:rPr>
        <w:t>Coordenadora-Geral de Fiscalizaçã</w:t>
      </w:r>
      <w:r>
        <w:rPr>
          <w:rFonts w:eastAsia="Arial" w:cs="Arial"/>
          <w:color w:val="000000" w:themeColor="text1"/>
          <w:szCs w:val="24"/>
        </w:rPr>
        <w:t>o</w:t>
      </w:r>
    </w:p>
    <w:sectPr w:rsidR="006C6F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B4F7" w14:textId="77777777" w:rsidR="00506478" w:rsidRDefault="00506478" w:rsidP="00506478">
      <w:pPr>
        <w:spacing w:before="0" w:after="0"/>
      </w:pPr>
      <w:r>
        <w:separator/>
      </w:r>
    </w:p>
  </w:endnote>
  <w:endnote w:type="continuationSeparator" w:id="0">
    <w:p w14:paraId="7E302C89" w14:textId="77777777" w:rsidR="00506478" w:rsidRDefault="00506478" w:rsidP="005064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8ABC" w14:textId="77777777" w:rsidR="00506478" w:rsidRDefault="00506478" w:rsidP="00506478">
      <w:pPr>
        <w:spacing w:before="0" w:after="0"/>
      </w:pPr>
      <w:r>
        <w:separator/>
      </w:r>
    </w:p>
  </w:footnote>
  <w:footnote w:type="continuationSeparator" w:id="0">
    <w:p w14:paraId="7D2B9D7F" w14:textId="77777777" w:rsidR="00506478" w:rsidRDefault="00506478" w:rsidP="00506478">
      <w:pPr>
        <w:spacing w:before="0" w:after="0"/>
      </w:pPr>
      <w:r>
        <w:continuationSeparator/>
      </w:r>
    </w:p>
  </w:footnote>
  <w:footnote w:id="1">
    <w:p w14:paraId="2D976D44" w14:textId="77777777" w:rsidR="00506478" w:rsidRPr="009B38F9" w:rsidRDefault="00506478" w:rsidP="00506478">
      <w:pPr>
        <w:pStyle w:val="Textodenotaderodap"/>
        <w:rPr>
          <w:rFonts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9B38F9">
        <w:rPr>
          <w:rFonts w:cs="Arial"/>
          <w:b/>
          <w:sz w:val="18"/>
          <w:szCs w:val="18"/>
        </w:rPr>
        <w:t>Nota</w:t>
      </w:r>
      <w:r>
        <w:rPr>
          <w:rFonts w:cs="Arial"/>
          <w:b/>
          <w:sz w:val="18"/>
          <w:szCs w:val="18"/>
        </w:rPr>
        <w:t>s</w:t>
      </w:r>
      <w:r w:rsidRPr="009B38F9">
        <w:rPr>
          <w:rFonts w:cs="Arial"/>
          <w:b/>
          <w:sz w:val="18"/>
          <w:szCs w:val="18"/>
        </w:rPr>
        <w:t xml:space="preserve"> da Biblioteca:</w:t>
      </w:r>
    </w:p>
    <w:p w14:paraId="25478F77" w14:textId="77777777" w:rsidR="00506478" w:rsidRPr="009B38F9" w:rsidRDefault="00506478" w:rsidP="00506478">
      <w:pPr>
        <w:pStyle w:val="Textodenotaderodap"/>
        <w:numPr>
          <w:ilvl w:val="0"/>
          <w:numId w:val="1"/>
        </w:numPr>
        <w:spacing w:before="0" w:after="0"/>
        <w:ind w:left="426" w:hanging="284"/>
        <w:rPr>
          <w:rFonts w:cs="Arial"/>
          <w:color w:val="0000FF"/>
          <w:sz w:val="18"/>
          <w:szCs w:val="18"/>
        </w:rPr>
      </w:pPr>
      <w:r w:rsidRPr="009B38F9">
        <w:rPr>
          <w:rFonts w:cs="Arial"/>
          <w:sz w:val="18"/>
          <w:szCs w:val="18"/>
        </w:rPr>
        <w:t xml:space="preserve">Este texto não substitui o publicado no periódico: </w:t>
      </w:r>
      <w:hyperlink r:id="rId1" w:history="1">
        <w:r w:rsidRPr="009B38F9">
          <w:rPr>
            <w:rStyle w:val="Hyperlink"/>
            <w:rFonts w:cs="Arial"/>
            <w:b/>
            <w:bCs/>
            <w:sz w:val="18"/>
            <w:szCs w:val="18"/>
          </w:rPr>
          <w:t>Diário Eletrônico do Tribunal de Contas do Estado do Paraná</w:t>
        </w:r>
        <w:r w:rsidRPr="009B38F9">
          <w:rPr>
            <w:rStyle w:val="Hyperlink"/>
            <w:rFonts w:cs="Arial"/>
            <w:sz w:val="18"/>
            <w:szCs w:val="18"/>
          </w:rPr>
          <w:t>, Curitiba, PR, n. 2799, 25 jul. 2022, p. 31-117</w:t>
        </w:r>
      </w:hyperlink>
      <w:r w:rsidRPr="009B38F9">
        <w:rPr>
          <w:rFonts w:cs="Arial"/>
          <w:color w:val="0000FF"/>
          <w:sz w:val="18"/>
          <w:szCs w:val="18"/>
        </w:rPr>
        <w:t>.</w:t>
      </w:r>
    </w:p>
    <w:p w14:paraId="45577FD4" w14:textId="77777777" w:rsidR="00506478" w:rsidRPr="009B38F9" w:rsidRDefault="00506478" w:rsidP="00506478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284"/>
        <w:rPr>
          <w:rFonts w:ascii="Arial" w:hAnsi="Arial" w:cs="Arial"/>
          <w:color w:val="545454"/>
          <w:sz w:val="18"/>
          <w:szCs w:val="18"/>
        </w:rPr>
      </w:pPr>
      <w:r w:rsidRPr="009B38F9">
        <w:rPr>
          <w:rStyle w:val="Forte"/>
          <w:rFonts w:cs="Arial"/>
          <w:sz w:val="18"/>
          <w:szCs w:val="18"/>
        </w:rPr>
        <w:t>Ver:</w:t>
      </w:r>
      <w:r w:rsidRPr="00506478">
        <w:rPr>
          <w:rStyle w:val="Forte"/>
          <w:rFonts w:cs="Arial"/>
          <w:sz w:val="18"/>
          <w:szCs w:val="18"/>
        </w:rPr>
        <w:t> </w:t>
      </w:r>
      <w:hyperlink r:id="rId2" w:history="1">
        <w:r w:rsidRPr="00506478">
          <w:rPr>
            <w:rStyle w:val="Hyperlink"/>
            <w:rFonts w:ascii="Arial" w:eastAsia="Calibri" w:hAnsi="Arial" w:cs="Arial"/>
            <w:sz w:val="18"/>
            <w:szCs w:val="18"/>
          </w:rPr>
          <w:t>Instrução Normativa n. 172, de 11 de julho de 2022.</w:t>
        </w:r>
      </w:hyperlink>
    </w:p>
    <w:p w14:paraId="48CFB950" w14:textId="77777777" w:rsidR="00506478" w:rsidRPr="009B38F9" w:rsidRDefault="00506478" w:rsidP="00506478">
      <w:pPr>
        <w:pStyle w:val="NormalWeb"/>
        <w:spacing w:before="0" w:beforeAutospacing="0" w:after="0" w:afterAutospacing="0"/>
        <w:rPr>
          <w:rFonts w:ascii="Arial" w:hAnsi="Arial" w:cs="Arial"/>
          <w:color w:val="545454"/>
          <w:sz w:val="18"/>
          <w:szCs w:val="18"/>
        </w:rPr>
      </w:pPr>
      <w:r w:rsidRPr="009B38F9">
        <w:rPr>
          <w:rFonts w:ascii="Arial" w:hAnsi="Arial" w:cs="Arial"/>
          <w:color w:val="545454"/>
          <w:sz w:val="18"/>
          <w:szCs w:val="18"/>
        </w:rPr>
        <w:t>__________________________</w:t>
      </w:r>
    </w:p>
  </w:footnote>
  <w:footnote w:id="2">
    <w:p w14:paraId="2CC76287" w14:textId="77777777" w:rsidR="00506478" w:rsidRPr="009B38F9" w:rsidRDefault="00506478" w:rsidP="00506478">
      <w:pPr>
        <w:pStyle w:val="Textodenotaderodap"/>
        <w:spacing w:before="0" w:after="0"/>
        <w:ind w:left="142" w:hanging="142"/>
        <w:rPr>
          <w:rFonts w:cs="Arial"/>
          <w:sz w:val="18"/>
          <w:szCs w:val="18"/>
        </w:rPr>
      </w:pPr>
      <w:r w:rsidRPr="009B38F9">
        <w:rPr>
          <w:rStyle w:val="Refdenotaderodap"/>
          <w:rFonts w:cs="Arial"/>
          <w:sz w:val="18"/>
          <w:szCs w:val="18"/>
        </w:rPr>
        <w:footnoteRef/>
      </w:r>
      <w:r w:rsidRPr="009B38F9">
        <w:rPr>
          <w:rFonts w:cs="Arial"/>
          <w:sz w:val="18"/>
          <w:szCs w:val="18"/>
        </w:rPr>
        <w:t xml:space="preserve"> </w:t>
      </w:r>
      <w:r w:rsidRPr="009B38F9">
        <w:rPr>
          <w:rFonts w:cs="Arial"/>
          <w:b/>
          <w:bCs/>
          <w:sz w:val="18"/>
          <w:szCs w:val="18"/>
        </w:rPr>
        <w:t>Art. 151-A.</w:t>
      </w:r>
      <w:r w:rsidRPr="009B38F9">
        <w:rPr>
          <w:rFonts w:cs="Arial"/>
          <w:sz w:val="18"/>
          <w:szCs w:val="18"/>
        </w:rPr>
        <w:t xml:space="preserve"> São atribuições da Coordenadoria-Geral de Fiscalização, com relação às Coordenadorias: (Incluído pela Resolução n° 64/2018)</w:t>
      </w:r>
    </w:p>
    <w:p w14:paraId="781BA118" w14:textId="77777777" w:rsidR="00506478" w:rsidRPr="009B38F9" w:rsidRDefault="00506478" w:rsidP="00506478">
      <w:pPr>
        <w:pStyle w:val="Textodenotaderodap"/>
        <w:spacing w:before="0" w:after="0"/>
        <w:ind w:left="142"/>
        <w:rPr>
          <w:rFonts w:cs="Arial"/>
          <w:sz w:val="18"/>
          <w:szCs w:val="18"/>
        </w:rPr>
      </w:pPr>
      <w:r w:rsidRPr="009B38F9">
        <w:rPr>
          <w:rFonts w:cs="Arial"/>
          <w:sz w:val="18"/>
          <w:szCs w:val="18"/>
        </w:rPr>
        <w:t xml:space="preserve">IX - </w:t>
      </w:r>
      <w:proofErr w:type="gramStart"/>
      <w:r w:rsidRPr="009B38F9">
        <w:rPr>
          <w:rFonts w:cs="Arial"/>
          <w:sz w:val="18"/>
          <w:szCs w:val="18"/>
        </w:rPr>
        <w:t>expedir</w:t>
      </w:r>
      <w:proofErr w:type="gramEnd"/>
      <w:r w:rsidRPr="009B38F9">
        <w:rPr>
          <w:rFonts w:cs="Arial"/>
          <w:sz w:val="18"/>
          <w:szCs w:val="18"/>
        </w:rPr>
        <w:t xml:space="preserve"> notas técnicas para o público externo, acerca da fiscalização, e instruções de serviços, acerca da forma de realização das fiscalizações; (Redação dada pela Resolução nº 73/2019)</w:t>
      </w:r>
    </w:p>
    <w:p w14:paraId="56FFFD91" w14:textId="77777777" w:rsidR="00506478" w:rsidRPr="009B38F9" w:rsidRDefault="00506478" w:rsidP="00506478">
      <w:pPr>
        <w:pStyle w:val="Textodenotaderodap"/>
        <w:spacing w:before="0" w:after="0"/>
        <w:ind w:left="142"/>
        <w:rPr>
          <w:rFonts w:cs="Arial"/>
          <w:sz w:val="18"/>
          <w:szCs w:val="18"/>
        </w:rPr>
      </w:pPr>
      <w:r w:rsidRPr="009B38F9">
        <w:rPr>
          <w:rFonts w:cs="Arial"/>
          <w:b/>
          <w:sz w:val="18"/>
          <w:szCs w:val="18"/>
        </w:rPr>
        <w:t>Art. 217-A.</w:t>
      </w:r>
      <w:r w:rsidRPr="009B38F9">
        <w:rPr>
          <w:rFonts w:cs="Arial"/>
          <w:sz w:val="18"/>
          <w:szCs w:val="18"/>
        </w:rPr>
        <w:t xml:space="preserve"> </w:t>
      </w:r>
      <w:r w:rsidRPr="009B38F9">
        <w:rPr>
          <w:rFonts w:eastAsia="Arial" w:cs="Arial"/>
          <w:sz w:val="18"/>
          <w:szCs w:val="18"/>
        </w:rPr>
        <w:t>O parecer prévio conterá, além do relatório e da apreciação dos aspectos orçamentários, contábeis, financeiros e patrimoniais, com a indicação da recomendação de regularidade, regularidade com ressalvas ou irregularidade das contas, a avaliação objetiva e sistemática das políticas públicas que compuserem a instrução dos autos, nos termos do escopo previsto na instrução normativa vigente. (Redação dada pela Resolução 95/2022, sendo aplicável, apenas, aos processos de prestação de contas anuais dos Chefes de Poder Executivo referentes aos exercícios financeiros de 2022 e seguintes)</w:t>
      </w:r>
    </w:p>
  </w:footnote>
  <w:footnote w:id="3">
    <w:p w14:paraId="35AF9A97" w14:textId="77777777" w:rsidR="00506478" w:rsidRPr="009B38F9" w:rsidRDefault="00506478" w:rsidP="00506478">
      <w:pPr>
        <w:spacing w:before="0" w:after="0"/>
        <w:ind w:left="142" w:hanging="142"/>
        <w:rPr>
          <w:rFonts w:eastAsia="Arial" w:cs="Arial"/>
          <w:sz w:val="18"/>
          <w:szCs w:val="18"/>
        </w:rPr>
      </w:pPr>
      <w:r w:rsidRPr="009B38F9">
        <w:rPr>
          <w:rStyle w:val="Refdenotaderodap"/>
          <w:rFonts w:cs="Arial"/>
          <w:sz w:val="18"/>
          <w:szCs w:val="18"/>
        </w:rPr>
        <w:footnoteRef/>
      </w:r>
      <w:r w:rsidRPr="009B38F9">
        <w:rPr>
          <w:rFonts w:cs="Arial"/>
          <w:sz w:val="18"/>
          <w:szCs w:val="18"/>
        </w:rPr>
        <w:t xml:space="preserve"> </w:t>
      </w:r>
      <w:r w:rsidRPr="009B38F9">
        <w:rPr>
          <w:rFonts w:eastAsia="Arial" w:cs="Arial"/>
          <w:b/>
          <w:bCs/>
          <w:sz w:val="18"/>
          <w:szCs w:val="18"/>
        </w:rPr>
        <w:t xml:space="preserve">Art. 7º </w:t>
      </w:r>
      <w:r w:rsidRPr="009B38F9">
        <w:rPr>
          <w:rFonts w:eastAsia="Arial" w:cs="Arial"/>
          <w:sz w:val="18"/>
          <w:szCs w:val="18"/>
        </w:rPr>
        <w:t>Os formulários previstos no inciso II do art. 5º subsidiarão a avaliação do grau de implementação de políticas públicas.</w:t>
      </w:r>
    </w:p>
    <w:p w14:paraId="2CCA5073" w14:textId="77777777" w:rsidR="00506478" w:rsidRDefault="00506478" w:rsidP="00506478">
      <w:pPr>
        <w:pStyle w:val="Textodenotaderodap"/>
        <w:spacing w:before="0" w:after="0"/>
        <w:ind w:left="142"/>
      </w:pPr>
      <w:r w:rsidRPr="009B38F9">
        <w:rPr>
          <w:rFonts w:eastAsia="Arial" w:cs="Arial"/>
          <w:sz w:val="18"/>
          <w:szCs w:val="18"/>
        </w:rPr>
        <w:t>§ 1º As áreas que serão objeto de avaliação, bem como os demais elementos que compõem os formulários de que trata este artigo, serão definidos em nota técnica, a ser emitida nos termos do inciso IX do art. 151-A do Regimento Interno.</w:t>
      </w:r>
    </w:p>
  </w:footnote>
  <w:footnote w:id="4">
    <w:p w14:paraId="01285507" w14:textId="77777777" w:rsidR="00506478" w:rsidRDefault="00506478" w:rsidP="00506478">
      <w:pPr>
        <w:spacing w:after="0"/>
        <w:ind w:left="142" w:hanging="142"/>
        <w:rPr>
          <w:sz w:val="20"/>
          <w:szCs w:val="18"/>
        </w:rPr>
      </w:pPr>
      <w:r>
        <w:rPr>
          <w:rStyle w:val="Refdenotaderodap"/>
          <w:sz w:val="20"/>
          <w:szCs w:val="18"/>
        </w:rPr>
        <w:footnoteRef/>
      </w:r>
      <w:r>
        <w:rPr>
          <w:sz w:val="20"/>
          <w:szCs w:val="18"/>
        </w:rPr>
        <w:t xml:space="preserve"> De modo exemplificativo, esclarece-se que o formulário da área de saúde será respondido, cumulativamente, pelo gestor municipal da área (Secretário Municipal de Saúde ou cargo equivalente); pelo(s) coordenador(es) de unidade básica de saúde municipal e pelo(s) farmacêutico(s) responsável(</w:t>
      </w:r>
      <w:proofErr w:type="spellStart"/>
      <w:r>
        <w:rPr>
          <w:sz w:val="20"/>
          <w:szCs w:val="18"/>
        </w:rPr>
        <w:t>is</w:t>
      </w:r>
      <w:proofErr w:type="spellEnd"/>
      <w:r>
        <w:rPr>
          <w:sz w:val="20"/>
          <w:szCs w:val="18"/>
        </w:rPr>
        <w:t>) pela dispensação de medicamentos da atenção básica.</w:t>
      </w:r>
    </w:p>
    <w:p w14:paraId="0352A837" w14:textId="77777777" w:rsidR="00506478" w:rsidRDefault="00506478" w:rsidP="0050647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0214" w14:textId="77777777" w:rsidR="00506478" w:rsidRDefault="00506478" w:rsidP="00542356">
    <w:pPr>
      <w:tabs>
        <w:tab w:val="center" w:pos="4252"/>
        <w:tab w:val="right" w:pos="8504"/>
      </w:tabs>
      <w:spacing w:before="480"/>
      <w:ind w:left="1134"/>
      <w:jc w:val="center"/>
      <w:rPr>
        <w:rFonts w:cs="Arial"/>
        <w:b/>
        <w:sz w:val="30"/>
        <w:szCs w:val="3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AAE457" wp14:editId="7206D57D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5" name="Imagem 5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cs="Arial"/>
        <w:b/>
        <w:sz w:val="30"/>
        <w:szCs w:val="30"/>
      </w:rPr>
      <w:t>TRIBUNAL DE CONTAS DO ESTADO DO PARANÁ</w:t>
    </w:r>
  </w:p>
  <w:p w14:paraId="08B86BCE" w14:textId="77777777" w:rsidR="00506478" w:rsidRPr="0015661A" w:rsidRDefault="00506478" w:rsidP="00542356">
    <w:pPr>
      <w:tabs>
        <w:tab w:val="center" w:pos="4252"/>
        <w:tab w:val="right" w:pos="8504"/>
      </w:tabs>
      <w:ind w:left="1134"/>
      <w:jc w:val="center"/>
      <w:rPr>
        <w:sz w:val="28"/>
        <w:szCs w:val="28"/>
      </w:rPr>
    </w:pPr>
    <w:r w:rsidRPr="0015661A">
      <w:rPr>
        <w:rFonts w:cs="Arial"/>
        <w:b/>
        <w:sz w:val="28"/>
        <w:szCs w:val="28"/>
      </w:rPr>
      <w:t>Coordenadoria-Geral de Fiscalização</w:t>
    </w:r>
  </w:p>
  <w:p w14:paraId="260C8150" w14:textId="77777777" w:rsidR="00506478" w:rsidRDefault="00506478" w:rsidP="0064437C">
    <w:pPr>
      <w:pStyle w:val="Cabealh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70053"/>
    <w:multiLevelType w:val="hybridMultilevel"/>
    <w:tmpl w:val="E496D9B2"/>
    <w:lvl w:ilvl="0" w:tplc="2116AD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78"/>
    <w:rsid w:val="00506478"/>
    <w:rsid w:val="006C6FA9"/>
    <w:rsid w:val="00836D7D"/>
    <w:rsid w:val="0088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B735"/>
  <w15:chartTrackingRefBased/>
  <w15:docId w15:val="{EB4965C1-CCCC-45B1-839D-7FF7BED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478"/>
    <w:pPr>
      <w:spacing w:before="120" w:after="120" w:line="240" w:lineRule="auto"/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06478"/>
    <w:pPr>
      <w:keepNext/>
      <w:spacing w:before="240"/>
      <w:jc w:val="left"/>
      <w:outlineLvl w:val="0"/>
    </w:pPr>
    <w:rPr>
      <w:rFonts w:eastAsia="Times New Roman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478"/>
    <w:rPr>
      <w:rFonts w:ascii="Arial" w:eastAsia="Times New Roman" w:hAnsi="Arial" w:cs="Times New Roman"/>
      <w:b/>
      <w:bCs/>
      <w:kern w:val="32"/>
      <w:sz w:val="24"/>
      <w:szCs w:val="32"/>
    </w:rPr>
  </w:style>
  <w:style w:type="paragraph" w:customStyle="1" w:styleId="Texto">
    <w:name w:val="Texto"/>
    <w:basedOn w:val="Normal"/>
    <w:rsid w:val="0050647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680"/>
    </w:pPr>
    <w:rPr>
      <w:rFonts w:eastAsia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50647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06478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50647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0647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5064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0647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064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478"/>
    <w:rPr>
      <w:rFonts w:ascii="Arial" w:eastAsia="Calibri" w:hAnsi="Arial" w:cs="Times New Roman"/>
      <w:sz w:val="24"/>
    </w:rPr>
  </w:style>
  <w:style w:type="character" w:styleId="Forte">
    <w:name w:val="Strong"/>
    <w:uiPriority w:val="22"/>
    <w:qFormat/>
    <w:rsid w:val="00506478"/>
    <w:rPr>
      <w:rFonts w:ascii="Arial" w:hAnsi="Arial"/>
      <w:b/>
      <w:bCs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conteudo/instrucao-normativa-n-172-de-11-de-julho-de-2022/342097/area/10" TargetMode="External"/><Relationship Id="rId1" Type="http://schemas.openxmlformats.org/officeDocument/2006/relationships/hyperlink" Target="https://www1.tce.pr.gov.br/multimidia/2022/7/pdf/0036697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827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Soria Garcia</dc:creator>
  <cp:keywords/>
  <dc:description/>
  <cp:lastModifiedBy>Alice Soria Garcia</cp:lastModifiedBy>
  <cp:revision>1</cp:revision>
  <dcterms:created xsi:type="dcterms:W3CDTF">2022-08-10T16:00:00Z</dcterms:created>
  <dcterms:modified xsi:type="dcterms:W3CDTF">2022-08-10T16:07:00Z</dcterms:modified>
</cp:coreProperties>
</file>