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46C9" w14:textId="52C1C561" w:rsidR="007D49D2" w:rsidRDefault="007D49D2" w:rsidP="007D49D2">
      <w:pPr>
        <w:spacing w:after="0" w:line="360" w:lineRule="auto"/>
        <w:jc w:val="center"/>
        <w:rPr>
          <w:rFonts w:ascii="Arial" w:hAnsi="Arial" w:cs="Arial"/>
          <w:b/>
          <w:bCs/>
          <w:sz w:val="24"/>
          <w:szCs w:val="24"/>
        </w:rPr>
      </w:pPr>
      <w:r w:rsidRPr="6C77ADD5">
        <w:rPr>
          <w:rFonts w:ascii="Arial" w:hAnsi="Arial" w:cs="Arial"/>
          <w:b/>
          <w:bCs/>
          <w:sz w:val="24"/>
          <w:szCs w:val="24"/>
        </w:rPr>
        <w:t xml:space="preserve">NOTA TÉCNICA Nº </w:t>
      </w:r>
      <w:r w:rsidR="005B13F5">
        <w:rPr>
          <w:rFonts w:ascii="Arial" w:hAnsi="Arial" w:cs="Arial"/>
          <w:b/>
          <w:bCs/>
          <w:sz w:val="24"/>
          <w:szCs w:val="24"/>
        </w:rPr>
        <w:t>18/2022</w:t>
      </w:r>
      <w:r w:rsidRPr="6C77ADD5">
        <w:rPr>
          <w:rFonts w:ascii="Arial" w:hAnsi="Arial" w:cs="Arial"/>
          <w:b/>
          <w:bCs/>
          <w:sz w:val="24"/>
          <w:szCs w:val="24"/>
        </w:rPr>
        <w:t xml:space="preserve"> - CGF/TCEPR</w:t>
      </w:r>
      <w:r w:rsidR="00282D71">
        <w:rPr>
          <w:rFonts w:ascii="Arial" w:hAnsi="Arial" w:cs="Arial"/>
          <w:b/>
          <w:bCs/>
          <w:sz w:val="24"/>
          <w:szCs w:val="24"/>
        </w:rPr>
        <w:t>*</w:t>
      </w:r>
    </w:p>
    <w:p w14:paraId="2F4C7AF1" w14:textId="77777777" w:rsidR="007D49D2" w:rsidRDefault="007D49D2" w:rsidP="007D49D2">
      <w:pPr>
        <w:spacing w:after="0" w:line="360" w:lineRule="auto"/>
        <w:ind w:left="5760"/>
        <w:jc w:val="both"/>
        <w:rPr>
          <w:rFonts w:ascii="Arial" w:hAnsi="Arial" w:cs="Arial"/>
          <w:b/>
          <w:bCs/>
        </w:rPr>
      </w:pPr>
    </w:p>
    <w:p w14:paraId="241534F0" w14:textId="77777777" w:rsidR="007D49D2" w:rsidRDefault="007D49D2" w:rsidP="007D49D2">
      <w:pPr>
        <w:spacing w:after="0" w:line="360" w:lineRule="auto"/>
        <w:ind w:left="5760"/>
        <w:jc w:val="both"/>
        <w:rPr>
          <w:rFonts w:ascii="Arial" w:hAnsi="Arial" w:cs="Arial"/>
          <w:b/>
          <w:bCs/>
        </w:rPr>
      </w:pPr>
    </w:p>
    <w:p w14:paraId="5F889817" w14:textId="47949289" w:rsidR="00BD731D" w:rsidRPr="00A91D3A" w:rsidRDefault="007D49D2" w:rsidP="00D4535E">
      <w:pPr>
        <w:spacing w:line="240" w:lineRule="auto"/>
        <w:ind w:left="5103"/>
        <w:jc w:val="both"/>
        <w:rPr>
          <w:rStyle w:val="fontstyle21"/>
          <w:rFonts w:ascii="Arial" w:hAnsi="Arial" w:cs="Arial"/>
          <w:i/>
          <w:iCs/>
          <w:color w:val="auto"/>
          <w:sz w:val="22"/>
          <w:szCs w:val="22"/>
        </w:rPr>
      </w:pPr>
      <w:r w:rsidRPr="00A91D3A">
        <w:rPr>
          <w:rFonts w:ascii="Arial" w:hAnsi="Arial" w:cs="Arial"/>
          <w:i/>
          <w:iCs/>
        </w:rPr>
        <w:t xml:space="preserve">Dispõe sobre </w:t>
      </w:r>
      <w:r w:rsidR="00BF6D89" w:rsidRPr="00A91D3A">
        <w:rPr>
          <w:rFonts w:ascii="Arial" w:hAnsi="Arial" w:cs="Arial"/>
          <w:i/>
          <w:iCs/>
        </w:rPr>
        <w:t xml:space="preserve">a </w:t>
      </w:r>
      <w:r w:rsidR="00BD731D" w:rsidRPr="00A91D3A">
        <w:rPr>
          <w:rStyle w:val="fontstyle21"/>
          <w:rFonts w:ascii="Arial" w:hAnsi="Arial" w:cs="Arial"/>
          <w:i/>
          <w:iCs/>
          <w:color w:val="auto"/>
          <w:sz w:val="22"/>
          <w:szCs w:val="22"/>
        </w:rPr>
        <w:t>transposição de saldos financeiros dos Contratos de Gestão nos sistemas SIT e SEI</w:t>
      </w:r>
      <w:r w:rsidR="006363AE" w:rsidRPr="00A91D3A">
        <w:rPr>
          <w:rStyle w:val="fontstyle21"/>
          <w:rFonts w:ascii="Arial" w:hAnsi="Arial" w:cs="Arial"/>
          <w:i/>
          <w:iCs/>
          <w:color w:val="auto"/>
          <w:sz w:val="22"/>
          <w:szCs w:val="22"/>
        </w:rPr>
        <w:t xml:space="preserve"> – CED </w:t>
      </w:r>
      <w:r w:rsidR="00BD731D" w:rsidRPr="00A91D3A">
        <w:rPr>
          <w:rStyle w:val="fontstyle21"/>
          <w:rFonts w:ascii="Arial" w:hAnsi="Arial" w:cs="Arial"/>
          <w:i/>
          <w:iCs/>
          <w:color w:val="auto"/>
          <w:sz w:val="22"/>
          <w:szCs w:val="22"/>
        </w:rPr>
        <w:t xml:space="preserve">para atender </w:t>
      </w:r>
      <w:r w:rsidR="007C4AB4" w:rsidRPr="00A91D3A">
        <w:rPr>
          <w:rStyle w:val="fontstyle21"/>
          <w:rFonts w:ascii="Arial" w:hAnsi="Arial" w:cs="Arial"/>
          <w:i/>
          <w:iCs/>
          <w:color w:val="auto"/>
          <w:sz w:val="22"/>
          <w:szCs w:val="22"/>
        </w:rPr>
        <w:t>a</w:t>
      </w:r>
      <w:r w:rsidR="00BD731D" w:rsidRPr="00A91D3A">
        <w:rPr>
          <w:rStyle w:val="fontstyle21"/>
          <w:rFonts w:ascii="Arial" w:hAnsi="Arial" w:cs="Arial"/>
          <w:i/>
          <w:iCs/>
          <w:color w:val="auto"/>
          <w:sz w:val="22"/>
          <w:szCs w:val="22"/>
        </w:rPr>
        <w:t>o Prejulgado 30.</w:t>
      </w:r>
    </w:p>
    <w:p w14:paraId="5C9C964E" w14:textId="163F9428" w:rsidR="007D49D2" w:rsidRDefault="00BD731D" w:rsidP="00BD731D">
      <w:pPr>
        <w:spacing w:after="0" w:line="240" w:lineRule="auto"/>
        <w:ind w:left="4950"/>
        <w:jc w:val="both"/>
        <w:rPr>
          <w:rFonts w:ascii="Arial" w:hAnsi="Arial" w:cs="Arial"/>
        </w:rPr>
      </w:pPr>
      <w:r w:rsidRPr="00725B4D">
        <w:rPr>
          <w:rFonts w:ascii="Arial" w:hAnsi="Arial" w:cs="Arial"/>
          <w:color w:val="000000"/>
        </w:rPr>
        <w:br/>
      </w:r>
    </w:p>
    <w:p w14:paraId="7E3F143C" w14:textId="77777777" w:rsidR="007D49D2" w:rsidRDefault="007D49D2" w:rsidP="007D49D2">
      <w:pPr>
        <w:spacing w:after="0" w:line="360" w:lineRule="auto"/>
        <w:ind w:left="4950"/>
        <w:jc w:val="both"/>
        <w:rPr>
          <w:rFonts w:ascii="Arial" w:hAnsi="Arial" w:cs="Arial"/>
          <w:b/>
          <w:bCs/>
        </w:rPr>
      </w:pPr>
    </w:p>
    <w:p w14:paraId="54F84332" w14:textId="77777777" w:rsidR="007D49D2" w:rsidRDefault="007D49D2" w:rsidP="007D49D2">
      <w:pPr>
        <w:spacing w:after="0" w:line="360" w:lineRule="auto"/>
        <w:ind w:left="4950"/>
        <w:jc w:val="both"/>
        <w:rPr>
          <w:rFonts w:ascii="Arial" w:hAnsi="Arial" w:cs="Arial"/>
          <w:b/>
          <w:bCs/>
        </w:rPr>
      </w:pPr>
    </w:p>
    <w:p w14:paraId="5336C9AD" w14:textId="3E4B28E4" w:rsidR="007D49D2" w:rsidRDefault="007D49D2" w:rsidP="00A91D3A">
      <w:pPr>
        <w:spacing w:after="0" w:line="240" w:lineRule="auto"/>
        <w:ind w:firstLine="1797"/>
        <w:jc w:val="both"/>
        <w:rPr>
          <w:rFonts w:ascii="Arial" w:hAnsi="Arial" w:cs="Arial"/>
          <w:sz w:val="24"/>
          <w:szCs w:val="24"/>
        </w:rPr>
      </w:pPr>
      <w:r w:rsidRPr="3EED2A0B">
        <w:rPr>
          <w:rFonts w:ascii="Arial" w:hAnsi="Arial" w:cs="Arial"/>
          <w:b/>
          <w:bCs/>
          <w:sz w:val="24"/>
          <w:szCs w:val="24"/>
        </w:rPr>
        <w:t>A COORDENADORIA – GERAL DE FISCALIZAÇÃO (CGF) do TRIBUNAL DE CONTAS DO ESTADO DO PARANÁ (TCEPR)</w:t>
      </w:r>
      <w:r w:rsidRPr="00AF12C8">
        <w:rPr>
          <w:rFonts w:ascii="Arial" w:hAnsi="Arial" w:cs="Arial"/>
          <w:sz w:val="24"/>
          <w:szCs w:val="24"/>
        </w:rPr>
        <w:t>, em observância ao contido no art. 151-A, inciso IX, do Regimento Interno</w:t>
      </w:r>
      <w:r w:rsidR="00E9512E">
        <w:rPr>
          <w:rFonts w:ascii="Arial" w:hAnsi="Arial" w:cs="Arial"/>
          <w:sz w:val="24"/>
          <w:szCs w:val="24"/>
        </w:rPr>
        <w:t xml:space="preserve"> do Tribunal de Contas do Estado do Paraná (RITCEPR)</w:t>
      </w:r>
      <w:r w:rsidR="00E9512E">
        <w:rPr>
          <w:rStyle w:val="Refdenotaderodap"/>
          <w:rFonts w:ascii="Arial" w:hAnsi="Arial" w:cs="Arial"/>
          <w:sz w:val="24"/>
          <w:szCs w:val="24"/>
        </w:rPr>
        <w:footnoteReference w:id="1"/>
      </w:r>
      <w:r w:rsidRPr="00AF12C8">
        <w:rPr>
          <w:rFonts w:ascii="Arial" w:hAnsi="Arial" w:cs="Arial"/>
          <w:sz w:val="24"/>
          <w:szCs w:val="24"/>
        </w:rPr>
        <w:t>, a partir</w:t>
      </w:r>
      <w:r w:rsidR="00BD731D">
        <w:rPr>
          <w:rFonts w:ascii="Arial" w:hAnsi="Arial" w:cs="Arial"/>
          <w:sz w:val="24"/>
          <w:szCs w:val="24"/>
        </w:rPr>
        <w:t xml:space="preserve"> do teor da Ementa do Prejulgado nº 30 do TCEPR</w:t>
      </w:r>
      <w:r w:rsidRPr="00AF12C8">
        <w:rPr>
          <w:rFonts w:ascii="Arial" w:hAnsi="Arial" w:cs="Arial"/>
          <w:sz w:val="24"/>
          <w:szCs w:val="24"/>
        </w:rPr>
        <w:t xml:space="preserve"> apresenta esta </w:t>
      </w:r>
      <w:r w:rsidR="00CA443D">
        <w:rPr>
          <w:rFonts w:ascii="Arial" w:hAnsi="Arial" w:cs="Arial"/>
          <w:sz w:val="24"/>
          <w:szCs w:val="24"/>
        </w:rPr>
        <w:t>Nota</w:t>
      </w:r>
      <w:r w:rsidRPr="00AF12C8">
        <w:rPr>
          <w:rFonts w:ascii="Arial" w:hAnsi="Arial" w:cs="Arial"/>
          <w:sz w:val="24"/>
          <w:szCs w:val="24"/>
        </w:rPr>
        <w:t xml:space="preserve"> </w:t>
      </w:r>
      <w:r w:rsidR="00CA443D">
        <w:rPr>
          <w:rFonts w:ascii="Arial" w:hAnsi="Arial" w:cs="Arial"/>
          <w:sz w:val="24"/>
          <w:szCs w:val="24"/>
        </w:rPr>
        <w:t>T</w:t>
      </w:r>
      <w:r w:rsidRPr="00AF12C8">
        <w:rPr>
          <w:rFonts w:ascii="Arial" w:hAnsi="Arial" w:cs="Arial"/>
          <w:sz w:val="24"/>
          <w:szCs w:val="24"/>
        </w:rPr>
        <w:t>écnica, com o objetivo de</w:t>
      </w:r>
      <w:r w:rsidR="00BD731D">
        <w:rPr>
          <w:rFonts w:ascii="Arial" w:hAnsi="Arial" w:cs="Arial"/>
          <w:sz w:val="24"/>
          <w:szCs w:val="24"/>
        </w:rPr>
        <w:t xml:space="preserve"> externar seu posicionamento a respeito do modo de transposição dos saldos financeiros dos Contratos de Gestão dos Serviços Sociais Autônomos e </w:t>
      </w:r>
      <w:r w:rsidR="00667FA2">
        <w:rPr>
          <w:rFonts w:ascii="Arial" w:hAnsi="Arial" w:cs="Arial"/>
          <w:sz w:val="24"/>
          <w:szCs w:val="24"/>
        </w:rPr>
        <w:t>Fundações Públicas de Direito Privado</w:t>
      </w:r>
      <w:r w:rsidR="00BD731D">
        <w:rPr>
          <w:rFonts w:ascii="Arial" w:hAnsi="Arial" w:cs="Arial"/>
          <w:sz w:val="24"/>
          <w:szCs w:val="24"/>
        </w:rPr>
        <w:t>, no âmbito estadual</w:t>
      </w:r>
      <w:r w:rsidRPr="00AF12C8">
        <w:rPr>
          <w:rFonts w:ascii="Arial" w:hAnsi="Arial" w:cs="Arial"/>
          <w:sz w:val="24"/>
          <w:szCs w:val="24"/>
        </w:rPr>
        <w:t xml:space="preserve">, </w:t>
      </w:r>
      <w:r w:rsidR="00BD731D">
        <w:rPr>
          <w:rFonts w:ascii="Arial" w:hAnsi="Arial" w:cs="Arial"/>
          <w:sz w:val="24"/>
          <w:szCs w:val="24"/>
        </w:rPr>
        <w:t xml:space="preserve">no que concerne à alimentação </w:t>
      </w:r>
      <w:r w:rsidR="00DA1B67">
        <w:rPr>
          <w:rFonts w:ascii="Arial" w:hAnsi="Arial" w:cs="Arial"/>
          <w:sz w:val="24"/>
          <w:szCs w:val="24"/>
        </w:rPr>
        <w:t>desses dados no</w:t>
      </w:r>
      <w:r w:rsidR="00BD731D">
        <w:rPr>
          <w:rFonts w:ascii="Arial" w:hAnsi="Arial" w:cs="Arial"/>
          <w:sz w:val="24"/>
          <w:szCs w:val="24"/>
        </w:rPr>
        <w:t xml:space="preserve"> Sistema Integrado de Transferências (SIT) e</w:t>
      </w:r>
      <w:r w:rsidR="00DA1B67">
        <w:rPr>
          <w:rFonts w:ascii="Arial" w:hAnsi="Arial" w:cs="Arial"/>
          <w:sz w:val="24"/>
          <w:szCs w:val="24"/>
        </w:rPr>
        <w:t xml:space="preserve"> no </w:t>
      </w:r>
      <w:r w:rsidR="00DA1B67" w:rsidRPr="00DA1B67">
        <w:rPr>
          <w:rFonts w:ascii="Arial" w:hAnsi="Arial" w:cs="Arial"/>
          <w:sz w:val="24"/>
          <w:szCs w:val="24"/>
        </w:rPr>
        <w:t>Sistema Estadual de Informações – Captação Eletrônica de Dados (SEI-CED),</w:t>
      </w:r>
      <w:r w:rsidR="00BD731D">
        <w:rPr>
          <w:rFonts w:ascii="Arial" w:hAnsi="Arial" w:cs="Arial"/>
          <w:sz w:val="24"/>
          <w:szCs w:val="24"/>
        </w:rPr>
        <w:t xml:space="preserve"> </w:t>
      </w:r>
      <w:r>
        <w:rPr>
          <w:rFonts w:ascii="Arial" w:hAnsi="Arial" w:cs="Arial"/>
          <w:sz w:val="24"/>
          <w:szCs w:val="24"/>
        </w:rPr>
        <w:t>justificando-o nos termos a seguir.</w:t>
      </w:r>
    </w:p>
    <w:p w14:paraId="77E3DCFE" w14:textId="77777777" w:rsidR="007D49D2" w:rsidRPr="00AF12C8" w:rsidRDefault="007D49D2" w:rsidP="007D49D2">
      <w:pPr>
        <w:spacing w:after="0" w:line="360" w:lineRule="auto"/>
        <w:ind w:firstLine="1701"/>
        <w:jc w:val="both"/>
        <w:rPr>
          <w:rFonts w:ascii="Arial" w:hAnsi="Arial" w:cs="Arial"/>
          <w:sz w:val="24"/>
          <w:szCs w:val="24"/>
        </w:rPr>
      </w:pPr>
    </w:p>
    <w:p w14:paraId="7BA1F2BB" w14:textId="77777777" w:rsidR="007D49D2" w:rsidRPr="00AF12C8" w:rsidRDefault="007D49D2" w:rsidP="007D49D2">
      <w:pPr>
        <w:spacing w:after="0" w:line="360" w:lineRule="auto"/>
        <w:ind w:firstLine="851"/>
        <w:jc w:val="both"/>
        <w:rPr>
          <w:rFonts w:ascii="Arial" w:hAnsi="Arial" w:cs="Arial"/>
          <w:sz w:val="24"/>
          <w:szCs w:val="24"/>
        </w:rPr>
      </w:pPr>
    </w:p>
    <w:p w14:paraId="0EE9F6E2" w14:textId="0C3751F2" w:rsidR="007D49D2" w:rsidRPr="00AF12C8" w:rsidRDefault="007D49D2" w:rsidP="00A91D3A">
      <w:pPr>
        <w:spacing w:after="0" w:line="360" w:lineRule="auto"/>
        <w:jc w:val="center"/>
        <w:rPr>
          <w:rFonts w:ascii="Arial" w:hAnsi="Arial" w:cs="Arial"/>
          <w:b/>
          <w:bCs/>
          <w:sz w:val="24"/>
          <w:szCs w:val="24"/>
        </w:rPr>
      </w:pPr>
      <w:r w:rsidRPr="3EED2A0B">
        <w:rPr>
          <w:rFonts w:ascii="Arial" w:hAnsi="Arial" w:cs="Arial"/>
          <w:b/>
          <w:bCs/>
          <w:sz w:val="24"/>
          <w:szCs w:val="24"/>
        </w:rPr>
        <w:t>INTRODUÇÃO</w:t>
      </w:r>
    </w:p>
    <w:p w14:paraId="40B0F4D3" w14:textId="77777777" w:rsidR="007D49D2" w:rsidRDefault="007D49D2" w:rsidP="00A91D3A">
      <w:pPr>
        <w:spacing w:after="0" w:line="240" w:lineRule="auto"/>
        <w:jc w:val="both"/>
        <w:rPr>
          <w:rFonts w:ascii="Arial" w:hAnsi="Arial" w:cs="Arial"/>
          <w:b/>
          <w:bCs/>
        </w:rPr>
      </w:pPr>
    </w:p>
    <w:p w14:paraId="5FAD0962" w14:textId="56016E81" w:rsidR="007D49D2" w:rsidRPr="00CA443D" w:rsidRDefault="007D49D2" w:rsidP="00A91D3A">
      <w:pPr>
        <w:spacing w:after="0" w:line="240" w:lineRule="auto"/>
        <w:ind w:firstLine="1710"/>
        <w:jc w:val="both"/>
        <w:rPr>
          <w:rFonts w:ascii="Arial" w:hAnsi="Arial" w:cs="Arial"/>
          <w:sz w:val="24"/>
          <w:szCs w:val="24"/>
        </w:rPr>
      </w:pPr>
      <w:r w:rsidRPr="64F248D2">
        <w:rPr>
          <w:rFonts w:ascii="Arial" w:hAnsi="Arial" w:cs="Arial"/>
          <w:sz w:val="24"/>
          <w:szCs w:val="24"/>
        </w:rPr>
        <w:t xml:space="preserve">A presente Nota Técnica visa </w:t>
      </w:r>
      <w:r w:rsidR="00DA1B67">
        <w:rPr>
          <w:rFonts w:ascii="Arial" w:hAnsi="Arial" w:cs="Arial"/>
          <w:sz w:val="24"/>
          <w:szCs w:val="24"/>
        </w:rPr>
        <w:t>destacar</w:t>
      </w:r>
      <w:r w:rsidRPr="64F248D2">
        <w:rPr>
          <w:rFonts w:ascii="Arial" w:hAnsi="Arial" w:cs="Arial"/>
          <w:sz w:val="24"/>
          <w:szCs w:val="24"/>
        </w:rPr>
        <w:t xml:space="preserve"> a necessidade de </w:t>
      </w:r>
      <w:r w:rsidR="00DA1B67">
        <w:rPr>
          <w:rFonts w:ascii="Arial" w:hAnsi="Arial" w:cs="Arial"/>
          <w:sz w:val="24"/>
          <w:szCs w:val="24"/>
        </w:rPr>
        <w:t xml:space="preserve">os Serviços Sociais Autônomos </w:t>
      </w:r>
      <w:r w:rsidR="001050A0">
        <w:rPr>
          <w:rFonts w:ascii="Arial" w:hAnsi="Arial" w:cs="Arial"/>
          <w:sz w:val="24"/>
          <w:szCs w:val="24"/>
        </w:rPr>
        <w:t xml:space="preserve">e </w:t>
      </w:r>
      <w:r w:rsidR="00EA70C3" w:rsidRPr="00EA5B49">
        <w:rPr>
          <w:rFonts w:ascii="Arial" w:hAnsi="Arial" w:cs="Arial"/>
          <w:sz w:val="24"/>
          <w:szCs w:val="24"/>
        </w:rPr>
        <w:t>Fundações Públicas de Direito Privado</w:t>
      </w:r>
      <w:r w:rsidR="001736E7">
        <w:rPr>
          <w:rFonts w:ascii="Arial" w:hAnsi="Arial" w:cs="Arial"/>
          <w:sz w:val="24"/>
          <w:szCs w:val="24"/>
        </w:rPr>
        <w:t>,</w:t>
      </w:r>
      <w:r w:rsidR="00EA70C3" w:rsidRPr="00EA70C3">
        <w:rPr>
          <w:rFonts w:ascii="Arial" w:hAnsi="Arial" w:cs="Arial"/>
          <w:sz w:val="24"/>
          <w:szCs w:val="24"/>
        </w:rPr>
        <w:t xml:space="preserve"> </w:t>
      </w:r>
      <w:r w:rsidR="00DA1B67">
        <w:rPr>
          <w:rFonts w:ascii="Arial" w:hAnsi="Arial" w:cs="Arial"/>
          <w:sz w:val="24"/>
          <w:szCs w:val="24"/>
        </w:rPr>
        <w:t>no âmbito estadual, alimentarem adequadamente os dados relativos aos respectivos Contratos de Gestão</w:t>
      </w:r>
      <w:r w:rsidR="00972769">
        <w:rPr>
          <w:rFonts w:ascii="Arial" w:hAnsi="Arial" w:cs="Arial"/>
          <w:sz w:val="24"/>
          <w:szCs w:val="24"/>
        </w:rPr>
        <w:t xml:space="preserve"> no SIT e no SEI - CED, </w:t>
      </w:r>
      <w:r w:rsidR="00972716">
        <w:rPr>
          <w:rFonts w:ascii="Arial" w:hAnsi="Arial" w:cs="Arial"/>
          <w:sz w:val="24"/>
          <w:szCs w:val="24"/>
        </w:rPr>
        <w:t xml:space="preserve">em razão do que consta </w:t>
      </w:r>
      <w:r w:rsidR="00972769">
        <w:rPr>
          <w:rFonts w:ascii="Arial" w:hAnsi="Arial" w:cs="Arial"/>
          <w:sz w:val="24"/>
          <w:szCs w:val="24"/>
        </w:rPr>
        <w:t xml:space="preserve">determinado </w:t>
      </w:r>
      <w:r w:rsidR="00972716">
        <w:rPr>
          <w:rFonts w:ascii="Arial" w:hAnsi="Arial" w:cs="Arial"/>
          <w:sz w:val="24"/>
          <w:szCs w:val="24"/>
        </w:rPr>
        <w:t>no Enunciado do Prejulgado nº 30 do TCEPR</w:t>
      </w:r>
      <w:r w:rsidR="00972716">
        <w:rPr>
          <w:rStyle w:val="Refdenotaderodap"/>
          <w:rFonts w:ascii="Arial" w:hAnsi="Arial" w:cs="Arial"/>
          <w:sz w:val="24"/>
          <w:szCs w:val="24"/>
        </w:rPr>
        <w:footnoteReference w:id="2"/>
      </w:r>
      <w:r w:rsidR="00972716">
        <w:rPr>
          <w:rFonts w:ascii="Arial" w:hAnsi="Arial" w:cs="Arial"/>
          <w:sz w:val="24"/>
          <w:szCs w:val="24"/>
        </w:rPr>
        <w:t>.</w:t>
      </w:r>
    </w:p>
    <w:p w14:paraId="66E6E47B" w14:textId="5CAD0A21" w:rsidR="00972716" w:rsidRDefault="00972716" w:rsidP="00A91D3A">
      <w:pPr>
        <w:pStyle w:val="texto2"/>
        <w:shd w:val="clear" w:color="auto" w:fill="FFFFFF"/>
        <w:spacing w:before="0" w:beforeAutospacing="0" w:after="0" w:afterAutospacing="0"/>
        <w:ind w:left="1701"/>
        <w:jc w:val="both"/>
        <w:rPr>
          <w:rFonts w:ascii="Arial" w:hAnsi="Arial" w:cs="Arial"/>
          <w:color w:val="000000"/>
        </w:rPr>
      </w:pPr>
    </w:p>
    <w:p w14:paraId="7B286511" w14:textId="735A086F" w:rsidR="00CA73D5" w:rsidRDefault="00CA73D5" w:rsidP="00A91D3A">
      <w:pPr>
        <w:spacing w:after="0" w:line="240" w:lineRule="auto"/>
        <w:ind w:firstLine="1712"/>
        <w:jc w:val="both"/>
        <w:rPr>
          <w:rStyle w:val="normaltextrun"/>
          <w:rFonts w:ascii="Arial" w:hAnsi="Arial" w:cs="Arial"/>
          <w:sz w:val="24"/>
          <w:szCs w:val="24"/>
        </w:rPr>
      </w:pPr>
      <w:r w:rsidRPr="00CA443D">
        <w:rPr>
          <w:rStyle w:val="normaltextrun"/>
          <w:rFonts w:ascii="Arial" w:hAnsi="Arial" w:cs="Arial"/>
          <w:sz w:val="24"/>
          <w:szCs w:val="24"/>
        </w:rPr>
        <w:lastRenderedPageBreak/>
        <w:t>Tal iniciativa da CGF visa</w:t>
      </w:r>
      <w:r>
        <w:rPr>
          <w:rStyle w:val="normaltextrun"/>
          <w:rFonts w:ascii="Arial" w:hAnsi="Arial" w:cs="Arial"/>
          <w:sz w:val="24"/>
          <w:szCs w:val="24"/>
        </w:rPr>
        <w:t xml:space="preserve"> conferir atendimento ao Princípio nº 1 da NBASP</w:t>
      </w:r>
      <w:r>
        <w:rPr>
          <w:rStyle w:val="Refdenotaderodap"/>
          <w:rFonts w:ascii="Arial" w:hAnsi="Arial" w:cs="Arial"/>
          <w:sz w:val="24"/>
          <w:szCs w:val="24"/>
        </w:rPr>
        <w:footnoteReference w:id="3"/>
      </w:r>
      <w:r>
        <w:rPr>
          <w:rStyle w:val="normaltextrun"/>
          <w:rFonts w:ascii="Arial" w:hAnsi="Arial" w:cs="Arial"/>
          <w:sz w:val="24"/>
          <w:szCs w:val="24"/>
        </w:rPr>
        <w:t xml:space="preserve"> 12 – Salvaguarda da independência dos Tribunais de Contas</w:t>
      </w:r>
      <w:r>
        <w:rPr>
          <w:rStyle w:val="Refdenotaderodap"/>
          <w:rFonts w:ascii="Arial" w:hAnsi="Arial" w:cs="Arial"/>
          <w:sz w:val="24"/>
          <w:szCs w:val="24"/>
        </w:rPr>
        <w:footnoteReference w:id="4"/>
      </w:r>
      <w:r>
        <w:rPr>
          <w:rStyle w:val="normaltextrun"/>
          <w:rFonts w:ascii="Arial" w:hAnsi="Arial" w:cs="Arial"/>
          <w:sz w:val="24"/>
          <w:szCs w:val="24"/>
        </w:rPr>
        <w:t xml:space="preserve"> – que tem como uma de suas diretrizes o direito dos Tribunais de Contas</w:t>
      </w:r>
      <w:r w:rsidR="003D55C9">
        <w:rPr>
          <w:rStyle w:val="normaltextrun"/>
          <w:rFonts w:ascii="Arial" w:hAnsi="Arial" w:cs="Arial"/>
          <w:sz w:val="24"/>
          <w:szCs w:val="24"/>
        </w:rPr>
        <w:t xml:space="preserve"> ter</w:t>
      </w:r>
      <w:r>
        <w:rPr>
          <w:rStyle w:val="normaltextrun"/>
          <w:rFonts w:ascii="Arial" w:hAnsi="Arial" w:cs="Arial"/>
          <w:sz w:val="24"/>
          <w:szCs w:val="24"/>
        </w:rPr>
        <w:t xml:space="preserve"> acesso às informações necessárias para o bom desempenho das atividades de controle externo. </w:t>
      </w:r>
    </w:p>
    <w:p w14:paraId="7FF937A4" w14:textId="27542CE0" w:rsidR="000B2A7B" w:rsidRDefault="006E22A0" w:rsidP="00A91D3A">
      <w:pPr>
        <w:spacing w:after="0" w:line="240" w:lineRule="auto"/>
        <w:ind w:firstLine="1712"/>
        <w:jc w:val="both"/>
        <w:rPr>
          <w:rStyle w:val="normaltextrun"/>
          <w:rFonts w:ascii="Arial" w:hAnsi="Arial" w:cs="Arial"/>
          <w:sz w:val="24"/>
          <w:szCs w:val="24"/>
        </w:rPr>
      </w:pPr>
      <w:r>
        <w:rPr>
          <w:rStyle w:val="normaltextrun"/>
          <w:rFonts w:ascii="Arial" w:hAnsi="Arial" w:cs="Arial"/>
          <w:sz w:val="24"/>
          <w:szCs w:val="24"/>
        </w:rPr>
        <w:t>Ainda, a presente Nota Técnica</w:t>
      </w:r>
      <w:r w:rsidR="003D55C9">
        <w:rPr>
          <w:rStyle w:val="normaltextrun"/>
          <w:rFonts w:ascii="Arial" w:hAnsi="Arial" w:cs="Arial"/>
          <w:sz w:val="24"/>
          <w:szCs w:val="24"/>
        </w:rPr>
        <w:t xml:space="preserve"> </w:t>
      </w:r>
      <w:r>
        <w:rPr>
          <w:rStyle w:val="normaltextrun"/>
          <w:rFonts w:ascii="Arial" w:hAnsi="Arial" w:cs="Arial"/>
          <w:sz w:val="24"/>
          <w:szCs w:val="24"/>
        </w:rPr>
        <w:t>busca alinhamento com a Diretriz nº 1 da Carta de Foz do Iguaçu</w:t>
      </w:r>
      <w:r w:rsidR="00830644">
        <w:rPr>
          <w:rStyle w:val="normaltextrun"/>
          <w:rFonts w:ascii="Arial" w:hAnsi="Arial" w:cs="Arial"/>
          <w:sz w:val="24"/>
          <w:szCs w:val="24"/>
        </w:rPr>
        <w:t xml:space="preserve">, firmada no I Congresso Internacional dos Tribunais de Contas, </w:t>
      </w:r>
      <w:r w:rsidR="00D076BF">
        <w:rPr>
          <w:rStyle w:val="normaltextrun"/>
          <w:rFonts w:ascii="Arial" w:hAnsi="Arial" w:cs="Arial"/>
          <w:sz w:val="24"/>
          <w:szCs w:val="24"/>
        </w:rPr>
        <w:t>segundo a qual:</w:t>
      </w:r>
    </w:p>
    <w:p w14:paraId="323AE1BC" w14:textId="77777777" w:rsidR="006B4235" w:rsidRDefault="006B4235" w:rsidP="00A91D3A">
      <w:pPr>
        <w:spacing w:after="0" w:line="240" w:lineRule="auto"/>
        <w:ind w:firstLine="1712"/>
        <w:jc w:val="both"/>
        <w:rPr>
          <w:rStyle w:val="normaltextrun"/>
          <w:rFonts w:ascii="Arial" w:hAnsi="Arial" w:cs="Arial"/>
          <w:sz w:val="24"/>
          <w:szCs w:val="24"/>
        </w:rPr>
      </w:pPr>
    </w:p>
    <w:p w14:paraId="093D0871" w14:textId="41A436DC" w:rsidR="00D624F9" w:rsidRDefault="00D624F9" w:rsidP="006B4235">
      <w:pPr>
        <w:spacing w:after="0" w:line="240" w:lineRule="auto"/>
        <w:ind w:left="1701"/>
        <w:jc w:val="both"/>
        <w:rPr>
          <w:rStyle w:val="normaltextrun"/>
          <w:rFonts w:ascii="Arial" w:hAnsi="Arial" w:cs="Arial"/>
          <w:sz w:val="20"/>
          <w:szCs w:val="20"/>
        </w:rPr>
      </w:pPr>
      <w:r>
        <w:rPr>
          <w:rStyle w:val="normaltextrun"/>
          <w:rFonts w:ascii="Arial" w:hAnsi="Arial" w:cs="Arial"/>
          <w:sz w:val="20"/>
          <w:szCs w:val="20"/>
        </w:rPr>
        <w:t>Diretriz 1 – Aproveitar as oportunidades trazidas pela revolução da informática para aprimorar os seus processos de trabalho e adequá-los às novas demandas sociais</w:t>
      </w:r>
    </w:p>
    <w:p w14:paraId="59C944AE" w14:textId="77777777" w:rsidR="00D624F9" w:rsidRDefault="00D624F9" w:rsidP="006B4235">
      <w:pPr>
        <w:spacing w:after="0" w:line="240" w:lineRule="auto"/>
        <w:ind w:left="1701"/>
        <w:jc w:val="both"/>
        <w:rPr>
          <w:rStyle w:val="normaltextrun"/>
          <w:rFonts w:ascii="Arial" w:hAnsi="Arial" w:cs="Arial"/>
          <w:sz w:val="20"/>
          <w:szCs w:val="20"/>
        </w:rPr>
      </w:pPr>
    </w:p>
    <w:p w14:paraId="59E1A617" w14:textId="5C42C99A" w:rsidR="00D076BF" w:rsidRPr="006B4235" w:rsidRDefault="00D606FA" w:rsidP="006B4235">
      <w:pPr>
        <w:spacing w:after="0" w:line="240" w:lineRule="auto"/>
        <w:ind w:left="1701"/>
        <w:jc w:val="both"/>
        <w:rPr>
          <w:rStyle w:val="normaltextrun"/>
          <w:rFonts w:ascii="Arial" w:hAnsi="Arial" w:cs="Arial"/>
          <w:sz w:val="20"/>
          <w:szCs w:val="20"/>
        </w:rPr>
      </w:pPr>
      <w:r w:rsidRPr="006B4235">
        <w:rPr>
          <w:rStyle w:val="normaltextrun"/>
          <w:rFonts w:ascii="Arial" w:hAnsi="Arial" w:cs="Arial"/>
          <w:sz w:val="20"/>
          <w:szCs w:val="20"/>
        </w:rPr>
        <w:t xml:space="preserve">Os Tribunais de Contas do Brasil devem: </w:t>
      </w:r>
    </w:p>
    <w:p w14:paraId="7346F4D0" w14:textId="1EE70633" w:rsidR="00D606FA" w:rsidRPr="006B4235" w:rsidRDefault="00D606FA" w:rsidP="006B4235">
      <w:pPr>
        <w:spacing w:after="0" w:line="240" w:lineRule="auto"/>
        <w:ind w:left="1701"/>
        <w:jc w:val="both"/>
        <w:rPr>
          <w:rStyle w:val="normaltextrun"/>
          <w:rFonts w:ascii="Arial" w:hAnsi="Arial" w:cs="Arial"/>
          <w:sz w:val="20"/>
          <w:szCs w:val="20"/>
        </w:rPr>
      </w:pPr>
      <w:r w:rsidRPr="006B4235">
        <w:rPr>
          <w:rStyle w:val="normaltextrun"/>
          <w:rFonts w:ascii="Arial" w:hAnsi="Arial" w:cs="Arial"/>
          <w:sz w:val="20"/>
          <w:szCs w:val="20"/>
        </w:rPr>
        <w:t>9. Construir bases de dados adequadas às suas necessidades de fiscalização</w:t>
      </w:r>
      <w:r w:rsidR="00236105" w:rsidRPr="006B4235">
        <w:rPr>
          <w:rStyle w:val="normaltextrun"/>
          <w:rFonts w:ascii="Arial" w:hAnsi="Arial" w:cs="Arial"/>
          <w:sz w:val="20"/>
          <w:szCs w:val="20"/>
        </w:rPr>
        <w:t xml:space="preserve">. Deve-se, por </w:t>
      </w:r>
      <w:r w:rsidR="006B4235" w:rsidRPr="006B4235">
        <w:rPr>
          <w:rStyle w:val="normaltextrun"/>
          <w:rFonts w:ascii="Arial" w:hAnsi="Arial" w:cs="Arial"/>
          <w:sz w:val="20"/>
          <w:szCs w:val="20"/>
        </w:rPr>
        <w:t>um</w:t>
      </w:r>
      <w:r w:rsidR="00236105" w:rsidRPr="006B4235">
        <w:rPr>
          <w:rStyle w:val="normaltextrun"/>
          <w:rFonts w:ascii="Arial" w:hAnsi="Arial" w:cs="Arial"/>
          <w:sz w:val="20"/>
          <w:szCs w:val="20"/>
        </w:rPr>
        <w:t xml:space="preserve"> lado, evitar a coleta de dados como um fim em si mesmo e, por </w:t>
      </w:r>
      <w:r w:rsidR="006B4235" w:rsidRPr="006B4235">
        <w:rPr>
          <w:rStyle w:val="normaltextrun"/>
          <w:rFonts w:ascii="Arial" w:hAnsi="Arial" w:cs="Arial"/>
          <w:sz w:val="20"/>
          <w:szCs w:val="20"/>
        </w:rPr>
        <w:t>outro, buscar a construção de bases estruturadas, integradas e sistêmicas, pensadas a partir de objetivos de fiscalização previamente estabelecidos.</w:t>
      </w:r>
      <w:r w:rsidR="00D624F9">
        <w:rPr>
          <w:rStyle w:val="Refdenotaderodap"/>
          <w:rFonts w:ascii="Arial" w:hAnsi="Arial" w:cs="Arial"/>
          <w:sz w:val="20"/>
          <w:szCs w:val="20"/>
        </w:rPr>
        <w:footnoteReference w:id="5"/>
      </w:r>
    </w:p>
    <w:p w14:paraId="0F404582" w14:textId="77777777" w:rsidR="000B2A7B" w:rsidRDefault="000B2A7B" w:rsidP="00CA73D5">
      <w:pPr>
        <w:spacing w:after="0" w:line="360" w:lineRule="auto"/>
        <w:ind w:firstLine="1710"/>
        <w:jc w:val="both"/>
        <w:rPr>
          <w:rStyle w:val="normaltextrun"/>
          <w:rFonts w:ascii="Arial" w:hAnsi="Arial" w:cs="Arial"/>
          <w:sz w:val="24"/>
          <w:szCs w:val="24"/>
        </w:rPr>
      </w:pPr>
    </w:p>
    <w:p w14:paraId="78C0EE73" w14:textId="77777777" w:rsidR="000C6086" w:rsidRDefault="000B2A7B" w:rsidP="00A91D3A">
      <w:pPr>
        <w:spacing w:after="0" w:line="240" w:lineRule="auto"/>
        <w:ind w:firstLine="1712"/>
        <w:jc w:val="both"/>
        <w:rPr>
          <w:rStyle w:val="normaltextrun"/>
          <w:rFonts w:ascii="Arial" w:hAnsi="Arial" w:cs="Arial"/>
          <w:sz w:val="24"/>
          <w:szCs w:val="24"/>
        </w:rPr>
      </w:pPr>
      <w:r>
        <w:rPr>
          <w:rStyle w:val="normaltextrun"/>
          <w:rFonts w:ascii="Arial" w:hAnsi="Arial" w:cs="Arial"/>
          <w:sz w:val="24"/>
          <w:szCs w:val="24"/>
        </w:rPr>
        <w:t>Por fim,</w:t>
      </w:r>
      <w:r w:rsidR="00CA73D5">
        <w:rPr>
          <w:rStyle w:val="normaltextrun"/>
          <w:rFonts w:ascii="Arial" w:hAnsi="Arial" w:cs="Arial"/>
          <w:sz w:val="24"/>
          <w:szCs w:val="24"/>
        </w:rPr>
        <w:t xml:space="preserve"> </w:t>
      </w:r>
      <w:r>
        <w:rPr>
          <w:rStyle w:val="normaltextrun"/>
          <w:rFonts w:ascii="Arial" w:hAnsi="Arial" w:cs="Arial"/>
          <w:sz w:val="24"/>
          <w:szCs w:val="24"/>
        </w:rPr>
        <w:t xml:space="preserve">a Nota Técnica </w:t>
      </w:r>
      <w:r w:rsidR="00ED44E4">
        <w:rPr>
          <w:rStyle w:val="normaltextrun"/>
          <w:rFonts w:ascii="Arial" w:hAnsi="Arial" w:cs="Arial"/>
          <w:sz w:val="24"/>
          <w:szCs w:val="24"/>
        </w:rPr>
        <w:t>também</w:t>
      </w:r>
      <w:r>
        <w:rPr>
          <w:rStyle w:val="normaltextrun"/>
          <w:rFonts w:ascii="Arial" w:hAnsi="Arial" w:cs="Arial"/>
          <w:sz w:val="24"/>
          <w:szCs w:val="24"/>
        </w:rPr>
        <w:t xml:space="preserve"> con</w:t>
      </w:r>
      <w:r w:rsidR="00ED44E4">
        <w:rPr>
          <w:rStyle w:val="normaltextrun"/>
          <w:rFonts w:ascii="Arial" w:hAnsi="Arial" w:cs="Arial"/>
          <w:sz w:val="24"/>
          <w:szCs w:val="24"/>
        </w:rPr>
        <w:t xml:space="preserve">fere </w:t>
      </w:r>
      <w:r w:rsidR="00F54B1B">
        <w:rPr>
          <w:rStyle w:val="normaltextrun"/>
          <w:rFonts w:ascii="Arial" w:hAnsi="Arial" w:cs="Arial"/>
          <w:sz w:val="24"/>
          <w:szCs w:val="24"/>
        </w:rPr>
        <w:t xml:space="preserve">observância </w:t>
      </w:r>
      <w:r w:rsidR="00CA73D5">
        <w:rPr>
          <w:rStyle w:val="normaltextrun"/>
          <w:rFonts w:ascii="Arial" w:hAnsi="Arial" w:cs="Arial"/>
          <w:sz w:val="24"/>
          <w:szCs w:val="24"/>
        </w:rPr>
        <w:t>ao artigo 30 do Decreto – Lei nº 4.657</w:t>
      </w:r>
      <w:r w:rsidR="000C6086">
        <w:rPr>
          <w:rStyle w:val="normaltextrun"/>
          <w:rFonts w:ascii="Arial" w:hAnsi="Arial" w:cs="Arial"/>
          <w:sz w:val="24"/>
          <w:szCs w:val="24"/>
        </w:rPr>
        <w:t xml:space="preserve">, </w:t>
      </w:r>
      <w:r w:rsidR="003D55C9">
        <w:rPr>
          <w:rStyle w:val="normaltextrun"/>
          <w:rFonts w:ascii="Arial" w:hAnsi="Arial" w:cs="Arial"/>
          <w:sz w:val="24"/>
          <w:szCs w:val="24"/>
        </w:rPr>
        <w:t xml:space="preserve">de 4 de setembro de 1942 – Lei de Introdução às Normas do Direito Brasileiro (LINDB), segundo o qual as </w:t>
      </w:r>
      <w:r w:rsidR="003D55C9" w:rsidRPr="003D55C9">
        <w:rPr>
          <w:rFonts w:ascii="Arial" w:hAnsi="Arial" w:cs="Arial"/>
          <w:i/>
          <w:iCs/>
          <w:sz w:val="24"/>
          <w:szCs w:val="24"/>
        </w:rPr>
        <w:t>autoridades públicas devem atuar para aumentar a segurança jurídica na aplicação das normas, inclusive por meio de regulamentos, súmulas administrativas e respostas a consultas</w:t>
      </w:r>
      <w:r w:rsidR="003D55C9" w:rsidRPr="003D55C9">
        <w:rPr>
          <w:rStyle w:val="normaltextrun"/>
          <w:rFonts w:ascii="Arial" w:hAnsi="Arial" w:cs="Arial"/>
          <w:i/>
          <w:iCs/>
          <w:sz w:val="24"/>
          <w:szCs w:val="24"/>
        </w:rPr>
        <w:t xml:space="preserve"> </w:t>
      </w:r>
      <w:r w:rsidR="001050A0" w:rsidRPr="001050A0">
        <w:rPr>
          <w:rStyle w:val="normaltextrun"/>
          <w:vertAlign w:val="superscript"/>
        </w:rPr>
        <w:footnoteReference w:id="6"/>
      </w:r>
      <w:r w:rsidR="000C6086">
        <w:rPr>
          <w:rStyle w:val="normaltextrun"/>
          <w:rFonts w:ascii="Arial" w:hAnsi="Arial" w:cs="Arial"/>
          <w:sz w:val="24"/>
          <w:szCs w:val="24"/>
        </w:rPr>
        <w:t xml:space="preserve">. </w:t>
      </w:r>
    </w:p>
    <w:p w14:paraId="332A5AEA" w14:textId="16DB6A08" w:rsidR="00CA73D5" w:rsidRPr="001050A0" w:rsidRDefault="000C6086" w:rsidP="00A91D3A">
      <w:pPr>
        <w:spacing w:after="0" w:line="240" w:lineRule="auto"/>
        <w:ind w:firstLine="1712"/>
        <w:jc w:val="both"/>
        <w:rPr>
          <w:rStyle w:val="normaltextrun"/>
          <w:rFonts w:ascii="Arial" w:hAnsi="Arial" w:cs="Arial"/>
          <w:sz w:val="24"/>
          <w:szCs w:val="24"/>
        </w:rPr>
      </w:pPr>
      <w:r>
        <w:rPr>
          <w:rStyle w:val="normaltextrun"/>
          <w:rFonts w:ascii="Arial" w:hAnsi="Arial" w:cs="Arial"/>
          <w:sz w:val="24"/>
          <w:szCs w:val="24"/>
        </w:rPr>
        <w:t xml:space="preserve">Como </w:t>
      </w:r>
      <w:r w:rsidR="00CA73D5" w:rsidRPr="001050A0">
        <w:rPr>
          <w:rStyle w:val="normaltextrun"/>
          <w:rFonts w:ascii="Arial" w:hAnsi="Arial" w:cs="Arial"/>
          <w:sz w:val="24"/>
          <w:szCs w:val="24"/>
        </w:rPr>
        <w:t>as de</w:t>
      </w:r>
      <w:r w:rsidR="00972769">
        <w:rPr>
          <w:rStyle w:val="normaltextrun"/>
          <w:rFonts w:ascii="Arial" w:hAnsi="Arial" w:cs="Arial"/>
          <w:sz w:val="24"/>
          <w:szCs w:val="24"/>
        </w:rPr>
        <w:t>cisões</w:t>
      </w:r>
      <w:r w:rsidR="00CA73D5" w:rsidRPr="001050A0">
        <w:rPr>
          <w:rStyle w:val="normaltextrun"/>
          <w:rFonts w:ascii="Arial" w:hAnsi="Arial" w:cs="Arial"/>
          <w:sz w:val="24"/>
          <w:szCs w:val="24"/>
        </w:rPr>
        <w:t xml:space="preserve"> provenientes de Incidentes de Prejulgado, por força do disposto no artigo 79 da Lei Complementar nº 113, de 15 de dezembro de 2005 – Lei Orgânica do Tribunal de Contas do Estado do Paraná (LOTCEPR)</w:t>
      </w:r>
      <w:r w:rsidR="00CA73D5" w:rsidRPr="001050A0">
        <w:rPr>
          <w:rStyle w:val="normaltextrun"/>
          <w:rFonts w:ascii="Arial" w:hAnsi="Arial" w:cs="Arial"/>
          <w:sz w:val="24"/>
          <w:szCs w:val="24"/>
          <w:vertAlign w:val="superscript"/>
        </w:rPr>
        <w:footnoteReference w:id="7"/>
      </w:r>
      <w:r w:rsidR="00CA73D5" w:rsidRPr="001050A0">
        <w:rPr>
          <w:rStyle w:val="normaltextrun"/>
          <w:rFonts w:ascii="Arial" w:hAnsi="Arial" w:cs="Arial"/>
          <w:sz w:val="24"/>
          <w:szCs w:val="24"/>
        </w:rPr>
        <w:t xml:space="preserve"> e </w:t>
      </w:r>
      <w:r w:rsidR="003D55C9">
        <w:rPr>
          <w:rStyle w:val="normaltextrun"/>
          <w:rFonts w:ascii="Arial" w:hAnsi="Arial" w:cs="Arial"/>
          <w:sz w:val="24"/>
          <w:szCs w:val="24"/>
        </w:rPr>
        <w:t>no</w:t>
      </w:r>
      <w:r w:rsidR="00CA73D5" w:rsidRPr="001050A0">
        <w:rPr>
          <w:rStyle w:val="normaltextrun"/>
          <w:rFonts w:ascii="Arial" w:hAnsi="Arial" w:cs="Arial"/>
          <w:sz w:val="24"/>
          <w:szCs w:val="24"/>
        </w:rPr>
        <w:t xml:space="preserve"> artigo 410, caput, do Regimento Interno do Tribunal de Contas do Estado do Paraná – RITCEPR</w:t>
      </w:r>
      <w:r w:rsidR="00972769">
        <w:rPr>
          <w:rStyle w:val="Refdenotaderodap"/>
          <w:rFonts w:ascii="Arial" w:hAnsi="Arial" w:cs="Arial"/>
          <w:sz w:val="24"/>
          <w:szCs w:val="24"/>
        </w:rPr>
        <w:footnoteReference w:id="8"/>
      </w:r>
      <w:r w:rsidR="00CA73D5" w:rsidRPr="001050A0">
        <w:rPr>
          <w:rStyle w:val="normaltextrun"/>
          <w:rFonts w:ascii="Arial" w:hAnsi="Arial" w:cs="Arial"/>
          <w:sz w:val="24"/>
          <w:szCs w:val="24"/>
        </w:rPr>
        <w:t xml:space="preserve">, possuem caráter geral e são vinculantes aos </w:t>
      </w:r>
      <w:r w:rsidR="00CA73D5" w:rsidRPr="001050A0">
        <w:rPr>
          <w:rStyle w:val="normaltextrun"/>
          <w:rFonts w:ascii="Arial" w:hAnsi="Arial" w:cs="Arial"/>
          <w:sz w:val="24"/>
          <w:szCs w:val="24"/>
        </w:rPr>
        <w:lastRenderedPageBreak/>
        <w:t>jurisdicionados</w:t>
      </w:r>
      <w:r w:rsidR="00972769">
        <w:rPr>
          <w:rStyle w:val="normaltextrun"/>
          <w:rFonts w:ascii="Arial" w:hAnsi="Arial" w:cs="Arial"/>
          <w:sz w:val="24"/>
          <w:szCs w:val="24"/>
        </w:rPr>
        <w:t xml:space="preserve">, a emissão de Nota Técnica para aplicação adequada do Prejulgado nº 30 dá efetividade ao teor constante de seu Enunciado. </w:t>
      </w:r>
    </w:p>
    <w:p w14:paraId="756A81E8" w14:textId="69E3F57E" w:rsidR="00972716" w:rsidRDefault="00972716" w:rsidP="00972716">
      <w:pPr>
        <w:pStyle w:val="texto2"/>
        <w:shd w:val="clear" w:color="auto" w:fill="FFFFFF"/>
        <w:spacing w:before="0" w:beforeAutospacing="0" w:after="0" w:afterAutospacing="0"/>
        <w:ind w:left="1701"/>
        <w:jc w:val="both"/>
        <w:rPr>
          <w:rFonts w:ascii="Arial" w:hAnsi="Arial" w:cs="Arial"/>
          <w:color w:val="000000"/>
        </w:rPr>
      </w:pPr>
    </w:p>
    <w:p w14:paraId="694DCF58" w14:textId="346A34F7" w:rsidR="00A91D3A" w:rsidRDefault="00A91D3A" w:rsidP="00972716">
      <w:pPr>
        <w:pStyle w:val="texto2"/>
        <w:shd w:val="clear" w:color="auto" w:fill="FFFFFF"/>
        <w:spacing w:before="0" w:beforeAutospacing="0" w:after="0" w:afterAutospacing="0"/>
        <w:ind w:left="1701"/>
        <w:jc w:val="both"/>
        <w:rPr>
          <w:rFonts w:ascii="Arial" w:hAnsi="Arial" w:cs="Arial"/>
          <w:color w:val="000000"/>
        </w:rPr>
      </w:pPr>
    </w:p>
    <w:p w14:paraId="697EAA31" w14:textId="77777777" w:rsidR="00F972DF" w:rsidRPr="00972716" w:rsidRDefault="00F972DF" w:rsidP="00972716">
      <w:pPr>
        <w:pStyle w:val="texto2"/>
        <w:shd w:val="clear" w:color="auto" w:fill="FFFFFF"/>
        <w:spacing w:before="0" w:beforeAutospacing="0" w:after="0" w:afterAutospacing="0"/>
        <w:ind w:left="1701"/>
        <w:jc w:val="both"/>
        <w:rPr>
          <w:rFonts w:ascii="Arial" w:hAnsi="Arial" w:cs="Arial"/>
          <w:color w:val="000000"/>
        </w:rPr>
      </w:pPr>
    </w:p>
    <w:p w14:paraId="2406924E" w14:textId="13B66ABE" w:rsidR="007D49D2" w:rsidRDefault="007D49D2" w:rsidP="00A91D3A">
      <w:pPr>
        <w:spacing w:after="0" w:line="360" w:lineRule="auto"/>
        <w:jc w:val="center"/>
        <w:rPr>
          <w:rFonts w:ascii="Arial" w:hAnsi="Arial" w:cs="Arial"/>
          <w:b/>
          <w:bCs/>
          <w:sz w:val="24"/>
          <w:szCs w:val="24"/>
        </w:rPr>
      </w:pPr>
      <w:r w:rsidRPr="3EED2A0B">
        <w:rPr>
          <w:rFonts w:ascii="Arial" w:hAnsi="Arial" w:cs="Arial"/>
          <w:b/>
          <w:bCs/>
          <w:sz w:val="24"/>
          <w:szCs w:val="24"/>
        </w:rPr>
        <w:t>MOTIVAÇÃO</w:t>
      </w:r>
    </w:p>
    <w:p w14:paraId="5829BC96" w14:textId="77777777" w:rsidR="006D61E9" w:rsidRDefault="006D61E9" w:rsidP="007D49D2">
      <w:pPr>
        <w:spacing w:after="0" w:line="360" w:lineRule="auto"/>
        <w:jc w:val="both"/>
        <w:rPr>
          <w:rFonts w:ascii="Arial" w:hAnsi="Arial" w:cs="Arial"/>
          <w:b/>
          <w:bCs/>
          <w:sz w:val="24"/>
          <w:szCs w:val="24"/>
        </w:rPr>
      </w:pPr>
    </w:p>
    <w:p w14:paraId="11EE4ED8" w14:textId="5EDC8A38" w:rsidR="007D49D2" w:rsidRDefault="00CA73D5" w:rsidP="00CA73D5">
      <w:pPr>
        <w:tabs>
          <w:tab w:val="left" w:pos="1560"/>
        </w:tabs>
        <w:spacing w:after="0" w:line="360" w:lineRule="auto"/>
        <w:jc w:val="both"/>
        <w:rPr>
          <w:rFonts w:ascii="Arial" w:hAnsi="Arial" w:cs="Arial"/>
          <w:sz w:val="24"/>
          <w:szCs w:val="24"/>
        </w:rPr>
      </w:pPr>
      <w:r>
        <w:rPr>
          <w:rFonts w:ascii="Arial" w:hAnsi="Arial" w:cs="Arial"/>
          <w:b/>
          <w:bCs/>
          <w:sz w:val="24"/>
          <w:szCs w:val="24"/>
        </w:rPr>
        <w:tab/>
      </w:r>
      <w:r w:rsidR="007D49D2" w:rsidRPr="6D9E6B41">
        <w:rPr>
          <w:rFonts w:ascii="Arial" w:hAnsi="Arial" w:cs="Arial"/>
          <w:sz w:val="24"/>
          <w:szCs w:val="24"/>
        </w:rPr>
        <w:t xml:space="preserve"> </w:t>
      </w:r>
      <w:r w:rsidR="006D61E9">
        <w:rPr>
          <w:rFonts w:ascii="Arial" w:hAnsi="Arial" w:cs="Arial"/>
          <w:sz w:val="24"/>
          <w:szCs w:val="24"/>
        </w:rPr>
        <w:t>Diz a Ementa</w:t>
      </w:r>
      <w:r w:rsidR="00AB4363">
        <w:rPr>
          <w:rFonts w:ascii="Arial" w:hAnsi="Arial" w:cs="Arial"/>
          <w:sz w:val="24"/>
          <w:szCs w:val="24"/>
        </w:rPr>
        <w:t xml:space="preserve"> do Prejulgado nº 30: </w:t>
      </w:r>
    </w:p>
    <w:p w14:paraId="2039E1F5" w14:textId="77777777" w:rsidR="0013277E"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 xml:space="preserve">I - A prestação de contas dos repasses efetuados pela Administração Pública </w:t>
      </w:r>
    </w:p>
    <w:p w14:paraId="679E38C9" w14:textId="77777777" w:rsidR="0013277E"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 xml:space="preserve">Municipal ou Estadual a Organizações Sociais, Serviços Sociais Autônomos, </w:t>
      </w:r>
    </w:p>
    <w:p w14:paraId="3BF56D7B" w14:textId="77777777" w:rsidR="0013277E"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 xml:space="preserve">Fundações Públicas de Direito Privado e demais entidades da Administração </w:t>
      </w:r>
    </w:p>
    <w:p w14:paraId="0A575D5B" w14:textId="6A7E58F3" w:rsidR="0013277E"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 xml:space="preserve">Indireta em decorrência da formalização de Contrato de Gestão ou instrumento similar, com transferência de recursos, deverá incluir dados pormenorizados referentes à execução do instrumento; </w:t>
      </w:r>
    </w:p>
    <w:p w14:paraId="3AA7258E" w14:textId="04B6F3E5" w:rsidR="0013277E" w:rsidRPr="005E2AA4" w:rsidRDefault="0013277E" w:rsidP="0013277E">
      <w:pPr>
        <w:spacing w:after="0" w:line="240" w:lineRule="auto"/>
        <w:ind w:left="1701"/>
        <w:jc w:val="both"/>
        <w:rPr>
          <w:rFonts w:ascii="Arial" w:hAnsi="Arial" w:cs="Arial"/>
          <w:b/>
          <w:bCs/>
          <w:sz w:val="20"/>
          <w:szCs w:val="20"/>
        </w:rPr>
      </w:pPr>
      <w:r w:rsidRPr="005E2AA4">
        <w:rPr>
          <w:rFonts w:ascii="Arial" w:hAnsi="Arial" w:cs="Arial"/>
          <w:b/>
          <w:bCs/>
          <w:sz w:val="20"/>
          <w:szCs w:val="20"/>
        </w:rPr>
        <w:t>II - os dados referentes à execução dos Contratos de Gestão com Serviços Sociais Autônomos e Fundações Públicas de Direito Privado na esfera Estadual serão informados no sistema SEI-CED e no SIAP, ou naquele(s) que venha(m) substituí-lo(s); (exigível a partir do exercício de 2023 – entendimento dado pelo Acórdão 3499/21)</w:t>
      </w:r>
    </w:p>
    <w:p w14:paraId="235C82F5" w14:textId="4ECA3C87" w:rsidR="0013277E"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 xml:space="preserve">III - os dados referentes à execução dos Contratos de Gestão com Serviços Sociais Autônomos e Fundações Públicas de Direito Privado na esfera Municipal serão informados no SIT, até que sejam disponibilizados no SIM-AM os módulos apropriados de captação de dados; </w:t>
      </w:r>
    </w:p>
    <w:p w14:paraId="61D1F8AE" w14:textId="36D9981F" w:rsidR="0013277E"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 xml:space="preserve">IV - quando houver envio de dados da folha de pagamento ao SIAP em decorrência de Contrato de Gestão, não será necessária a discriminação da </w:t>
      </w:r>
    </w:p>
    <w:p w14:paraId="4F3E050D" w14:textId="77777777" w:rsidR="0013277E"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 xml:space="preserve">folha na prestação de contas do SIT (ou naquele que venha substituí-lo); </w:t>
      </w:r>
    </w:p>
    <w:p w14:paraId="19549566" w14:textId="77777777" w:rsidR="0013277E"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 xml:space="preserve">V - os Serviços Sociais Autônomos municipais e estaduais e as entidades da </w:t>
      </w:r>
    </w:p>
    <w:p w14:paraId="1C0C7CDB" w14:textId="54ADA51E" w:rsidR="0013277E"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 xml:space="preserve">Administração Indireta continuarão a apresentar as Prestações de Contas Anuais, sem prejuízo da prestação de contas da execução dos Contratos de </w:t>
      </w:r>
    </w:p>
    <w:p w14:paraId="261EA950" w14:textId="77777777" w:rsidR="0013277E"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 xml:space="preserve">Gestão; </w:t>
      </w:r>
    </w:p>
    <w:p w14:paraId="01522E0B" w14:textId="77777777" w:rsidR="0013277E"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 xml:space="preserve">VI - as prestações de contas de todos os Contratos de Gestão firmados com </w:t>
      </w:r>
    </w:p>
    <w:p w14:paraId="668F02E4" w14:textId="7145255A" w:rsidR="00AB4363" w:rsidRPr="0013277E" w:rsidRDefault="0013277E" w:rsidP="0013277E">
      <w:pPr>
        <w:spacing w:after="0" w:line="240" w:lineRule="auto"/>
        <w:ind w:left="1701"/>
        <w:jc w:val="both"/>
        <w:rPr>
          <w:rFonts w:ascii="Arial" w:hAnsi="Arial" w:cs="Arial"/>
          <w:sz w:val="20"/>
          <w:szCs w:val="20"/>
        </w:rPr>
      </w:pPr>
      <w:r w:rsidRPr="0013277E">
        <w:rPr>
          <w:rFonts w:ascii="Arial" w:hAnsi="Arial" w:cs="Arial"/>
          <w:sz w:val="20"/>
          <w:szCs w:val="20"/>
        </w:rPr>
        <w:t>entidades privadas qualificadas como Organização Social serão apresentadas no SIT ou naquele que venha substituí-lo</w:t>
      </w:r>
      <w:r>
        <w:rPr>
          <w:rFonts w:ascii="Arial" w:hAnsi="Arial" w:cs="Arial"/>
          <w:sz w:val="20"/>
          <w:szCs w:val="20"/>
        </w:rPr>
        <w:t>.</w:t>
      </w:r>
      <w:r w:rsidR="005E2AA4">
        <w:rPr>
          <w:rFonts w:ascii="Arial" w:hAnsi="Arial" w:cs="Arial"/>
          <w:sz w:val="20"/>
          <w:szCs w:val="20"/>
        </w:rPr>
        <w:t xml:space="preserve"> (grifo nosso)</w:t>
      </w:r>
    </w:p>
    <w:p w14:paraId="0F1F7197" w14:textId="77777777" w:rsidR="00AB4363" w:rsidRPr="0013277E" w:rsidRDefault="00AB4363" w:rsidP="0013277E">
      <w:pPr>
        <w:spacing w:after="0" w:line="240" w:lineRule="auto"/>
        <w:ind w:left="1701"/>
        <w:jc w:val="both"/>
        <w:rPr>
          <w:rFonts w:ascii="Arial" w:hAnsi="Arial" w:cs="Arial"/>
          <w:sz w:val="20"/>
          <w:szCs w:val="20"/>
        </w:rPr>
      </w:pPr>
    </w:p>
    <w:p w14:paraId="295DC343" w14:textId="0D18B81C" w:rsidR="005F5160" w:rsidRPr="0013277E" w:rsidRDefault="005F5160" w:rsidP="0013277E">
      <w:pPr>
        <w:spacing w:after="0" w:line="240" w:lineRule="auto"/>
        <w:ind w:left="1701" w:firstLine="1701"/>
        <w:jc w:val="both"/>
        <w:rPr>
          <w:rFonts w:ascii="Arial" w:hAnsi="Arial" w:cs="Arial"/>
          <w:sz w:val="20"/>
          <w:szCs w:val="20"/>
        </w:rPr>
      </w:pPr>
    </w:p>
    <w:p w14:paraId="5195FB2F" w14:textId="456A7868" w:rsidR="005F5160" w:rsidRDefault="006D61E9" w:rsidP="00A91D3A">
      <w:pPr>
        <w:spacing w:after="0" w:line="240" w:lineRule="auto"/>
        <w:ind w:firstLine="1701"/>
        <w:jc w:val="both"/>
        <w:rPr>
          <w:rFonts w:ascii="Arial" w:hAnsi="Arial" w:cs="Arial"/>
          <w:sz w:val="24"/>
          <w:szCs w:val="24"/>
        </w:rPr>
      </w:pPr>
      <w:r>
        <w:rPr>
          <w:rFonts w:ascii="Arial" w:hAnsi="Arial" w:cs="Arial"/>
          <w:sz w:val="24"/>
          <w:szCs w:val="24"/>
        </w:rPr>
        <w:t xml:space="preserve">Por sua vez, </w:t>
      </w:r>
      <w:r w:rsidR="00954F1C">
        <w:rPr>
          <w:rFonts w:ascii="Arial" w:hAnsi="Arial" w:cs="Arial"/>
          <w:sz w:val="24"/>
          <w:szCs w:val="24"/>
        </w:rPr>
        <w:t>as razões de decidir do Acórdão nº 1271/21 – Tribunal Pleno</w:t>
      </w:r>
      <w:r w:rsidR="00954F1C">
        <w:rPr>
          <w:rStyle w:val="Refdenotaderodap"/>
          <w:rFonts w:ascii="Arial" w:hAnsi="Arial" w:cs="Arial"/>
          <w:sz w:val="24"/>
          <w:szCs w:val="24"/>
        </w:rPr>
        <w:footnoteReference w:id="9"/>
      </w:r>
      <w:r w:rsidR="00954F1C">
        <w:rPr>
          <w:rFonts w:ascii="Arial" w:hAnsi="Arial" w:cs="Arial"/>
          <w:sz w:val="24"/>
          <w:szCs w:val="24"/>
        </w:rPr>
        <w:t xml:space="preserve">, que deu origem ao </w:t>
      </w:r>
      <w:r>
        <w:rPr>
          <w:rFonts w:ascii="Arial" w:hAnsi="Arial" w:cs="Arial"/>
          <w:sz w:val="24"/>
          <w:szCs w:val="24"/>
        </w:rPr>
        <w:t xml:space="preserve">Enunciado do </w:t>
      </w:r>
      <w:r w:rsidR="00954F1C">
        <w:rPr>
          <w:rFonts w:ascii="Arial" w:hAnsi="Arial" w:cs="Arial"/>
          <w:sz w:val="24"/>
          <w:szCs w:val="24"/>
        </w:rPr>
        <w:t>Prejulgado nº 30</w:t>
      </w:r>
      <w:r w:rsidR="001050A0">
        <w:rPr>
          <w:rFonts w:ascii="Arial" w:hAnsi="Arial" w:cs="Arial"/>
          <w:sz w:val="24"/>
          <w:szCs w:val="24"/>
        </w:rPr>
        <w:t>,</w:t>
      </w:r>
      <w:r w:rsidR="00226F90">
        <w:rPr>
          <w:rFonts w:ascii="Arial" w:hAnsi="Arial" w:cs="Arial"/>
          <w:sz w:val="24"/>
          <w:szCs w:val="24"/>
        </w:rPr>
        <w:t xml:space="preserve"> apresenta as seguintes considerações</w:t>
      </w:r>
      <w:r>
        <w:rPr>
          <w:rFonts w:ascii="Arial" w:hAnsi="Arial" w:cs="Arial"/>
          <w:sz w:val="24"/>
          <w:szCs w:val="24"/>
        </w:rPr>
        <w:t xml:space="preserve"> quanto à adoção do SEI – CED para a captação de dados referentes à execução dos Contratos de Gestão dos Serviços Sociais Autônomos e</w:t>
      </w:r>
      <w:r w:rsidR="00B856B3">
        <w:rPr>
          <w:rFonts w:ascii="Arial" w:hAnsi="Arial" w:cs="Arial"/>
          <w:sz w:val="24"/>
          <w:szCs w:val="24"/>
        </w:rPr>
        <w:t xml:space="preserve"> das </w:t>
      </w:r>
      <w:r>
        <w:rPr>
          <w:rFonts w:ascii="Arial" w:hAnsi="Arial" w:cs="Arial"/>
          <w:sz w:val="24"/>
          <w:szCs w:val="24"/>
        </w:rPr>
        <w:t xml:space="preserve">Fundações Públicas de Direito Privado: </w:t>
      </w:r>
    </w:p>
    <w:p w14:paraId="3381AAA0" w14:textId="77777777" w:rsidR="006D61E9" w:rsidRDefault="006D61E9" w:rsidP="00A91D3A">
      <w:pPr>
        <w:spacing w:after="0" w:line="240" w:lineRule="auto"/>
        <w:ind w:firstLine="1701"/>
        <w:jc w:val="both"/>
        <w:rPr>
          <w:rFonts w:ascii="Arial" w:hAnsi="Arial" w:cs="Arial"/>
          <w:sz w:val="24"/>
          <w:szCs w:val="24"/>
        </w:rPr>
      </w:pPr>
    </w:p>
    <w:p w14:paraId="091942D4" w14:textId="51F7BB5A" w:rsidR="00226F90" w:rsidRPr="00226F90" w:rsidRDefault="00226F90" w:rsidP="00226F90">
      <w:pPr>
        <w:spacing w:after="0" w:line="240" w:lineRule="auto"/>
        <w:ind w:left="1701"/>
        <w:jc w:val="both"/>
        <w:rPr>
          <w:rFonts w:ascii="Arial" w:hAnsi="Arial" w:cs="Arial"/>
          <w:sz w:val="20"/>
          <w:szCs w:val="20"/>
        </w:rPr>
      </w:pPr>
      <w:r w:rsidRPr="00226F90">
        <w:rPr>
          <w:rFonts w:ascii="Arial" w:hAnsi="Arial" w:cs="Arial"/>
          <w:sz w:val="20"/>
          <w:szCs w:val="20"/>
        </w:rPr>
        <w:t>Para esse efeito, a Gerência do PROFIC ressaltou que as entidades da Administração Indireta Estadual e os Serviços Sociais Autônomos vinculados às estruturas da Administração do Estado do Paraná já prestam contas por meio do Sistema Estadual de Informações – Captação Eletrônica de Dados (SEI-CED), desde a edição da Instrução Normativa nº 93/2013, e que esse sistema, embora não corresponda ao previsto no parágrafo único do art. 227 do Regimento Interno (por não ser sistema dedicado à captação de dados de transferências voluntárias), possibilita o efetivo exercício do controle externo pelas unidades de fiscalização competentes, de modo que não seria razoável exigir o envio dos mesmos dados também ao SIT:</w:t>
      </w:r>
    </w:p>
    <w:p w14:paraId="6F9C9067" w14:textId="77777777" w:rsidR="00226F90" w:rsidRDefault="00226F90" w:rsidP="0053472D">
      <w:pPr>
        <w:spacing w:after="0" w:line="360" w:lineRule="auto"/>
        <w:ind w:firstLine="1701"/>
        <w:jc w:val="both"/>
        <w:rPr>
          <w:rFonts w:ascii="Arial" w:hAnsi="Arial" w:cs="Arial"/>
          <w:sz w:val="24"/>
          <w:szCs w:val="24"/>
        </w:rPr>
      </w:pPr>
    </w:p>
    <w:p w14:paraId="759A4F6C" w14:textId="1302D733" w:rsidR="005F5160" w:rsidRDefault="00537953" w:rsidP="00A91D3A">
      <w:pPr>
        <w:spacing w:after="0" w:line="240" w:lineRule="auto"/>
        <w:ind w:firstLine="1701"/>
        <w:jc w:val="both"/>
        <w:rPr>
          <w:rFonts w:ascii="Arial" w:hAnsi="Arial" w:cs="Arial"/>
          <w:sz w:val="24"/>
          <w:szCs w:val="24"/>
        </w:rPr>
      </w:pPr>
      <w:r>
        <w:rPr>
          <w:rFonts w:ascii="Arial" w:hAnsi="Arial" w:cs="Arial"/>
          <w:sz w:val="24"/>
          <w:szCs w:val="24"/>
        </w:rPr>
        <w:t>Na sequência</w:t>
      </w:r>
      <w:r w:rsidR="003F04A1">
        <w:rPr>
          <w:rFonts w:ascii="Arial" w:hAnsi="Arial" w:cs="Arial"/>
          <w:sz w:val="24"/>
          <w:szCs w:val="24"/>
        </w:rPr>
        <w:t xml:space="preserve">, </w:t>
      </w:r>
      <w:r w:rsidR="00B856B3">
        <w:rPr>
          <w:rFonts w:ascii="Arial" w:hAnsi="Arial" w:cs="Arial"/>
          <w:sz w:val="24"/>
          <w:szCs w:val="24"/>
        </w:rPr>
        <w:t xml:space="preserve">o Acórdão </w:t>
      </w:r>
      <w:r w:rsidR="003F04A1">
        <w:rPr>
          <w:rFonts w:ascii="Arial" w:hAnsi="Arial" w:cs="Arial"/>
          <w:sz w:val="24"/>
          <w:szCs w:val="24"/>
        </w:rPr>
        <w:t>reproduziu</w:t>
      </w:r>
      <w:r>
        <w:rPr>
          <w:rFonts w:ascii="Arial" w:hAnsi="Arial" w:cs="Arial"/>
          <w:sz w:val="24"/>
          <w:szCs w:val="24"/>
        </w:rPr>
        <w:t xml:space="preserve"> </w:t>
      </w:r>
      <w:r w:rsidR="00B856B3">
        <w:rPr>
          <w:rFonts w:ascii="Arial" w:hAnsi="Arial" w:cs="Arial"/>
          <w:sz w:val="24"/>
          <w:szCs w:val="24"/>
        </w:rPr>
        <w:t>a</w:t>
      </w:r>
      <w:r w:rsidR="00434B11">
        <w:rPr>
          <w:rFonts w:ascii="Arial" w:hAnsi="Arial" w:cs="Arial"/>
          <w:sz w:val="24"/>
          <w:szCs w:val="24"/>
        </w:rPr>
        <w:t>s</w:t>
      </w:r>
      <w:r w:rsidR="003F04A1">
        <w:rPr>
          <w:rFonts w:ascii="Arial" w:hAnsi="Arial" w:cs="Arial"/>
          <w:sz w:val="24"/>
          <w:szCs w:val="24"/>
        </w:rPr>
        <w:t xml:space="preserve"> considerações feitas pela Gerência do Programa de Fiscalização de Contratos de Parceria e de Gestão – Profic</w:t>
      </w:r>
      <w:r w:rsidR="009834B8">
        <w:rPr>
          <w:rFonts w:ascii="Arial" w:hAnsi="Arial" w:cs="Arial"/>
          <w:sz w:val="24"/>
          <w:szCs w:val="24"/>
        </w:rPr>
        <w:t xml:space="preserve"> constante na</w:t>
      </w:r>
      <w:r w:rsidR="003F04A1">
        <w:rPr>
          <w:rFonts w:ascii="Arial" w:hAnsi="Arial" w:cs="Arial"/>
          <w:sz w:val="24"/>
          <w:szCs w:val="24"/>
        </w:rPr>
        <w:t xml:space="preserve"> solicitação do Incidente de Prejulgado</w:t>
      </w:r>
      <w:r w:rsidR="003F04A1">
        <w:rPr>
          <w:rStyle w:val="Refdenotaderodap"/>
          <w:rFonts w:ascii="Arial" w:hAnsi="Arial" w:cs="Arial"/>
          <w:sz w:val="24"/>
          <w:szCs w:val="24"/>
        </w:rPr>
        <w:footnoteReference w:id="10"/>
      </w:r>
      <w:r w:rsidR="009834B8">
        <w:rPr>
          <w:rFonts w:ascii="Arial" w:hAnsi="Arial" w:cs="Arial"/>
          <w:sz w:val="24"/>
          <w:szCs w:val="24"/>
        </w:rPr>
        <w:t xml:space="preserve">. Nessa peça de instauração do Incidente, é justificada a </w:t>
      </w:r>
      <w:r w:rsidR="00D67CA7">
        <w:rPr>
          <w:rFonts w:ascii="Arial" w:hAnsi="Arial" w:cs="Arial"/>
          <w:sz w:val="24"/>
          <w:szCs w:val="24"/>
        </w:rPr>
        <w:t xml:space="preserve">necessidade de otimizar a coleta de dados </w:t>
      </w:r>
      <w:r w:rsidR="00836045">
        <w:rPr>
          <w:rFonts w:ascii="Arial" w:hAnsi="Arial" w:cs="Arial"/>
          <w:sz w:val="24"/>
          <w:szCs w:val="24"/>
        </w:rPr>
        <w:t xml:space="preserve">relativa aos Contratos de Gestão, com os seguintes argumentos: </w:t>
      </w:r>
    </w:p>
    <w:p w14:paraId="17CFC19F" w14:textId="77777777" w:rsidR="00B00F5F" w:rsidRDefault="00B00F5F" w:rsidP="0053472D">
      <w:pPr>
        <w:spacing w:after="0" w:line="360" w:lineRule="auto"/>
        <w:ind w:firstLine="1701"/>
        <w:jc w:val="both"/>
        <w:rPr>
          <w:rFonts w:ascii="Arial" w:hAnsi="Arial" w:cs="Arial"/>
          <w:sz w:val="24"/>
          <w:szCs w:val="24"/>
        </w:rPr>
      </w:pPr>
    </w:p>
    <w:p w14:paraId="311A77C6" w14:textId="77777777" w:rsidR="00B00F5F" w:rsidRPr="007853E4" w:rsidRDefault="00B00F5F" w:rsidP="002B529F">
      <w:pPr>
        <w:spacing w:after="0" w:line="240" w:lineRule="auto"/>
        <w:ind w:left="1701"/>
        <w:jc w:val="both"/>
        <w:rPr>
          <w:rFonts w:ascii="Arial" w:hAnsi="Arial" w:cs="Arial"/>
          <w:b/>
          <w:bCs/>
          <w:sz w:val="20"/>
          <w:szCs w:val="20"/>
        </w:rPr>
      </w:pPr>
      <w:r w:rsidRPr="00B00F5F">
        <w:rPr>
          <w:rFonts w:ascii="Arial" w:hAnsi="Arial" w:cs="Arial"/>
          <w:sz w:val="20"/>
          <w:szCs w:val="20"/>
        </w:rPr>
        <w:t xml:space="preserve">68. Os módulos integrantes do SEI-CED abarcam informações sobre dados cadastrais, planejamento e orçamento, contábil, tesouraria, licitação, contratos, patrimônio, controle interno, tributário e obras públicas. </w:t>
      </w:r>
      <w:r w:rsidRPr="007853E4">
        <w:rPr>
          <w:rFonts w:ascii="Arial" w:hAnsi="Arial" w:cs="Arial"/>
          <w:b/>
          <w:bCs/>
          <w:sz w:val="20"/>
          <w:szCs w:val="20"/>
        </w:rPr>
        <w:t xml:space="preserve">O escopo da coleta das informações não está restrito ao instrumento “contrato de gestão” celebrado, mas está ampliado para todas as receitas e despesas realizadas no exercício, evolução patrimonial etc. É possível discriminar cada despesa realizada por tais entidades. </w:t>
      </w:r>
    </w:p>
    <w:p w14:paraId="0FC44759" w14:textId="77777777" w:rsidR="007853E4" w:rsidRDefault="00B00F5F" w:rsidP="002B529F">
      <w:pPr>
        <w:spacing w:after="0" w:line="240" w:lineRule="auto"/>
        <w:ind w:left="1701"/>
        <w:jc w:val="both"/>
        <w:rPr>
          <w:rFonts w:ascii="Arial" w:hAnsi="Arial" w:cs="Arial"/>
          <w:sz w:val="20"/>
          <w:szCs w:val="20"/>
        </w:rPr>
      </w:pPr>
      <w:r w:rsidRPr="00B00F5F">
        <w:rPr>
          <w:rFonts w:ascii="Arial" w:hAnsi="Arial" w:cs="Arial"/>
          <w:sz w:val="20"/>
          <w:szCs w:val="20"/>
        </w:rPr>
        <w:t xml:space="preserve">69. Destaca-se que, para fins de controle de tais instituições – submetidas aos procedimentos de fiscalização das Inspetorias de Controle Externo e da Coordenadoria de Gestão Estadual – </w:t>
      </w:r>
      <w:r w:rsidRPr="0005755D">
        <w:rPr>
          <w:rFonts w:ascii="Arial" w:hAnsi="Arial" w:cs="Arial"/>
          <w:b/>
          <w:bCs/>
          <w:sz w:val="20"/>
          <w:szCs w:val="20"/>
        </w:rPr>
        <w:t>o SEI-CED é a principal ferramenta utilizada e seu uso já está consolidado pelas entidades controladas</w:t>
      </w:r>
      <w:r w:rsidRPr="00B00F5F">
        <w:rPr>
          <w:rFonts w:ascii="Arial" w:hAnsi="Arial" w:cs="Arial"/>
          <w:sz w:val="20"/>
          <w:szCs w:val="20"/>
        </w:rPr>
        <w:t xml:space="preserve">. </w:t>
      </w:r>
    </w:p>
    <w:p w14:paraId="27F4CEA6" w14:textId="0A7A4561" w:rsidR="00B00F5F" w:rsidRDefault="00B00F5F" w:rsidP="002B529F">
      <w:pPr>
        <w:spacing w:after="0" w:line="240" w:lineRule="auto"/>
        <w:ind w:left="1701"/>
        <w:jc w:val="both"/>
        <w:rPr>
          <w:rFonts w:ascii="Arial" w:hAnsi="Arial" w:cs="Arial"/>
          <w:sz w:val="20"/>
          <w:szCs w:val="20"/>
        </w:rPr>
      </w:pPr>
      <w:r w:rsidRPr="00B00F5F">
        <w:rPr>
          <w:rFonts w:ascii="Arial" w:hAnsi="Arial" w:cs="Arial"/>
          <w:sz w:val="20"/>
          <w:szCs w:val="20"/>
        </w:rPr>
        <w:t xml:space="preserve">70. </w:t>
      </w:r>
      <w:r w:rsidRPr="0005755D">
        <w:rPr>
          <w:rFonts w:ascii="Arial" w:hAnsi="Arial" w:cs="Arial"/>
          <w:b/>
          <w:bCs/>
          <w:sz w:val="20"/>
          <w:szCs w:val="20"/>
        </w:rPr>
        <w:t>A imposição de nova obrigação pelo TCE/PR (alimentação de mais um sistema de captação, como o SIT) gera custos adicionais ao controlado e a necessidade de período de adaptação, tendo em vista o volume de dados que são enviados periodicamente ao Tribunal e a necessidade de especificação dos leiautes de remessa de dados.</w:t>
      </w:r>
      <w:r w:rsidRPr="00B00F5F">
        <w:rPr>
          <w:rFonts w:ascii="Arial" w:hAnsi="Arial" w:cs="Arial"/>
          <w:sz w:val="20"/>
          <w:szCs w:val="20"/>
        </w:rPr>
        <w:t xml:space="preserve"> </w:t>
      </w:r>
    </w:p>
    <w:p w14:paraId="0F36453A" w14:textId="77777777" w:rsidR="0053258E" w:rsidRDefault="00B00F5F" w:rsidP="002B529F">
      <w:pPr>
        <w:spacing w:after="0" w:line="240" w:lineRule="auto"/>
        <w:ind w:left="1701"/>
        <w:jc w:val="both"/>
        <w:rPr>
          <w:rFonts w:ascii="Arial" w:hAnsi="Arial" w:cs="Arial"/>
          <w:sz w:val="20"/>
          <w:szCs w:val="20"/>
        </w:rPr>
      </w:pPr>
      <w:r w:rsidRPr="00B00F5F">
        <w:rPr>
          <w:rFonts w:ascii="Arial" w:hAnsi="Arial" w:cs="Arial"/>
          <w:sz w:val="20"/>
          <w:szCs w:val="20"/>
        </w:rPr>
        <w:t>71</w:t>
      </w:r>
      <w:r w:rsidRPr="00DF096F">
        <w:rPr>
          <w:rFonts w:ascii="Arial" w:hAnsi="Arial" w:cs="Arial"/>
          <w:b/>
          <w:bCs/>
          <w:sz w:val="20"/>
          <w:szCs w:val="20"/>
        </w:rPr>
        <w:t>. Em que pese potenciais benefícios que o SIT pode propiciar no âmbito dos contratos de gestão com os serviços sociais autônomos, não é razoável a exigência de um mesmo dado ou informação por meio de sistemas distintos.</w:t>
      </w:r>
      <w:r w:rsidRPr="00B00F5F">
        <w:rPr>
          <w:rFonts w:ascii="Arial" w:hAnsi="Arial" w:cs="Arial"/>
          <w:sz w:val="20"/>
          <w:szCs w:val="20"/>
        </w:rPr>
        <w:t xml:space="preserve"> (...) </w:t>
      </w:r>
    </w:p>
    <w:p w14:paraId="7559D154" w14:textId="13D5FD2B" w:rsidR="00B00F5F" w:rsidRPr="00DF096F" w:rsidRDefault="00B00F5F" w:rsidP="002B529F">
      <w:pPr>
        <w:spacing w:after="0" w:line="240" w:lineRule="auto"/>
        <w:ind w:left="1701"/>
        <w:jc w:val="both"/>
        <w:rPr>
          <w:rFonts w:ascii="Arial" w:hAnsi="Arial" w:cs="Arial"/>
          <w:b/>
          <w:bCs/>
          <w:sz w:val="20"/>
          <w:szCs w:val="20"/>
        </w:rPr>
      </w:pPr>
      <w:r w:rsidRPr="00B00F5F">
        <w:rPr>
          <w:rFonts w:ascii="Arial" w:hAnsi="Arial" w:cs="Arial"/>
          <w:sz w:val="20"/>
          <w:szCs w:val="20"/>
        </w:rPr>
        <w:t xml:space="preserve">73. Considerando isso, e tendo em vista a Diretriz nº 1 da Carta de Foz do Iguaçu firmada no I Congresso Internacional dos Tribunais de Contas, </w:t>
      </w:r>
      <w:r w:rsidRPr="00DF096F">
        <w:rPr>
          <w:rFonts w:ascii="Arial" w:hAnsi="Arial" w:cs="Arial"/>
          <w:b/>
          <w:bCs/>
          <w:sz w:val="20"/>
          <w:szCs w:val="20"/>
        </w:rPr>
        <w:t>não é recomendável a instituição de obrigação que poderá encarecer o próprio contrato de gestão, visto que estaria ocorrendo o envio dos mesmos dados mais de uma vez, em períodos diferentes.</w:t>
      </w:r>
      <w:r w:rsidR="00DF096F">
        <w:rPr>
          <w:rStyle w:val="Refdenotaderodap"/>
          <w:rFonts w:ascii="Arial" w:hAnsi="Arial" w:cs="Arial"/>
          <w:b/>
          <w:bCs/>
          <w:sz w:val="20"/>
          <w:szCs w:val="20"/>
        </w:rPr>
        <w:footnoteReference w:id="11"/>
      </w:r>
    </w:p>
    <w:p w14:paraId="1364CAA6" w14:textId="77777777" w:rsidR="00836045" w:rsidRDefault="00836045" w:rsidP="0053472D">
      <w:pPr>
        <w:spacing w:after="0" w:line="360" w:lineRule="auto"/>
        <w:ind w:firstLine="1701"/>
        <w:jc w:val="both"/>
        <w:rPr>
          <w:rFonts w:ascii="Arial" w:hAnsi="Arial" w:cs="Arial"/>
          <w:sz w:val="24"/>
          <w:szCs w:val="24"/>
        </w:rPr>
      </w:pPr>
    </w:p>
    <w:p w14:paraId="7E381F68" w14:textId="16D0B822" w:rsidR="005F5160" w:rsidRDefault="00394538" w:rsidP="00A91D3A">
      <w:pPr>
        <w:spacing w:after="0" w:line="240" w:lineRule="auto"/>
        <w:ind w:firstLine="1701"/>
        <w:jc w:val="both"/>
        <w:rPr>
          <w:rFonts w:ascii="Arial" w:hAnsi="Arial" w:cs="Arial"/>
          <w:sz w:val="24"/>
          <w:szCs w:val="24"/>
        </w:rPr>
      </w:pPr>
      <w:r>
        <w:rPr>
          <w:rFonts w:ascii="Arial" w:hAnsi="Arial" w:cs="Arial"/>
          <w:sz w:val="24"/>
          <w:szCs w:val="24"/>
        </w:rPr>
        <w:t xml:space="preserve">A partir destas ponderações de ordem pragmática, </w:t>
      </w:r>
      <w:r w:rsidR="000D6A12">
        <w:rPr>
          <w:rFonts w:ascii="Arial" w:hAnsi="Arial" w:cs="Arial"/>
          <w:sz w:val="24"/>
          <w:szCs w:val="24"/>
        </w:rPr>
        <w:t>o Prejulgado nº 30</w:t>
      </w:r>
      <w:r w:rsidR="006D5236">
        <w:rPr>
          <w:rStyle w:val="Refdenotaderodap"/>
          <w:rFonts w:ascii="Arial" w:hAnsi="Arial" w:cs="Arial"/>
          <w:sz w:val="24"/>
          <w:szCs w:val="24"/>
        </w:rPr>
        <w:footnoteReference w:id="12"/>
      </w:r>
      <w:r w:rsidR="000D6A12">
        <w:rPr>
          <w:rFonts w:ascii="Arial" w:hAnsi="Arial" w:cs="Arial"/>
          <w:sz w:val="24"/>
          <w:szCs w:val="24"/>
        </w:rPr>
        <w:t xml:space="preserve"> fixou entendimento </w:t>
      </w:r>
      <w:r w:rsidR="00956531">
        <w:rPr>
          <w:rFonts w:ascii="Arial" w:hAnsi="Arial" w:cs="Arial"/>
          <w:sz w:val="24"/>
          <w:szCs w:val="24"/>
        </w:rPr>
        <w:t xml:space="preserve">de cunho operacional </w:t>
      </w:r>
      <w:r w:rsidR="000D6A12">
        <w:rPr>
          <w:rFonts w:ascii="Arial" w:hAnsi="Arial" w:cs="Arial"/>
          <w:sz w:val="24"/>
          <w:szCs w:val="24"/>
        </w:rPr>
        <w:t xml:space="preserve">segundo o qual os Contratos de Gestão firmados </w:t>
      </w:r>
      <w:r w:rsidR="00BA57A2">
        <w:rPr>
          <w:rFonts w:ascii="Arial" w:hAnsi="Arial" w:cs="Arial"/>
          <w:sz w:val="24"/>
          <w:szCs w:val="24"/>
        </w:rPr>
        <w:t>pelos</w:t>
      </w:r>
      <w:r w:rsidR="000D6A12">
        <w:rPr>
          <w:rFonts w:ascii="Arial" w:hAnsi="Arial" w:cs="Arial"/>
          <w:sz w:val="24"/>
          <w:szCs w:val="24"/>
        </w:rPr>
        <w:t xml:space="preserve"> Serviços Sociais Autônomos e</w:t>
      </w:r>
      <w:r w:rsidR="00BA57A2">
        <w:rPr>
          <w:rFonts w:ascii="Arial" w:hAnsi="Arial" w:cs="Arial"/>
          <w:sz w:val="24"/>
          <w:szCs w:val="24"/>
        </w:rPr>
        <w:t xml:space="preserve"> pelas</w:t>
      </w:r>
      <w:r w:rsidR="00E60E3D">
        <w:rPr>
          <w:rFonts w:ascii="Arial" w:hAnsi="Arial" w:cs="Arial"/>
          <w:sz w:val="24"/>
          <w:szCs w:val="24"/>
        </w:rPr>
        <w:t xml:space="preserve"> Fundações Públicas de Direito Privado </w:t>
      </w:r>
      <w:r w:rsidR="00BA57A2">
        <w:rPr>
          <w:rFonts w:ascii="Arial" w:hAnsi="Arial" w:cs="Arial"/>
          <w:sz w:val="24"/>
          <w:szCs w:val="24"/>
        </w:rPr>
        <w:t>d</w:t>
      </w:r>
      <w:r w:rsidR="000D6A12">
        <w:rPr>
          <w:rFonts w:ascii="Arial" w:hAnsi="Arial" w:cs="Arial"/>
          <w:sz w:val="24"/>
          <w:szCs w:val="24"/>
        </w:rPr>
        <w:t xml:space="preserve">a esfera </w:t>
      </w:r>
      <w:r w:rsidR="00EC72AB">
        <w:rPr>
          <w:rFonts w:ascii="Arial" w:hAnsi="Arial" w:cs="Arial"/>
          <w:sz w:val="24"/>
          <w:szCs w:val="24"/>
        </w:rPr>
        <w:t>estadual deverão</w:t>
      </w:r>
      <w:r w:rsidR="00356E15">
        <w:rPr>
          <w:rFonts w:ascii="Arial" w:hAnsi="Arial" w:cs="Arial"/>
          <w:sz w:val="24"/>
          <w:szCs w:val="24"/>
        </w:rPr>
        <w:t xml:space="preserve"> enviar suas informações </w:t>
      </w:r>
      <w:r w:rsidR="003B222B">
        <w:rPr>
          <w:rFonts w:ascii="Arial" w:hAnsi="Arial" w:cs="Arial"/>
          <w:sz w:val="24"/>
          <w:szCs w:val="24"/>
        </w:rPr>
        <w:t xml:space="preserve">ao TCEPR </w:t>
      </w:r>
      <w:r w:rsidR="00356E15">
        <w:rPr>
          <w:rFonts w:ascii="Arial" w:hAnsi="Arial" w:cs="Arial"/>
          <w:sz w:val="24"/>
          <w:szCs w:val="24"/>
        </w:rPr>
        <w:t xml:space="preserve">exclusivamente </w:t>
      </w:r>
      <w:r w:rsidR="003B222B">
        <w:rPr>
          <w:rFonts w:ascii="Arial" w:hAnsi="Arial" w:cs="Arial"/>
          <w:sz w:val="24"/>
          <w:szCs w:val="24"/>
        </w:rPr>
        <w:t>pelo</w:t>
      </w:r>
      <w:r w:rsidR="00356E15">
        <w:rPr>
          <w:rFonts w:ascii="Arial" w:hAnsi="Arial" w:cs="Arial"/>
          <w:sz w:val="24"/>
          <w:szCs w:val="24"/>
        </w:rPr>
        <w:t xml:space="preserve"> SEI-</w:t>
      </w:r>
      <w:r w:rsidR="00F47CFA">
        <w:rPr>
          <w:rFonts w:ascii="Arial" w:hAnsi="Arial" w:cs="Arial"/>
          <w:sz w:val="24"/>
          <w:szCs w:val="24"/>
        </w:rPr>
        <w:t>CED, a</w:t>
      </w:r>
      <w:r w:rsidR="00253178">
        <w:rPr>
          <w:rFonts w:ascii="Arial" w:hAnsi="Arial" w:cs="Arial"/>
          <w:sz w:val="24"/>
          <w:szCs w:val="24"/>
        </w:rPr>
        <w:t xml:space="preserve"> partir do exercício de 20</w:t>
      </w:r>
      <w:r w:rsidR="00674497">
        <w:rPr>
          <w:rFonts w:ascii="Arial" w:hAnsi="Arial" w:cs="Arial"/>
          <w:sz w:val="24"/>
          <w:szCs w:val="24"/>
        </w:rPr>
        <w:t>23</w:t>
      </w:r>
      <w:r w:rsidR="00BC1831">
        <w:rPr>
          <w:rStyle w:val="Refdenotaderodap"/>
          <w:rFonts w:ascii="Arial" w:hAnsi="Arial" w:cs="Arial"/>
          <w:sz w:val="24"/>
          <w:szCs w:val="24"/>
        </w:rPr>
        <w:footnoteReference w:id="13"/>
      </w:r>
      <w:r w:rsidR="001200B9">
        <w:rPr>
          <w:rFonts w:ascii="Arial" w:hAnsi="Arial" w:cs="Arial"/>
          <w:sz w:val="24"/>
          <w:szCs w:val="24"/>
        </w:rPr>
        <w:t xml:space="preserve">, ou </w:t>
      </w:r>
      <w:r w:rsidR="00F47CFA">
        <w:rPr>
          <w:rFonts w:ascii="Arial" w:hAnsi="Arial" w:cs="Arial"/>
          <w:sz w:val="24"/>
          <w:szCs w:val="24"/>
        </w:rPr>
        <w:t>por</w:t>
      </w:r>
      <w:r w:rsidR="001200B9">
        <w:rPr>
          <w:rFonts w:ascii="Arial" w:hAnsi="Arial" w:cs="Arial"/>
          <w:sz w:val="24"/>
          <w:szCs w:val="24"/>
        </w:rPr>
        <w:t xml:space="preserve"> outro sistema que no futuro o substitua. </w:t>
      </w:r>
    </w:p>
    <w:p w14:paraId="68346E5E" w14:textId="7D90A29B" w:rsidR="00E41EEE" w:rsidRDefault="00C579BF" w:rsidP="00A91D3A">
      <w:pPr>
        <w:spacing w:after="0" w:line="240" w:lineRule="auto"/>
        <w:ind w:firstLine="1701"/>
        <w:jc w:val="both"/>
        <w:rPr>
          <w:rFonts w:ascii="Arial" w:hAnsi="Arial" w:cs="Arial"/>
          <w:sz w:val="24"/>
          <w:szCs w:val="24"/>
        </w:rPr>
      </w:pPr>
      <w:r>
        <w:rPr>
          <w:rFonts w:ascii="Arial" w:hAnsi="Arial" w:cs="Arial"/>
          <w:sz w:val="24"/>
          <w:szCs w:val="24"/>
        </w:rPr>
        <w:t>Portanto</w:t>
      </w:r>
      <w:r w:rsidR="001B3D51">
        <w:rPr>
          <w:rFonts w:ascii="Arial" w:hAnsi="Arial" w:cs="Arial"/>
          <w:sz w:val="24"/>
          <w:szCs w:val="24"/>
        </w:rPr>
        <w:t xml:space="preserve">, </w:t>
      </w:r>
      <w:r>
        <w:rPr>
          <w:rFonts w:ascii="Arial" w:hAnsi="Arial" w:cs="Arial"/>
          <w:sz w:val="24"/>
          <w:szCs w:val="24"/>
        </w:rPr>
        <w:t xml:space="preserve">uma vez </w:t>
      </w:r>
      <w:r w:rsidR="003D156F">
        <w:rPr>
          <w:rFonts w:ascii="Arial" w:hAnsi="Arial" w:cs="Arial"/>
          <w:sz w:val="24"/>
          <w:szCs w:val="24"/>
        </w:rPr>
        <w:t xml:space="preserve">que foram </w:t>
      </w:r>
      <w:r w:rsidR="001B3D51">
        <w:rPr>
          <w:rFonts w:ascii="Arial" w:hAnsi="Arial" w:cs="Arial"/>
          <w:sz w:val="24"/>
          <w:szCs w:val="24"/>
        </w:rPr>
        <w:t>feita</w:t>
      </w:r>
      <w:r w:rsidR="003D156F">
        <w:rPr>
          <w:rFonts w:ascii="Arial" w:hAnsi="Arial" w:cs="Arial"/>
          <w:sz w:val="24"/>
          <w:szCs w:val="24"/>
        </w:rPr>
        <w:t xml:space="preserve">s as </w:t>
      </w:r>
      <w:r w:rsidR="00AF3B86">
        <w:rPr>
          <w:rFonts w:ascii="Arial" w:hAnsi="Arial" w:cs="Arial"/>
          <w:sz w:val="24"/>
          <w:szCs w:val="24"/>
        </w:rPr>
        <w:t>análises</w:t>
      </w:r>
      <w:r w:rsidR="003D156F">
        <w:rPr>
          <w:rFonts w:ascii="Arial" w:hAnsi="Arial" w:cs="Arial"/>
          <w:sz w:val="24"/>
          <w:szCs w:val="24"/>
        </w:rPr>
        <w:t xml:space="preserve"> nos sistemas de recebimento de dados</w:t>
      </w:r>
      <w:r w:rsidR="001B3D51">
        <w:rPr>
          <w:rFonts w:ascii="Arial" w:hAnsi="Arial" w:cs="Arial"/>
          <w:sz w:val="24"/>
          <w:szCs w:val="24"/>
        </w:rPr>
        <w:t xml:space="preserve"> pelas equipes técnicas </w:t>
      </w:r>
      <w:r w:rsidR="009C256F">
        <w:rPr>
          <w:rFonts w:ascii="Arial" w:hAnsi="Arial" w:cs="Arial"/>
          <w:sz w:val="24"/>
          <w:szCs w:val="24"/>
        </w:rPr>
        <w:t>do Tribunal</w:t>
      </w:r>
      <w:r w:rsidR="002F0830">
        <w:rPr>
          <w:rFonts w:ascii="Arial" w:hAnsi="Arial" w:cs="Arial"/>
          <w:sz w:val="24"/>
          <w:szCs w:val="24"/>
        </w:rPr>
        <w:t>, bem como</w:t>
      </w:r>
      <w:r w:rsidR="00F47CFA">
        <w:rPr>
          <w:rFonts w:ascii="Arial" w:hAnsi="Arial" w:cs="Arial"/>
          <w:sz w:val="24"/>
          <w:szCs w:val="24"/>
        </w:rPr>
        <w:t xml:space="preserve"> feitos </w:t>
      </w:r>
      <w:r w:rsidR="003D156F">
        <w:rPr>
          <w:rFonts w:ascii="Arial" w:hAnsi="Arial" w:cs="Arial"/>
          <w:sz w:val="24"/>
          <w:szCs w:val="24"/>
        </w:rPr>
        <w:t xml:space="preserve"> </w:t>
      </w:r>
      <w:r w:rsidR="002F0830">
        <w:rPr>
          <w:rFonts w:ascii="Arial" w:hAnsi="Arial" w:cs="Arial"/>
          <w:sz w:val="24"/>
          <w:szCs w:val="24"/>
        </w:rPr>
        <w:t xml:space="preserve">os testes </w:t>
      </w:r>
      <w:r w:rsidR="004037B8">
        <w:rPr>
          <w:rFonts w:ascii="Arial" w:hAnsi="Arial" w:cs="Arial"/>
          <w:sz w:val="24"/>
          <w:szCs w:val="24"/>
        </w:rPr>
        <w:t>de viabilidade de captação de dados</w:t>
      </w:r>
      <w:r w:rsidR="009C256F">
        <w:rPr>
          <w:rFonts w:ascii="Arial" w:hAnsi="Arial" w:cs="Arial"/>
          <w:sz w:val="24"/>
          <w:szCs w:val="24"/>
        </w:rPr>
        <w:t xml:space="preserve">, via SEI – CED, </w:t>
      </w:r>
      <w:r w:rsidR="00D506E4">
        <w:rPr>
          <w:rFonts w:ascii="Arial" w:hAnsi="Arial" w:cs="Arial"/>
          <w:sz w:val="24"/>
          <w:szCs w:val="24"/>
        </w:rPr>
        <w:t xml:space="preserve"> relativos aos Contratos de Gestão dos Serviços Sociais Autônomos </w:t>
      </w:r>
      <w:r w:rsidR="00804A07">
        <w:rPr>
          <w:rFonts w:ascii="Arial" w:hAnsi="Arial" w:cs="Arial"/>
          <w:sz w:val="24"/>
          <w:szCs w:val="24"/>
        </w:rPr>
        <w:t xml:space="preserve">e Fundações Públicas de </w:t>
      </w:r>
      <w:r w:rsidR="00804A07">
        <w:rPr>
          <w:rFonts w:ascii="Arial" w:hAnsi="Arial" w:cs="Arial"/>
          <w:sz w:val="24"/>
          <w:szCs w:val="24"/>
        </w:rPr>
        <w:lastRenderedPageBreak/>
        <w:t>Direito Privado do âmbito estadual</w:t>
      </w:r>
      <w:r w:rsidR="00B27EDC">
        <w:rPr>
          <w:rFonts w:ascii="Arial" w:hAnsi="Arial" w:cs="Arial"/>
          <w:sz w:val="24"/>
          <w:szCs w:val="24"/>
        </w:rPr>
        <w:t>, surge</w:t>
      </w:r>
      <w:r w:rsidR="00F6780D">
        <w:rPr>
          <w:rFonts w:ascii="Arial" w:hAnsi="Arial" w:cs="Arial"/>
          <w:sz w:val="24"/>
          <w:szCs w:val="24"/>
        </w:rPr>
        <w:t xml:space="preserve"> a necessidade, nesse momento, de</w:t>
      </w:r>
      <w:r w:rsidR="009C256F">
        <w:rPr>
          <w:rFonts w:ascii="Arial" w:hAnsi="Arial" w:cs="Arial"/>
          <w:sz w:val="24"/>
          <w:szCs w:val="24"/>
        </w:rPr>
        <w:t xml:space="preserve"> o Tribunal informar</w:t>
      </w:r>
      <w:r w:rsidR="00F6780D">
        <w:rPr>
          <w:rFonts w:ascii="Arial" w:hAnsi="Arial" w:cs="Arial"/>
          <w:sz w:val="24"/>
          <w:szCs w:val="24"/>
        </w:rPr>
        <w:t xml:space="preserve"> </w:t>
      </w:r>
      <w:r w:rsidR="009C256F">
        <w:rPr>
          <w:rFonts w:ascii="Arial" w:hAnsi="Arial" w:cs="Arial"/>
          <w:sz w:val="24"/>
          <w:szCs w:val="24"/>
        </w:rPr>
        <w:t>à</w:t>
      </w:r>
      <w:r w:rsidR="00F6780D">
        <w:rPr>
          <w:rFonts w:ascii="Arial" w:hAnsi="Arial" w:cs="Arial"/>
          <w:sz w:val="24"/>
          <w:szCs w:val="24"/>
        </w:rPr>
        <w:t xml:space="preserve"> sociedade e </w:t>
      </w:r>
      <w:r w:rsidR="009C256F">
        <w:rPr>
          <w:rFonts w:ascii="Arial" w:hAnsi="Arial" w:cs="Arial"/>
          <w:sz w:val="24"/>
          <w:szCs w:val="24"/>
        </w:rPr>
        <w:t>à</w:t>
      </w:r>
      <w:r w:rsidR="00F6780D">
        <w:rPr>
          <w:rFonts w:ascii="Arial" w:hAnsi="Arial" w:cs="Arial"/>
          <w:sz w:val="24"/>
          <w:szCs w:val="24"/>
        </w:rPr>
        <w:t xml:space="preserve">s entidades </w:t>
      </w:r>
      <w:r w:rsidR="001A0A01">
        <w:rPr>
          <w:rFonts w:ascii="Arial" w:hAnsi="Arial" w:cs="Arial"/>
          <w:sz w:val="24"/>
          <w:szCs w:val="24"/>
        </w:rPr>
        <w:t>interessadas</w:t>
      </w:r>
      <w:r w:rsidR="009C256F">
        <w:rPr>
          <w:rFonts w:ascii="Arial" w:hAnsi="Arial" w:cs="Arial"/>
          <w:sz w:val="24"/>
          <w:szCs w:val="24"/>
        </w:rPr>
        <w:t xml:space="preserve"> qual o </w:t>
      </w:r>
      <w:r w:rsidR="001A0A01">
        <w:rPr>
          <w:rFonts w:ascii="Arial" w:hAnsi="Arial" w:cs="Arial"/>
          <w:sz w:val="24"/>
          <w:szCs w:val="24"/>
        </w:rPr>
        <w:t xml:space="preserve">modo </w:t>
      </w:r>
      <w:r w:rsidR="009C256F">
        <w:rPr>
          <w:rFonts w:ascii="Arial" w:hAnsi="Arial" w:cs="Arial"/>
          <w:sz w:val="24"/>
          <w:szCs w:val="24"/>
        </w:rPr>
        <w:t xml:space="preserve">adequado </w:t>
      </w:r>
      <w:r w:rsidR="001A0A01">
        <w:rPr>
          <w:rFonts w:ascii="Arial" w:hAnsi="Arial" w:cs="Arial"/>
          <w:sz w:val="24"/>
          <w:szCs w:val="24"/>
        </w:rPr>
        <w:t>de</w:t>
      </w:r>
      <w:r w:rsidR="009C256F">
        <w:rPr>
          <w:rFonts w:ascii="Arial" w:hAnsi="Arial" w:cs="Arial"/>
          <w:sz w:val="24"/>
          <w:szCs w:val="24"/>
        </w:rPr>
        <w:t xml:space="preserve"> se realizar a</w:t>
      </w:r>
      <w:r w:rsidR="001A0A01">
        <w:rPr>
          <w:rFonts w:ascii="Arial" w:hAnsi="Arial" w:cs="Arial"/>
          <w:sz w:val="24"/>
          <w:szCs w:val="24"/>
        </w:rPr>
        <w:t xml:space="preserve"> </w:t>
      </w:r>
      <w:r w:rsidR="007C0887">
        <w:rPr>
          <w:rFonts w:ascii="Arial" w:hAnsi="Arial" w:cs="Arial"/>
          <w:sz w:val="24"/>
          <w:szCs w:val="24"/>
        </w:rPr>
        <w:t>transposição dos saldos financeiros dos Contratos de Gestão entre SIT e SEI-CED</w:t>
      </w:r>
      <w:r w:rsidR="00913D6F">
        <w:rPr>
          <w:rFonts w:ascii="Arial" w:hAnsi="Arial" w:cs="Arial"/>
          <w:sz w:val="24"/>
          <w:szCs w:val="24"/>
        </w:rPr>
        <w:t xml:space="preserve">, </w:t>
      </w:r>
      <w:r w:rsidR="00450D0A">
        <w:rPr>
          <w:rFonts w:ascii="Arial" w:hAnsi="Arial" w:cs="Arial"/>
          <w:sz w:val="24"/>
          <w:szCs w:val="24"/>
        </w:rPr>
        <w:t>observando-se</w:t>
      </w:r>
      <w:r w:rsidR="009C256F">
        <w:rPr>
          <w:rFonts w:ascii="Arial" w:hAnsi="Arial" w:cs="Arial"/>
          <w:sz w:val="24"/>
          <w:szCs w:val="24"/>
        </w:rPr>
        <w:t>, para tanto,</w:t>
      </w:r>
      <w:r w:rsidR="00450D0A">
        <w:rPr>
          <w:rFonts w:ascii="Arial" w:hAnsi="Arial" w:cs="Arial"/>
          <w:sz w:val="24"/>
          <w:szCs w:val="24"/>
        </w:rPr>
        <w:t xml:space="preserve"> o regime de competênc</w:t>
      </w:r>
      <w:r w:rsidR="004E1B7E">
        <w:rPr>
          <w:rFonts w:ascii="Arial" w:hAnsi="Arial" w:cs="Arial"/>
          <w:sz w:val="24"/>
          <w:szCs w:val="24"/>
        </w:rPr>
        <w:t>ia pertinente a essas mudanças.</w:t>
      </w:r>
    </w:p>
    <w:p w14:paraId="303F58FB" w14:textId="3B53F810" w:rsidR="0053472D" w:rsidRPr="00820B7C" w:rsidRDefault="00F47CFA" w:rsidP="00F972DF">
      <w:pPr>
        <w:tabs>
          <w:tab w:val="left" w:pos="3585"/>
        </w:tabs>
        <w:spacing w:after="0" w:line="360" w:lineRule="auto"/>
        <w:ind w:firstLine="1701"/>
        <w:jc w:val="both"/>
        <w:rPr>
          <w:rFonts w:ascii="Arial" w:hAnsi="Arial" w:cs="Arial"/>
          <w:b/>
          <w:bCs/>
          <w:sz w:val="24"/>
          <w:szCs w:val="24"/>
        </w:rPr>
      </w:pPr>
      <w:r>
        <w:rPr>
          <w:rFonts w:ascii="Arial" w:hAnsi="Arial" w:cs="Arial"/>
          <w:sz w:val="24"/>
          <w:szCs w:val="24"/>
        </w:rPr>
        <w:tab/>
      </w:r>
      <w:r w:rsidR="0053472D" w:rsidRPr="3EED2A0B">
        <w:rPr>
          <w:rFonts w:ascii="Arial" w:hAnsi="Arial" w:cs="Arial"/>
          <w:b/>
          <w:bCs/>
          <w:sz w:val="24"/>
          <w:szCs w:val="24"/>
        </w:rPr>
        <w:t>CONCLUSÃO</w:t>
      </w:r>
    </w:p>
    <w:p w14:paraId="09454F8E" w14:textId="77777777" w:rsidR="0053472D" w:rsidRDefault="0053472D" w:rsidP="0053472D">
      <w:pPr>
        <w:spacing w:after="0" w:line="360" w:lineRule="auto"/>
        <w:jc w:val="both"/>
        <w:rPr>
          <w:rFonts w:ascii="Arial" w:hAnsi="Arial" w:cs="Arial"/>
          <w:b/>
          <w:bCs/>
        </w:rPr>
      </w:pPr>
    </w:p>
    <w:p w14:paraId="68446C81" w14:textId="227AD40E" w:rsidR="0053472D" w:rsidRDefault="0053472D" w:rsidP="00A91D3A">
      <w:pPr>
        <w:spacing w:after="0" w:line="240" w:lineRule="auto"/>
        <w:ind w:firstLine="1701"/>
        <w:jc w:val="both"/>
        <w:rPr>
          <w:rFonts w:ascii="Arial" w:hAnsi="Arial" w:cs="Arial"/>
          <w:sz w:val="24"/>
          <w:szCs w:val="24"/>
        </w:rPr>
      </w:pPr>
      <w:r w:rsidRPr="00FC287E">
        <w:rPr>
          <w:rFonts w:ascii="Arial" w:hAnsi="Arial" w:cs="Arial"/>
          <w:sz w:val="24"/>
          <w:szCs w:val="24"/>
        </w:rPr>
        <w:t xml:space="preserve">Pelo exposto, em face das observações acima colocadas, </w:t>
      </w:r>
      <w:r w:rsidR="007C59E0">
        <w:rPr>
          <w:rFonts w:ascii="Arial" w:hAnsi="Arial" w:cs="Arial"/>
          <w:sz w:val="24"/>
          <w:szCs w:val="24"/>
        </w:rPr>
        <w:t>em cumprimento ao artigo 151</w:t>
      </w:r>
      <w:r w:rsidR="00D350F5">
        <w:rPr>
          <w:rFonts w:ascii="Arial" w:hAnsi="Arial" w:cs="Arial"/>
          <w:sz w:val="24"/>
          <w:szCs w:val="24"/>
        </w:rPr>
        <w:t>-A, inciso IX, do RITCEPR</w:t>
      </w:r>
      <w:r w:rsidR="00D350F5">
        <w:rPr>
          <w:rStyle w:val="Refdenotaderodap"/>
          <w:rFonts w:ascii="Arial" w:hAnsi="Arial" w:cs="Arial"/>
          <w:sz w:val="24"/>
          <w:szCs w:val="24"/>
        </w:rPr>
        <w:footnoteReference w:id="14"/>
      </w:r>
      <w:r w:rsidR="00AF3B86">
        <w:rPr>
          <w:rFonts w:ascii="Arial" w:hAnsi="Arial" w:cs="Arial"/>
          <w:sz w:val="24"/>
          <w:szCs w:val="24"/>
        </w:rPr>
        <w:t>, atendendo</w:t>
      </w:r>
      <w:r w:rsidR="00207F3A">
        <w:rPr>
          <w:rFonts w:ascii="Arial" w:hAnsi="Arial" w:cs="Arial"/>
          <w:sz w:val="24"/>
          <w:szCs w:val="24"/>
        </w:rPr>
        <w:t xml:space="preserve"> ao que disposto </w:t>
      </w:r>
      <w:r w:rsidR="00D017BA">
        <w:rPr>
          <w:rFonts w:ascii="Arial" w:hAnsi="Arial" w:cs="Arial"/>
          <w:sz w:val="24"/>
          <w:szCs w:val="24"/>
        </w:rPr>
        <w:t xml:space="preserve">no </w:t>
      </w:r>
      <w:r w:rsidR="00C95D11">
        <w:rPr>
          <w:rFonts w:ascii="Arial" w:hAnsi="Arial" w:cs="Arial"/>
          <w:sz w:val="24"/>
          <w:szCs w:val="24"/>
        </w:rPr>
        <w:t xml:space="preserve">inciso III do </w:t>
      </w:r>
      <w:r w:rsidR="00355C32">
        <w:rPr>
          <w:rFonts w:ascii="Arial" w:hAnsi="Arial" w:cs="Arial"/>
          <w:sz w:val="24"/>
          <w:szCs w:val="24"/>
        </w:rPr>
        <w:t>dispositivo do Acórdão nº 1271/21 – TP</w:t>
      </w:r>
      <w:r w:rsidR="00355C32">
        <w:rPr>
          <w:rStyle w:val="Refdenotaderodap"/>
          <w:rFonts w:ascii="Arial" w:hAnsi="Arial" w:cs="Arial"/>
          <w:sz w:val="24"/>
          <w:szCs w:val="24"/>
        </w:rPr>
        <w:footnoteReference w:id="15"/>
      </w:r>
      <w:r w:rsidR="00635512">
        <w:rPr>
          <w:rFonts w:ascii="Arial" w:hAnsi="Arial" w:cs="Arial"/>
          <w:sz w:val="24"/>
          <w:szCs w:val="24"/>
        </w:rPr>
        <w:t xml:space="preserve">, </w:t>
      </w:r>
      <w:r w:rsidR="00685E54">
        <w:rPr>
          <w:rFonts w:ascii="Arial" w:hAnsi="Arial" w:cs="Arial"/>
          <w:sz w:val="24"/>
          <w:szCs w:val="24"/>
        </w:rPr>
        <w:t xml:space="preserve">a fim de que se dê cumprimento ao item </w:t>
      </w:r>
      <w:r w:rsidR="00037CBC">
        <w:rPr>
          <w:rFonts w:ascii="Arial" w:hAnsi="Arial" w:cs="Arial"/>
          <w:sz w:val="24"/>
          <w:szCs w:val="24"/>
        </w:rPr>
        <w:t xml:space="preserve">I.2 do Enunciado do Prejulgado nº 30, </w:t>
      </w:r>
      <w:r w:rsidR="00635512">
        <w:rPr>
          <w:rFonts w:ascii="Arial" w:hAnsi="Arial" w:cs="Arial"/>
          <w:sz w:val="24"/>
          <w:szCs w:val="24"/>
        </w:rPr>
        <w:t>a Coordenadoria – Geral de Fiscalização emite entendimento no sentido de que a transposição dos saldos financeiro</w:t>
      </w:r>
      <w:r w:rsidR="00DC41C7">
        <w:rPr>
          <w:rFonts w:ascii="Arial" w:hAnsi="Arial" w:cs="Arial"/>
          <w:sz w:val="24"/>
          <w:szCs w:val="24"/>
        </w:rPr>
        <w:t>s, entre SIT e SEI-</w:t>
      </w:r>
      <w:r w:rsidR="00151F88">
        <w:rPr>
          <w:rFonts w:ascii="Arial" w:hAnsi="Arial" w:cs="Arial"/>
          <w:sz w:val="24"/>
          <w:szCs w:val="24"/>
        </w:rPr>
        <w:t>CED, dos</w:t>
      </w:r>
      <w:r w:rsidR="00AA79C8">
        <w:rPr>
          <w:rFonts w:ascii="Arial" w:hAnsi="Arial" w:cs="Arial"/>
          <w:sz w:val="24"/>
          <w:szCs w:val="24"/>
        </w:rPr>
        <w:t xml:space="preserve"> Contratos de Gestão dos Serviços Sociais Autônomos e das Fundações Públicas de Direito Privado da esfera estadual </w:t>
      </w:r>
      <w:r w:rsidR="008A4534">
        <w:rPr>
          <w:rFonts w:ascii="Arial" w:hAnsi="Arial" w:cs="Arial"/>
          <w:sz w:val="24"/>
          <w:szCs w:val="24"/>
        </w:rPr>
        <w:t xml:space="preserve">deve ocorrer nos seguintes termos: </w:t>
      </w:r>
    </w:p>
    <w:p w14:paraId="45310BCD" w14:textId="77777777" w:rsidR="002314A9" w:rsidRDefault="002314A9" w:rsidP="00A91D3A">
      <w:pPr>
        <w:spacing w:after="0" w:line="240" w:lineRule="auto"/>
        <w:ind w:firstLine="1701"/>
        <w:jc w:val="both"/>
        <w:rPr>
          <w:rFonts w:ascii="Arial" w:hAnsi="Arial" w:cs="Arial"/>
          <w:sz w:val="24"/>
          <w:szCs w:val="24"/>
        </w:rPr>
      </w:pPr>
    </w:p>
    <w:p w14:paraId="6DA73C4A" w14:textId="343C8AAA" w:rsidR="002314A9" w:rsidRPr="002314A9" w:rsidRDefault="002314A9" w:rsidP="00A91D3A">
      <w:pPr>
        <w:numPr>
          <w:ilvl w:val="0"/>
          <w:numId w:val="1"/>
        </w:numPr>
        <w:spacing w:before="120" w:after="0" w:line="240" w:lineRule="auto"/>
        <w:ind w:left="0" w:firstLine="0"/>
        <w:jc w:val="both"/>
        <w:rPr>
          <w:rStyle w:val="fontstyle01"/>
          <w:rFonts w:ascii="Arial" w:hAnsi="Arial"/>
          <w:b w:val="0"/>
          <w:bCs w:val="0"/>
        </w:rPr>
      </w:pPr>
      <w:r w:rsidRPr="6C77ADD5">
        <w:rPr>
          <w:rStyle w:val="fontstyle01"/>
          <w:rFonts w:ascii="Arial" w:hAnsi="Arial" w:cs="Arial"/>
          <w:b w:val="0"/>
          <w:bCs w:val="0"/>
        </w:rPr>
        <w:t xml:space="preserve">Os registros no </w:t>
      </w:r>
      <w:r w:rsidRPr="6C77ADD5">
        <w:rPr>
          <w:rStyle w:val="fontstyle01"/>
          <w:rFonts w:ascii="Arial" w:hAnsi="Arial"/>
          <w:b w:val="0"/>
          <w:bCs w:val="0"/>
        </w:rPr>
        <w:t>SIT relacionados à movimentação dos s</w:t>
      </w:r>
      <w:r w:rsidRPr="6C77ADD5">
        <w:rPr>
          <w:rStyle w:val="fontstyle01"/>
          <w:rFonts w:ascii="Arial" w:hAnsi="Arial" w:cs="Arial"/>
          <w:b w:val="0"/>
          <w:bCs w:val="0"/>
        </w:rPr>
        <w:t xml:space="preserve">aldos financeiros dos </w:t>
      </w:r>
      <w:r w:rsidR="00AF3B86">
        <w:rPr>
          <w:rStyle w:val="fontstyle01"/>
          <w:rFonts w:ascii="Arial" w:hAnsi="Arial" w:cs="Arial"/>
          <w:b w:val="0"/>
          <w:bCs w:val="0"/>
        </w:rPr>
        <w:t>C</w:t>
      </w:r>
      <w:r w:rsidRPr="6C77ADD5">
        <w:rPr>
          <w:rStyle w:val="fontstyle01"/>
          <w:rFonts w:ascii="Arial" w:hAnsi="Arial" w:cs="Arial"/>
          <w:b w:val="0"/>
          <w:bCs w:val="0"/>
        </w:rPr>
        <w:t xml:space="preserve">ontratos de </w:t>
      </w:r>
      <w:r w:rsidR="00AF3B86">
        <w:rPr>
          <w:rStyle w:val="fontstyle01"/>
          <w:rFonts w:ascii="Arial" w:hAnsi="Arial" w:cs="Arial"/>
          <w:b w:val="0"/>
          <w:bCs w:val="0"/>
        </w:rPr>
        <w:t>G</w:t>
      </w:r>
      <w:r w:rsidRPr="6C77ADD5">
        <w:rPr>
          <w:rStyle w:val="fontstyle01"/>
          <w:rFonts w:ascii="Arial" w:hAnsi="Arial" w:cs="Arial"/>
          <w:b w:val="0"/>
          <w:bCs w:val="0"/>
        </w:rPr>
        <w:t xml:space="preserve">estão dos </w:t>
      </w:r>
      <w:r w:rsidRPr="6C77ADD5">
        <w:rPr>
          <w:rStyle w:val="fontstyle01"/>
          <w:rFonts w:ascii="Arial" w:hAnsi="Arial"/>
          <w:b w:val="0"/>
          <w:bCs w:val="0"/>
        </w:rPr>
        <w:t>Serviços Sociais Autônomos e Fundações Públicas de Direito Privado</w:t>
      </w:r>
      <w:r w:rsidR="00AF3B86">
        <w:rPr>
          <w:rStyle w:val="fontstyle01"/>
          <w:rFonts w:ascii="Arial" w:hAnsi="Arial"/>
          <w:b w:val="0"/>
          <w:bCs w:val="0"/>
        </w:rPr>
        <w:t xml:space="preserve"> do</w:t>
      </w:r>
      <w:r w:rsidRPr="6C77ADD5">
        <w:rPr>
          <w:rStyle w:val="fontstyle01"/>
          <w:rFonts w:ascii="Arial" w:hAnsi="Arial"/>
          <w:b w:val="0"/>
          <w:bCs w:val="0"/>
        </w:rPr>
        <w:t xml:space="preserve"> âmbito estadual, existentes em 31/12/2022, devem </w:t>
      </w:r>
      <w:r w:rsidR="00406331">
        <w:rPr>
          <w:rStyle w:val="fontstyle01"/>
          <w:rFonts w:ascii="Arial" w:hAnsi="Arial"/>
          <w:b w:val="0"/>
          <w:bCs w:val="0"/>
        </w:rPr>
        <w:t>ser feitos</w:t>
      </w:r>
      <w:r w:rsidRPr="6C77ADD5">
        <w:rPr>
          <w:rStyle w:val="fontstyle01"/>
          <w:rFonts w:ascii="Arial" w:hAnsi="Arial"/>
          <w:b w:val="0"/>
          <w:bCs w:val="0"/>
        </w:rPr>
        <w:t xml:space="preserve"> tanto pelo Tomador quanto pelo Concedente dos recursos, </w:t>
      </w:r>
      <w:r w:rsidRPr="6C77ADD5">
        <w:rPr>
          <w:rStyle w:val="fontstyle01"/>
          <w:rFonts w:ascii="Arial" w:hAnsi="Arial"/>
          <w:b w:val="0"/>
          <w:bCs w:val="0"/>
          <w:color w:val="auto"/>
        </w:rPr>
        <w:t xml:space="preserve">nos seguintes moldes: </w:t>
      </w:r>
    </w:p>
    <w:p w14:paraId="43C0D4F6" w14:textId="77777777" w:rsidR="002314A9" w:rsidRPr="002314A9" w:rsidRDefault="002314A9" w:rsidP="00A91D3A">
      <w:pPr>
        <w:pStyle w:val="PargrafodaLista"/>
        <w:numPr>
          <w:ilvl w:val="0"/>
          <w:numId w:val="2"/>
        </w:numPr>
        <w:spacing w:before="120" w:after="0" w:line="240" w:lineRule="auto"/>
        <w:ind w:left="1134" w:hanging="283"/>
        <w:jc w:val="both"/>
        <w:rPr>
          <w:rStyle w:val="fontstyle01"/>
          <w:rFonts w:ascii="Arial" w:hAnsi="Arial"/>
          <w:b w:val="0"/>
          <w:bCs w:val="0"/>
        </w:rPr>
      </w:pPr>
      <w:r w:rsidRPr="002314A9">
        <w:rPr>
          <w:rStyle w:val="fontstyle01"/>
          <w:rFonts w:ascii="Arial" w:hAnsi="Arial" w:cs="Arial"/>
          <w:b w:val="0"/>
          <w:bCs w:val="0"/>
        </w:rPr>
        <w:t>Para o Tomador dos recursos:</w:t>
      </w:r>
    </w:p>
    <w:p w14:paraId="57B6BD27" w14:textId="4FDA68E3" w:rsidR="002314A9" w:rsidRPr="002314A9" w:rsidRDefault="002314A9" w:rsidP="00A91D3A">
      <w:pPr>
        <w:pStyle w:val="PargrafodaLista"/>
        <w:spacing w:before="120" w:after="0" w:line="240" w:lineRule="auto"/>
        <w:ind w:left="1134"/>
        <w:jc w:val="both"/>
        <w:rPr>
          <w:rStyle w:val="fontstyle01"/>
          <w:rFonts w:ascii="Arial" w:hAnsi="Arial"/>
          <w:b w:val="0"/>
          <w:bCs w:val="0"/>
        </w:rPr>
      </w:pPr>
      <w:r w:rsidRPr="002314A9">
        <w:rPr>
          <w:rStyle w:val="fontstyle01"/>
          <w:rFonts w:ascii="Arial" w:hAnsi="Arial" w:cs="Arial"/>
          <w:b w:val="0"/>
          <w:bCs w:val="0"/>
        </w:rPr>
        <w:t xml:space="preserve">i. a transferência relativa ao </w:t>
      </w:r>
      <w:r w:rsidR="00406331">
        <w:rPr>
          <w:rStyle w:val="fontstyle01"/>
          <w:rFonts w:ascii="Arial" w:hAnsi="Arial" w:cs="Arial"/>
          <w:b w:val="0"/>
          <w:bCs w:val="0"/>
        </w:rPr>
        <w:t>C</w:t>
      </w:r>
      <w:r w:rsidRPr="002314A9">
        <w:rPr>
          <w:rStyle w:val="fontstyle01"/>
          <w:rFonts w:ascii="Arial" w:hAnsi="Arial" w:cs="Arial"/>
          <w:b w:val="0"/>
          <w:bCs w:val="0"/>
        </w:rPr>
        <w:t xml:space="preserve">ontrato de </w:t>
      </w:r>
      <w:r w:rsidR="00406331">
        <w:rPr>
          <w:rStyle w:val="fontstyle01"/>
          <w:rFonts w:ascii="Arial" w:hAnsi="Arial" w:cs="Arial"/>
          <w:b w:val="0"/>
          <w:bCs w:val="0"/>
        </w:rPr>
        <w:t>G</w:t>
      </w:r>
      <w:r w:rsidRPr="002314A9">
        <w:rPr>
          <w:rStyle w:val="fontstyle01"/>
          <w:rFonts w:ascii="Arial" w:hAnsi="Arial" w:cs="Arial"/>
          <w:b w:val="0"/>
          <w:bCs w:val="0"/>
        </w:rPr>
        <w:t>estão deverá receber os registros como se estivesse sendo encerrada no último bimestre de 2022;</w:t>
      </w:r>
    </w:p>
    <w:p w14:paraId="18836E91" w14:textId="77777777" w:rsidR="002314A9" w:rsidRPr="002314A9" w:rsidRDefault="002314A9" w:rsidP="00A91D3A">
      <w:pPr>
        <w:pStyle w:val="PargrafodaLista"/>
        <w:spacing w:before="120" w:after="0" w:line="240" w:lineRule="auto"/>
        <w:ind w:left="1134"/>
        <w:jc w:val="both"/>
        <w:rPr>
          <w:rStyle w:val="fontstyle01"/>
          <w:rFonts w:ascii="Arial" w:hAnsi="Arial"/>
          <w:b w:val="0"/>
          <w:bCs w:val="0"/>
        </w:rPr>
      </w:pPr>
      <w:r w:rsidRPr="002314A9">
        <w:rPr>
          <w:rStyle w:val="fontstyle01"/>
          <w:rFonts w:ascii="Arial" w:hAnsi="Arial" w:cs="Arial"/>
          <w:b w:val="0"/>
          <w:bCs w:val="0"/>
        </w:rPr>
        <w:t xml:space="preserve">ii. após informar os dados da execução da transferência e fechar o 6º bimestre de 2022, deverá efetuar o registro da Finalização da transferência; </w:t>
      </w:r>
    </w:p>
    <w:p w14:paraId="05356BA6" w14:textId="77777777" w:rsidR="002314A9" w:rsidRPr="002314A9" w:rsidRDefault="002314A9" w:rsidP="00A91D3A">
      <w:pPr>
        <w:pStyle w:val="PargrafodaLista"/>
        <w:spacing w:before="120" w:after="0" w:line="240" w:lineRule="auto"/>
        <w:ind w:left="1134"/>
        <w:jc w:val="both"/>
        <w:rPr>
          <w:rStyle w:val="fontstyle01"/>
          <w:rFonts w:ascii="Arial" w:hAnsi="Arial"/>
          <w:b w:val="0"/>
          <w:bCs w:val="0"/>
        </w:rPr>
      </w:pPr>
      <w:r w:rsidRPr="002314A9">
        <w:rPr>
          <w:rStyle w:val="fontstyle01"/>
          <w:rFonts w:ascii="Arial" w:hAnsi="Arial" w:cs="Arial"/>
          <w:b w:val="0"/>
          <w:bCs w:val="0"/>
        </w:rPr>
        <w:t>iii. o saldo financeiro deverá permanecer em aberto, pois será registrado no sistema SEI-CED como saldo inicial do contrato de gestão.</w:t>
      </w:r>
    </w:p>
    <w:p w14:paraId="6D6F70E8" w14:textId="77777777" w:rsidR="002314A9" w:rsidRPr="002314A9" w:rsidRDefault="002314A9" w:rsidP="00A91D3A">
      <w:pPr>
        <w:pStyle w:val="PargrafodaLista"/>
        <w:numPr>
          <w:ilvl w:val="0"/>
          <w:numId w:val="2"/>
        </w:numPr>
        <w:spacing w:before="120" w:after="0" w:line="240" w:lineRule="auto"/>
        <w:ind w:left="1134" w:hanging="283"/>
        <w:jc w:val="both"/>
        <w:rPr>
          <w:rStyle w:val="fontstyle01"/>
          <w:rFonts w:ascii="Arial" w:hAnsi="Arial"/>
          <w:b w:val="0"/>
          <w:bCs w:val="0"/>
        </w:rPr>
      </w:pPr>
      <w:r w:rsidRPr="002314A9">
        <w:rPr>
          <w:rStyle w:val="fontstyle01"/>
          <w:rFonts w:ascii="Arial" w:hAnsi="Arial" w:cs="Arial"/>
          <w:b w:val="0"/>
          <w:bCs w:val="0"/>
        </w:rPr>
        <w:t>Para o Concedente dos recursos:</w:t>
      </w:r>
    </w:p>
    <w:p w14:paraId="674B578F" w14:textId="77777777" w:rsidR="002314A9" w:rsidRPr="002314A9" w:rsidRDefault="002314A9" w:rsidP="00A91D3A">
      <w:pPr>
        <w:pStyle w:val="PargrafodaLista"/>
        <w:spacing w:before="120" w:after="0" w:line="240" w:lineRule="auto"/>
        <w:ind w:left="1134"/>
        <w:jc w:val="both"/>
        <w:rPr>
          <w:rStyle w:val="fontstyle01"/>
          <w:rFonts w:ascii="Arial" w:hAnsi="Arial"/>
          <w:b w:val="0"/>
          <w:bCs w:val="0"/>
        </w:rPr>
      </w:pPr>
      <w:r w:rsidRPr="002314A9">
        <w:rPr>
          <w:rStyle w:val="fontstyle01"/>
          <w:rFonts w:ascii="Arial" w:hAnsi="Arial" w:cs="Arial"/>
          <w:b w:val="0"/>
          <w:bCs w:val="0"/>
        </w:rPr>
        <w:t xml:space="preserve">i. após informar os dados da execução da transferência e fechar o 6º bimestre de 2022, deverá efetuar o registro da Finalização da transferência; </w:t>
      </w:r>
    </w:p>
    <w:p w14:paraId="506AFCB6" w14:textId="77777777" w:rsidR="002314A9" w:rsidRPr="002314A9" w:rsidRDefault="002314A9" w:rsidP="00A91D3A">
      <w:pPr>
        <w:pStyle w:val="PargrafodaLista"/>
        <w:spacing w:before="120" w:after="0" w:line="240" w:lineRule="auto"/>
        <w:ind w:left="1134"/>
        <w:jc w:val="both"/>
        <w:rPr>
          <w:rStyle w:val="fontstyle01"/>
          <w:rFonts w:ascii="Arial" w:hAnsi="Arial"/>
          <w:b w:val="0"/>
          <w:bCs w:val="0"/>
        </w:rPr>
      </w:pPr>
      <w:r w:rsidRPr="002314A9">
        <w:rPr>
          <w:rStyle w:val="fontstyle01"/>
          <w:rFonts w:ascii="Arial" w:hAnsi="Arial" w:cs="Arial"/>
          <w:b w:val="0"/>
          <w:bCs w:val="0"/>
        </w:rPr>
        <w:t>ii. o saldo financeiro deverá permanecer em aberto, pois será registrado no sistema SEI-CED como saldo inicial do contrato de gestão;</w:t>
      </w:r>
    </w:p>
    <w:p w14:paraId="336DC44F" w14:textId="4F5ACFB1" w:rsidR="002314A9" w:rsidRPr="002314A9" w:rsidRDefault="002314A9" w:rsidP="00A91D3A">
      <w:pPr>
        <w:pStyle w:val="PargrafodaLista"/>
        <w:spacing w:before="120" w:after="0" w:line="240" w:lineRule="auto"/>
        <w:ind w:left="1134"/>
        <w:jc w:val="both"/>
        <w:rPr>
          <w:rStyle w:val="fontstyle01"/>
          <w:rFonts w:ascii="Arial" w:hAnsi="Arial"/>
          <w:b w:val="0"/>
          <w:bCs w:val="0"/>
        </w:rPr>
      </w:pPr>
      <w:r w:rsidRPr="002314A9">
        <w:rPr>
          <w:rStyle w:val="fontstyle01"/>
          <w:rFonts w:ascii="Arial" w:hAnsi="Arial" w:cs="Arial"/>
          <w:b w:val="0"/>
          <w:bCs w:val="0"/>
        </w:rPr>
        <w:t>iii. antes de proceder com a Finalização, deve-se observar se</w:t>
      </w:r>
      <w:r w:rsidR="00C50A98">
        <w:rPr>
          <w:rStyle w:val="fontstyle01"/>
          <w:rFonts w:ascii="Arial" w:hAnsi="Arial" w:cs="Arial"/>
          <w:b w:val="0"/>
          <w:bCs w:val="0"/>
        </w:rPr>
        <w:t xml:space="preserve"> </w:t>
      </w:r>
      <w:r w:rsidRPr="002314A9">
        <w:rPr>
          <w:rStyle w:val="fontstyle01"/>
          <w:rFonts w:ascii="Arial" w:hAnsi="Arial" w:cs="Arial"/>
          <w:b w:val="0"/>
          <w:bCs w:val="0"/>
        </w:rPr>
        <w:t>os responsáveis pela fiscalização da transferência e pelo controle interno</w:t>
      </w:r>
      <w:r w:rsidR="00C50A98">
        <w:rPr>
          <w:rStyle w:val="fontstyle01"/>
          <w:rFonts w:ascii="Arial" w:hAnsi="Arial" w:cs="Arial"/>
          <w:b w:val="0"/>
          <w:bCs w:val="0"/>
        </w:rPr>
        <w:t xml:space="preserve"> </w:t>
      </w:r>
      <w:r w:rsidR="00C50A98" w:rsidRPr="002314A9">
        <w:rPr>
          <w:rStyle w:val="fontstyle01"/>
          <w:rFonts w:ascii="Arial" w:hAnsi="Arial" w:cs="Arial"/>
          <w:b w:val="0"/>
          <w:bCs w:val="0"/>
        </w:rPr>
        <w:lastRenderedPageBreak/>
        <w:t>estão atualizados no SIT e no cadastro do TCE-PR,</w:t>
      </w:r>
      <w:r w:rsidRPr="002314A9">
        <w:rPr>
          <w:rStyle w:val="fontstyle01"/>
          <w:rFonts w:ascii="Arial" w:hAnsi="Arial" w:cs="Arial"/>
          <w:b w:val="0"/>
          <w:bCs w:val="0"/>
        </w:rPr>
        <w:t xml:space="preserve"> pois deverão atuar em sequência à finalização pelo Concedente.</w:t>
      </w:r>
    </w:p>
    <w:p w14:paraId="1510DDA6" w14:textId="77777777" w:rsidR="002314A9" w:rsidRPr="002314A9" w:rsidRDefault="002314A9" w:rsidP="00A91D3A">
      <w:pPr>
        <w:pStyle w:val="PargrafodaLista"/>
        <w:spacing w:before="120" w:after="0" w:line="240" w:lineRule="auto"/>
        <w:ind w:left="1077"/>
        <w:jc w:val="both"/>
        <w:rPr>
          <w:rStyle w:val="fontstyle01"/>
          <w:rFonts w:ascii="Arial" w:hAnsi="Arial"/>
          <w:b w:val="0"/>
          <w:bCs w:val="0"/>
        </w:rPr>
      </w:pPr>
      <w:r w:rsidRPr="002314A9">
        <w:rPr>
          <w:rStyle w:val="fontstyle01"/>
          <w:rFonts w:ascii="Arial" w:hAnsi="Arial" w:cs="Arial"/>
          <w:b w:val="0"/>
          <w:bCs w:val="0"/>
        </w:rPr>
        <w:t>iv. após informar a Finalização, proceder com o registro do Relatório Circunstanciado e do Termo de Fiscalização;</w:t>
      </w:r>
    </w:p>
    <w:p w14:paraId="4313DFB4" w14:textId="481EB3CD" w:rsidR="002314A9" w:rsidRDefault="002314A9" w:rsidP="00A91D3A">
      <w:pPr>
        <w:pStyle w:val="PargrafodaLista"/>
        <w:spacing w:before="120" w:after="0" w:line="240" w:lineRule="auto"/>
        <w:ind w:left="1174"/>
        <w:jc w:val="both"/>
        <w:rPr>
          <w:rStyle w:val="fontstyle01"/>
          <w:rFonts w:ascii="Arial" w:hAnsi="Arial" w:cs="Arial"/>
          <w:b w:val="0"/>
          <w:bCs w:val="0"/>
        </w:rPr>
      </w:pPr>
      <w:r w:rsidRPr="002314A9">
        <w:rPr>
          <w:rStyle w:val="fontstyle01"/>
          <w:rFonts w:ascii="Arial" w:hAnsi="Arial" w:cs="Arial"/>
          <w:b w:val="0"/>
          <w:bCs w:val="0"/>
        </w:rPr>
        <w:t xml:space="preserve">v. Proceder </w:t>
      </w:r>
      <w:r w:rsidR="004C2154">
        <w:rPr>
          <w:rStyle w:val="fontstyle01"/>
          <w:rFonts w:ascii="Arial" w:hAnsi="Arial" w:cs="Arial"/>
          <w:b w:val="0"/>
          <w:bCs w:val="0"/>
        </w:rPr>
        <w:t>a</w:t>
      </w:r>
      <w:r w:rsidRPr="002314A9">
        <w:rPr>
          <w:rStyle w:val="fontstyle01"/>
          <w:rFonts w:ascii="Arial" w:hAnsi="Arial" w:cs="Arial"/>
          <w:b w:val="0"/>
          <w:bCs w:val="0"/>
        </w:rPr>
        <w:t xml:space="preserve">os registros na tela Prestação de Contas, assim encerrando as informações do </w:t>
      </w:r>
      <w:r w:rsidR="004C2154">
        <w:rPr>
          <w:rStyle w:val="fontstyle01"/>
          <w:rFonts w:ascii="Arial" w:hAnsi="Arial" w:cs="Arial"/>
          <w:b w:val="0"/>
          <w:bCs w:val="0"/>
        </w:rPr>
        <w:t>C</w:t>
      </w:r>
      <w:r w:rsidRPr="002314A9">
        <w:rPr>
          <w:rStyle w:val="fontstyle01"/>
          <w:rFonts w:ascii="Arial" w:hAnsi="Arial" w:cs="Arial"/>
          <w:b w:val="0"/>
          <w:bCs w:val="0"/>
        </w:rPr>
        <w:t xml:space="preserve">ontrato de </w:t>
      </w:r>
      <w:r w:rsidR="004C2154">
        <w:rPr>
          <w:rStyle w:val="fontstyle01"/>
          <w:rFonts w:ascii="Arial" w:hAnsi="Arial" w:cs="Arial"/>
          <w:b w:val="0"/>
          <w:bCs w:val="0"/>
        </w:rPr>
        <w:t>G</w:t>
      </w:r>
      <w:r w:rsidRPr="002314A9">
        <w:rPr>
          <w:rStyle w:val="fontstyle01"/>
          <w:rFonts w:ascii="Arial" w:hAnsi="Arial" w:cs="Arial"/>
          <w:b w:val="0"/>
          <w:bCs w:val="0"/>
        </w:rPr>
        <w:t>estão no SIT.</w:t>
      </w:r>
    </w:p>
    <w:p w14:paraId="327791DD" w14:textId="77777777" w:rsidR="002314A9" w:rsidRPr="002314A9" w:rsidRDefault="002314A9" w:rsidP="002314A9">
      <w:pPr>
        <w:pStyle w:val="PargrafodaLista"/>
        <w:spacing w:before="120" w:after="0" w:line="360" w:lineRule="auto"/>
        <w:ind w:left="1171"/>
        <w:jc w:val="both"/>
        <w:rPr>
          <w:rStyle w:val="fontstyle01"/>
          <w:rFonts w:ascii="Arial" w:hAnsi="Arial"/>
          <w:b w:val="0"/>
          <w:bCs w:val="0"/>
        </w:rPr>
      </w:pPr>
    </w:p>
    <w:p w14:paraId="6C79D148" w14:textId="0181C95E" w:rsidR="002314A9" w:rsidRPr="002314A9" w:rsidRDefault="002314A9" w:rsidP="00A91D3A">
      <w:pPr>
        <w:pStyle w:val="PargrafodaLista"/>
        <w:numPr>
          <w:ilvl w:val="0"/>
          <w:numId w:val="1"/>
        </w:numPr>
        <w:spacing w:before="120" w:after="120" w:line="240" w:lineRule="auto"/>
        <w:ind w:left="37" w:firstLine="0"/>
        <w:jc w:val="both"/>
        <w:rPr>
          <w:rStyle w:val="fontstyle01"/>
          <w:rFonts w:ascii="Arial" w:hAnsi="Arial"/>
          <w:b w:val="0"/>
          <w:bCs w:val="0"/>
        </w:rPr>
      </w:pPr>
      <w:r w:rsidRPr="002314A9">
        <w:rPr>
          <w:rStyle w:val="fontstyle01"/>
          <w:rFonts w:ascii="Arial" w:hAnsi="Arial" w:cs="Arial"/>
          <w:b w:val="0"/>
          <w:bCs w:val="0"/>
        </w:rPr>
        <w:t>Os registros no</w:t>
      </w:r>
      <w:r w:rsidR="004C2154">
        <w:rPr>
          <w:rStyle w:val="fontstyle01"/>
          <w:rFonts w:ascii="Arial" w:hAnsi="Arial" w:cs="Arial"/>
          <w:b w:val="0"/>
          <w:bCs w:val="0"/>
        </w:rPr>
        <w:t xml:space="preserve"> </w:t>
      </w:r>
      <w:r w:rsidRPr="002314A9">
        <w:rPr>
          <w:rStyle w:val="fontstyle01"/>
          <w:rFonts w:ascii="Arial" w:hAnsi="Arial" w:cs="Arial"/>
          <w:b w:val="0"/>
          <w:bCs w:val="0"/>
        </w:rPr>
        <w:t xml:space="preserve">SEI-CED relacionados à movimentação dos saldos financeiros dos </w:t>
      </w:r>
      <w:r w:rsidR="004C2154">
        <w:rPr>
          <w:rStyle w:val="fontstyle01"/>
          <w:rFonts w:ascii="Arial" w:hAnsi="Arial" w:cs="Arial"/>
          <w:b w:val="0"/>
          <w:bCs w:val="0"/>
        </w:rPr>
        <w:t>C</w:t>
      </w:r>
      <w:r w:rsidRPr="002314A9">
        <w:rPr>
          <w:rStyle w:val="fontstyle01"/>
          <w:rFonts w:ascii="Arial" w:hAnsi="Arial" w:cs="Arial"/>
          <w:b w:val="0"/>
          <w:bCs w:val="0"/>
        </w:rPr>
        <w:t xml:space="preserve">ontratos de </w:t>
      </w:r>
      <w:r w:rsidR="004C2154">
        <w:rPr>
          <w:rStyle w:val="fontstyle01"/>
          <w:rFonts w:ascii="Arial" w:hAnsi="Arial" w:cs="Arial"/>
          <w:b w:val="0"/>
          <w:bCs w:val="0"/>
        </w:rPr>
        <w:t>G</w:t>
      </w:r>
      <w:r w:rsidRPr="002314A9">
        <w:rPr>
          <w:rStyle w:val="fontstyle01"/>
          <w:rFonts w:ascii="Arial" w:hAnsi="Arial" w:cs="Arial"/>
          <w:b w:val="0"/>
          <w:bCs w:val="0"/>
        </w:rPr>
        <w:t>estão apurados em 31/12/2022 devem ser declarados na remessa de dados do 1º quadrimestre</w:t>
      </w:r>
      <w:r w:rsidR="004C2154">
        <w:rPr>
          <w:rStyle w:val="fontstyle01"/>
          <w:rFonts w:ascii="Arial" w:hAnsi="Arial" w:cs="Arial"/>
          <w:b w:val="0"/>
          <w:bCs w:val="0"/>
        </w:rPr>
        <w:t xml:space="preserve"> de </w:t>
      </w:r>
      <w:r w:rsidRPr="002314A9">
        <w:rPr>
          <w:rStyle w:val="fontstyle01"/>
          <w:rFonts w:ascii="Arial" w:hAnsi="Arial" w:cs="Arial"/>
          <w:b w:val="0"/>
          <w:bCs w:val="0"/>
        </w:rPr>
        <w:t>2023, da seguinte forma:</w:t>
      </w:r>
    </w:p>
    <w:p w14:paraId="637C9E6C" w14:textId="04914548" w:rsidR="000E1632" w:rsidRPr="000E1632" w:rsidRDefault="002314A9" w:rsidP="00A91D3A">
      <w:pPr>
        <w:pStyle w:val="PargrafodaLista"/>
        <w:numPr>
          <w:ilvl w:val="0"/>
          <w:numId w:val="4"/>
        </w:numPr>
        <w:spacing w:before="120" w:after="120" w:line="240" w:lineRule="auto"/>
        <w:ind w:left="1134" w:hanging="283"/>
        <w:jc w:val="both"/>
        <w:rPr>
          <w:rStyle w:val="fontstyle01"/>
          <w:rFonts w:ascii="Arial" w:hAnsi="Arial"/>
          <w:b w:val="0"/>
          <w:bCs w:val="0"/>
        </w:rPr>
      </w:pPr>
      <w:r w:rsidRPr="002314A9">
        <w:rPr>
          <w:rStyle w:val="fontstyle01"/>
          <w:rFonts w:ascii="Arial" w:hAnsi="Arial" w:cs="Arial"/>
          <w:b w:val="0"/>
          <w:bCs w:val="0"/>
        </w:rPr>
        <w:t xml:space="preserve">Cadastrar o </w:t>
      </w:r>
      <w:r w:rsidR="004C2154">
        <w:rPr>
          <w:rStyle w:val="fontstyle01"/>
          <w:rFonts w:ascii="Arial" w:hAnsi="Arial" w:cs="Arial"/>
          <w:b w:val="0"/>
          <w:bCs w:val="0"/>
        </w:rPr>
        <w:t xml:space="preserve">Contrato </w:t>
      </w:r>
      <w:r w:rsidRPr="002314A9">
        <w:rPr>
          <w:rStyle w:val="fontstyle01"/>
          <w:rFonts w:ascii="Arial" w:hAnsi="Arial" w:cs="Arial"/>
          <w:b w:val="0"/>
          <w:bCs w:val="0"/>
        </w:rPr>
        <w:t xml:space="preserve">de </w:t>
      </w:r>
      <w:r w:rsidR="004C2154">
        <w:rPr>
          <w:rStyle w:val="fontstyle01"/>
          <w:rFonts w:ascii="Arial" w:hAnsi="Arial" w:cs="Arial"/>
          <w:b w:val="0"/>
          <w:bCs w:val="0"/>
        </w:rPr>
        <w:t>G</w:t>
      </w:r>
      <w:r w:rsidRPr="002314A9">
        <w:rPr>
          <w:rStyle w:val="fontstyle01"/>
          <w:rFonts w:ascii="Arial" w:hAnsi="Arial" w:cs="Arial"/>
          <w:b w:val="0"/>
          <w:bCs w:val="0"/>
        </w:rPr>
        <w:t xml:space="preserve">estão em andamento no leiaute “ContratoGestao”, identificado pelo código “idPessoa” da entidade emissora do contrato, por meio do campo “idPessoaEmissor”, bem como informar o número e ano do contrato, ato legal autorizativo, objeto, data de assinatura, número do CPF do assinante, data inicial e final da vigência, data inicial e final de execução e </w:t>
      </w:r>
      <w:r w:rsidRPr="00EA5B49">
        <w:rPr>
          <w:rStyle w:val="fontstyle01"/>
          <w:rFonts w:ascii="Arial" w:hAnsi="Arial" w:cs="Arial"/>
          <w:b w:val="0"/>
          <w:bCs w:val="0"/>
        </w:rPr>
        <w:t>o</w:t>
      </w:r>
      <w:r w:rsidRPr="003A71D7">
        <w:rPr>
          <w:rStyle w:val="fontstyle01"/>
          <w:rFonts w:ascii="Arial" w:hAnsi="Arial" w:cs="Arial"/>
          <w:b w:val="0"/>
          <w:bCs w:val="0"/>
        </w:rPr>
        <w:t xml:space="preserve"> </w:t>
      </w:r>
      <w:r w:rsidR="00EA5B49" w:rsidRPr="003A71D7">
        <w:rPr>
          <w:rStyle w:val="fontstyle01"/>
          <w:rFonts w:ascii="Arial" w:hAnsi="Arial" w:cs="Arial"/>
          <w:b w:val="0"/>
          <w:bCs w:val="0"/>
        </w:rPr>
        <w:t>v</w:t>
      </w:r>
      <w:r w:rsidR="00FB0D9E" w:rsidRPr="003A71D7">
        <w:rPr>
          <w:rStyle w:val="fontstyle01"/>
          <w:rFonts w:ascii="Arial" w:hAnsi="Arial" w:cs="Arial"/>
          <w:b w:val="0"/>
          <w:bCs w:val="0"/>
        </w:rPr>
        <w:t>alor</w:t>
      </w:r>
      <w:r w:rsidR="00FB0D9E" w:rsidRPr="00EA5B49">
        <w:rPr>
          <w:rStyle w:val="fontstyle01"/>
          <w:rFonts w:ascii="Arial" w:hAnsi="Arial" w:cs="Arial"/>
          <w:b w:val="0"/>
          <w:bCs w:val="0"/>
        </w:rPr>
        <w:t xml:space="preserve"> total do Contrato de Gestão</w:t>
      </w:r>
      <w:r w:rsidRPr="002314A9">
        <w:rPr>
          <w:rStyle w:val="fontstyle01"/>
          <w:rFonts w:ascii="Arial" w:hAnsi="Arial" w:cs="Arial"/>
          <w:b w:val="0"/>
          <w:bCs w:val="0"/>
        </w:rPr>
        <w:t>;</w:t>
      </w:r>
      <w:r w:rsidR="003A71D7">
        <w:rPr>
          <w:rStyle w:val="fontstyle01"/>
          <w:rFonts w:ascii="Arial" w:hAnsi="Arial" w:cs="Arial"/>
          <w:b w:val="0"/>
          <w:bCs w:val="0"/>
        </w:rPr>
        <w:tab/>
      </w:r>
    </w:p>
    <w:p w14:paraId="0C3B1688" w14:textId="00D76285" w:rsidR="000E1632" w:rsidRPr="000E1632" w:rsidRDefault="002314A9" w:rsidP="00A91D3A">
      <w:pPr>
        <w:pStyle w:val="PargrafodaLista"/>
        <w:numPr>
          <w:ilvl w:val="0"/>
          <w:numId w:val="4"/>
        </w:numPr>
        <w:spacing w:before="120" w:after="120" w:line="240" w:lineRule="auto"/>
        <w:ind w:left="1134" w:hanging="283"/>
        <w:jc w:val="both"/>
        <w:rPr>
          <w:rStyle w:val="fontstyle01"/>
          <w:rFonts w:ascii="Arial" w:hAnsi="Arial"/>
          <w:b w:val="0"/>
          <w:bCs w:val="0"/>
        </w:rPr>
      </w:pPr>
      <w:r w:rsidRPr="002314A9">
        <w:rPr>
          <w:rStyle w:val="fontstyle01"/>
          <w:rFonts w:ascii="Arial" w:hAnsi="Arial" w:cs="Arial"/>
          <w:b w:val="0"/>
          <w:bCs w:val="0"/>
        </w:rPr>
        <w:t>Caso exista</w:t>
      </w:r>
      <w:r w:rsidR="007A74C8">
        <w:rPr>
          <w:rStyle w:val="fontstyle01"/>
          <w:rFonts w:ascii="Arial" w:hAnsi="Arial" w:cs="Arial"/>
          <w:b w:val="0"/>
          <w:bCs w:val="0"/>
        </w:rPr>
        <w:t>m</w:t>
      </w:r>
      <w:r w:rsidRPr="002314A9">
        <w:rPr>
          <w:rStyle w:val="fontstyle01"/>
          <w:rFonts w:ascii="Arial" w:hAnsi="Arial" w:cs="Arial"/>
          <w:b w:val="0"/>
          <w:bCs w:val="0"/>
        </w:rPr>
        <w:t xml:space="preserve"> aditivos em andamento em 31/12/2022, estes devem ser cadastrados no leiaute “NumeroAditivoContratoGestao”, inclusive o detalhamento dos aditivos deve ser declarado no leiaute “AditivoContratoGestao”, os quais devem estar associados ao respectivo </w:t>
      </w:r>
      <w:r w:rsidR="004C2154">
        <w:rPr>
          <w:rStyle w:val="fontstyle01"/>
          <w:rFonts w:ascii="Arial" w:hAnsi="Arial" w:cs="Arial"/>
          <w:b w:val="0"/>
          <w:bCs w:val="0"/>
        </w:rPr>
        <w:t>C</w:t>
      </w:r>
      <w:r w:rsidRPr="002314A9">
        <w:rPr>
          <w:rStyle w:val="fontstyle01"/>
          <w:rFonts w:ascii="Arial" w:hAnsi="Arial" w:cs="Arial"/>
          <w:b w:val="0"/>
          <w:bCs w:val="0"/>
        </w:rPr>
        <w:t xml:space="preserve">ontrato de </w:t>
      </w:r>
      <w:r w:rsidR="004C2154">
        <w:rPr>
          <w:rStyle w:val="fontstyle01"/>
          <w:rFonts w:ascii="Arial" w:hAnsi="Arial" w:cs="Arial"/>
          <w:b w:val="0"/>
          <w:bCs w:val="0"/>
        </w:rPr>
        <w:t>G</w:t>
      </w:r>
      <w:r w:rsidRPr="002314A9">
        <w:rPr>
          <w:rStyle w:val="fontstyle01"/>
          <w:rFonts w:ascii="Arial" w:hAnsi="Arial" w:cs="Arial"/>
          <w:b w:val="0"/>
          <w:bCs w:val="0"/>
        </w:rPr>
        <w:t>estão;</w:t>
      </w:r>
    </w:p>
    <w:p w14:paraId="651E9680" w14:textId="77777777" w:rsidR="000E1632" w:rsidRPr="000E1632" w:rsidRDefault="002314A9" w:rsidP="00A91D3A">
      <w:pPr>
        <w:pStyle w:val="PargrafodaLista"/>
        <w:numPr>
          <w:ilvl w:val="0"/>
          <w:numId w:val="4"/>
        </w:numPr>
        <w:spacing w:before="120" w:after="120" w:line="240" w:lineRule="auto"/>
        <w:ind w:left="1134" w:hanging="283"/>
        <w:jc w:val="both"/>
        <w:rPr>
          <w:rStyle w:val="fontstyle01"/>
          <w:rFonts w:ascii="Arial" w:hAnsi="Arial"/>
          <w:b w:val="0"/>
          <w:bCs w:val="0"/>
        </w:rPr>
      </w:pPr>
      <w:r w:rsidRPr="002314A9">
        <w:rPr>
          <w:rStyle w:val="fontstyle01"/>
          <w:rFonts w:ascii="Arial" w:hAnsi="Arial" w:cs="Arial"/>
          <w:b w:val="0"/>
          <w:bCs w:val="0"/>
        </w:rPr>
        <w:t>Se existir saldo de obrigações no passivo do Balanço Patrimonial da entidade em 31/12/2022, o respectivo saldo deve ser ingressado no leiaute “DetalheGastoEstatalXContratoGestao”, segregado por detalhamento dos gastos em andamento.</w:t>
      </w:r>
    </w:p>
    <w:p w14:paraId="185EAFA5" w14:textId="29E5D30F" w:rsidR="002314A9" w:rsidRPr="002314A9" w:rsidRDefault="002314A9" w:rsidP="00A91D3A">
      <w:pPr>
        <w:pStyle w:val="PargrafodaLista"/>
        <w:numPr>
          <w:ilvl w:val="0"/>
          <w:numId w:val="4"/>
        </w:numPr>
        <w:spacing w:before="120" w:after="120" w:line="240" w:lineRule="auto"/>
        <w:ind w:left="1134" w:hanging="283"/>
        <w:jc w:val="both"/>
        <w:rPr>
          <w:rStyle w:val="fontstyle01"/>
          <w:rFonts w:ascii="Arial" w:hAnsi="Arial"/>
          <w:b w:val="0"/>
          <w:bCs w:val="0"/>
        </w:rPr>
      </w:pPr>
      <w:r w:rsidRPr="002314A9">
        <w:rPr>
          <w:rStyle w:val="fontstyle01"/>
          <w:rFonts w:ascii="Arial" w:hAnsi="Arial" w:cs="Arial"/>
          <w:b w:val="0"/>
          <w:bCs w:val="0"/>
        </w:rPr>
        <w:t xml:space="preserve">O saldo das contas do Ativo, Passivo e do Patrimônio Líquido do Contrato de Gestão deve ser informado no leiaute “SaldoContabilExercicioAnteriorContratoGestao”, mediante associação destes saldos por </w:t>
      </w:r>
      <w:r w:rsidR="005A2DEF">
        <w:rPr>
          <w:rStyle w:val="fontstyle01"/>
          <w:rFonts w:ascii="Arial" w:hAnsi="Arial" w:cs="Arial"/>
          <w:b w:val="0"/>
          <w:bCs w:val="0"/>
        </w:rPr>
        <w:t>C</w:t>
      </w:r>
      <w:r w:rsidRPr="002314A9">
        <w:rPr>
          <w:rStyle w:val="fontstyle01"/>
          <w:rFonts w:ascii="Arial" w:hAnsi="Arial" w:cs="Arial"/>
          <w:b w:val="0"/>
          <w:bCs w:val="0"/>
        </w:rPr>
        <w:t xml:space="preserve">ontrato de </w:t>
      </w:r>
      <w:r w:rsidR="005A2DEF">
        <w:rPr>
          <w:rStyle w:val="fontstyle01"/>
          <w:rFonts w:ascii="Arial" w:hAnsi="Arial" w:cs="Arial"/>
          <w:b w:val="0"/>
          <w:bCs w:val="0"/>
        </w:rPr>
        <w:t>G</w:t>
      </w:r>
      <w:r w:rsidRPr="002314A9">
        <w:rPr>
          <w:rStyle w:val="fontstyle01"/>
          <w:rFonts w:ascii="Arial" w:hAnsi="Arial" w:cs="Arial"/>
          <w:b w:val="0"/>
          <w:bCs w:val="0"/>
        </w:rPr>
        <w:t>estão e conta contábil, visando possibilitar sua movimentação a partir do exercício financeiro de 2023.</w:t>
      </w:r>
    </w:p>
    <w:p w14:paraId="20E0D55F" w14:textId="76AFC461" w:rsidR="002314A9" w:rsidRPr="002314A9" w:rsidRDefault="002314A9" w:rsidP="00A91D3A">
      <w:pPr>
        <w:pStyle w:val="NormalWeb"/>
        <w:numPr>
          <w:ilvl w:val="0"/>
          <w:numId w:val="1"/>
        </w:numPr>
        <w:shd w:val="clear" w:color="auto" w:fill="FFFFFF" w:themeFill="background1"/>
        <w:ind w:left="37" w:firstLine="0"/>
        <w:jc w:val="both"/>
        <w:rPr>
          <w:rStyle w:val="fontstyle01"/>
          <w:rFonts w:ascii="Arial" w:eastAsia="Calibri" w:hAnsi="Arial" w:cs="Arial"/>
          <w:b w:val="0"/>
          <w:bCs w:val="0"/>
          <w:lang w:eastAsia="en-US"/>
        </w:rPr>
      </w:pPr>
      <w:r w:rsidRPr="002314A9">
        <w:rPr>
          <w:rStyle w:val="fontstyle01"/>
          <w:rFonts w:ascii="Arial" w:eastAsia="Calibri" w:hAnsi="Arial" w:cs="Arial"/>
          <w:b w:val="0"/>
          <w:bCs w:val="0"/>
          <w:lang w:eastAsia="en-US"/>
        </w:rPr>
        <w:t xml:space="preserve">A partir do exercício financeiro de 2023, os novos </w:t>
      </w:r>
      <w:r w:rsidR="005A2DEF">
        <w:rPr>
          <w:rStyle w:val="fontstyle01"/>
          <w:rFonts w:ascii="Arial" w:eastAsia="Calibri" w:hAnsi="Arial" w:cs="Arial"/>
          <w:b w:val="0"/>
          <w:bCs w:val="0"/>
          <w:lang w:eastAsia="en-US"/>
        </w:rPr>
        <w:t>C</w:t>
      </w:r>
      <w:r w:rsidRPr="002314A9">
        <w:rPr>
          <w:rStyle w:val="fontstyle01"/>
          <w:rFonts w:ascii="Arial" w:eastAsia="Calibri" w:hAnsi="Arial" w:cs="Arial"/>
          <w:b w:val="0"/>
          <w:bCs w:val="0"/>
          <w:lang w:eastAsia="en-US"/>
        </w:rPr>
        <w:t xml:space="preserve">ontratos de </w:t>
      </w:r>
      <w:r w:rsidR="005A2DEF">
        <w:rPr>
          <w:rStyle w:val="fontstyle01"/>
          <w:rFonts w:ascii="Arial" w:eastAsia="Calibri" w:hAnsi="Arial" w:cs="Arial"/>
          <w:b w:val="0"/>
          <w:bCs w:val="0"/>
          <w:lang w:eastAsia="en-US"/>
        </w:rPr>
        <w:t>G</w:t>
      </w:r>
      <w:r w:rsidRPr="002314A9">
        <w:rPr>
          <w:rStyle w:val="fontstyle01"/>
          <w:rFonts w:ascii="Arial" w:eastAsia="Calibri" w:hAnsi="Arial" w:cs="Arial"/>
          <w:b w:val="0"/>
          <w:bCs w:val="0"/>
          <w:lang w:eastAsia="en-US"/>
        </w:rPr>
        <w:t>estão assinados</w:t>
      </w:r>
      <w:r w:rsidR="005117D9">
        <w:rPr>
          <w:rStyle w:val="fontstyle01"/>
          <w:rFonts w:ascii="Arial" w:eastAsia="Calibri" w:hAnsi="Arial" w:cs="Arial"/>
          <w:b w:val="0"/>
          <w:bCs w:val="0"/>
          <w:lang w:eastAsia="en-US"/>
        </w:rPr>
        <w:t xml:space="preserve"> </w:t>
      </w:r>
      <w:r w:rsidRPr="002314A9">
        <w:rPr>
          <w:rStyle w:val="fontstyle01"/>
          <w:rFonts w:ascii="Arial" w:eastAsia="Calibri" w:hAnsi="Arial" w:cs="Arial"/>
          <w:b w:val="0"/>
          <w:bCs w:val="0"/>
          <w:lang w:eastAsia="en-US"/>
        </w:rPr>
        <w:t>devem ser declarados no leiaute “ContratoGestao”, sendo que os aditivos correspondentes devem ser informados nos leiautes “NumeroAditivoContratoGestao” e “AditivoContratoGestao”. A movimentação contábil e dos saldos de exercícios anteriores devem ser informados da seguinte forma:</w:t>
      </w:r>
    </w:p>
    <w:p w14:paraId="3AA802AB" w14:textId="5956B081" w:rsidR="000E1632" w:rsidRDefault="003A71D7" w:rsidP="00A91D3A">
      <w:pPr>
        <w:pStyle w:val="NormalWeb"/>
        <w:shd w:val="clear" w:color="auto" w:fill="FFFFFF" w:themeFill="background1"/>
        <w:spacing w:before="120" w:beforeAutospacing="0" w:after="120" w:afterAutospacing="0"/>
        <w:ind w:left="1135" w:hanging="284"/>
        <w:jc w:val="both"/>
        <w:rPr>
          <w:rStyle w:val="fontstyle01"/>
          <w:rFonts w:ascii="Arial" w:eastAsia="Calibri" w:hAnsi="Arial" w:cs="Arial"/>
          <w:b w:val="0"/>
          <w:bCs w:val="0"/>
          <w:lang w:eastAsia="en-US"/>
        </w:rPr>
      </w:pPr>
      <w:r w:rsidRPr="000E1632">
        <w:rPr>
          <w:rStyle w:val="fontstyle01"/>
          <w:rFonts w:ascii="Arial" w:eastAsia="Calibri" w:hAnsi="Arial" w:cs="Arial"/>
          <w:lang w:eastAsia="en-US"/>
        </w:rPr>
        <w:t>a)</w:t>
      </w:r>
      <w:r>
        <w:rPr>
          <w:rStyle w:val="fontstyle01"/>
          <w:rFonts w:ascii="Arial" w:eastAsia="Calibri" w:hAnsi="Arial" w:cs="Arial"/>
          <w:b w:val="0"/>
          <w:bCs w:val="0"/>
          <w:lang w:eastAsia="en-US"/>
        </w:rPr>
        <w:t xml:space="preserve"> </w:t>
      </w:r>
      <w:r w:rsidR="002314A9" w:rsidRPr="00FA7F83">
        <w:rPr>
          <w:rStyle w:val="fontstyle01"/>
          <w:rFonts w:ascii="Arial" w:eastAsia="Calibri" w:hAnsi="Arial" w:cs="Arial"/>
          <w:b w:val="0"/>
          <w:bCs w:val="0"/>
          <w:lang w:eastAsia="en-US"/>
        </w:rPr>
        <w:t xml:space="preserve">Os valores financeiros recebidos por conta dos </w:t>
      </w:r>
      <w:r w:rsidR="005A2DEF">
        <w:rPr>
          <w:rStyle w:val="fontstyle01"/>
          <w:rFonts w:ascii="Arial" w:eastAsia="Calibri" w:hAnsi="Arial" w:cs="Arial"/>
          <w:b w:val="0"/>
          <w:bCs w:val="0"/>
          <w:lang w:eastAsia="en-US"/>
        </w:rPr>
        <w:t>C</w:t>
      </w:r>
      <w:r w:rsidR="002314A9" w:rsidRPr="00FA7F83">
        <w:rPr>
          <w:rStyle w:val="fontstyle01"/>
          <w:rFonts w:ascii="Arial" w:eastAsia="Calibri" w:hAnsi="Arial" w:cs="Arial"/>
          <w:b w:val="0"/>
          <w:bCs w:val="0"/>
          <w:lang w:eastAsia="en-US"/>
        </w:rPr>
        <w:t xml:space="preserve">ontratos de </w:t>
      </w:r>
      <w:r w:rsidR="005A2DEF">
        <w:rPr>
          <w:rStyle w:val="fontstyle01"/>
          <w:rFonts w:ascii="Arial" w:eastAsia="Calibri" w:hAnsi="Arial" w:cs="Arial"/>
          <w:b w:val="0"/>
          <w:bCs w:val="0"/>
          <w:lang w:eastAsia="en-US"/>
        </w:rPr>
        <w:t>G</w:t>
      </w:r>
      <w:r w:rsidR="002314A9" w:rsidRPr="00FA7F83">
        <w:rPr>
          <w:rStyle w:val="fontstyle01"/>
          <w:rFonts w:ascii="Arial" w:eastAsia="Calibri" w:hAnsi="Arial" w:cs="Arial"/>
          <w:b w:val="0"/>
          <w:bCs w:val="0"/>
          <w:lang w:eastAsia="en-US"/>
        </w:rPr>
        <w:t xml:space="preserve">estão devem ser declarados no leiaute “ReceitaContratoGestao”, cujos registros </w:t>
      </w:r>
      <w:r w:rsidR="008412EE" w:rsidRPr="00FA7F83">
        <w:rPr>
          <w:rStyle w:val="fontstyle01"/>
          <w:rFonts w:ascii="Arial" w:eastAsia="Calibri" w:hAnsi="Arial" w:cs="Arial"/>
          <w:b w:val="0"/>
          <w:bCs w:val="0"/>
          <w:lang w:eastAsia="en-US"/>
        </w:rPr>
        <w:t>necessitam</w:t>
      </w:r>
      <w:r w:rsidR="002314A9" w:rsidRPr="00FA7F83">
        <w:rPr>
          <w:rStyle w:val="fontstyle01"/>
          <w:rFonts w:ascii="Arial" w:eastAsia="Calibri" w:hAnsi="Arial" w:cs="Arial"/>
          <w:b w:val="0"/>
          <w:bCs w:val="0"/>
          <w:lang w:eastAsia="en-US"/>
        </w:rPr>
        <w:t xml:space="preserve"> manter compatibilidade </w:t>
      </w:r>
      <w:r w:rsidR="005A2DEF">
        <w:rPr>
          <w:rStyle w:val="fontstyle01"/>
          <w:rFonts w:ascii="Arial" w:eastAsia="Calibri" w:hAnsi="Arial" w:cs="Arial"/>
          <w:b w:val="0"/>
          <w:bCs w:val="0"/>
          <w:lang w:eastAsia="en-US"/>
        </w:rPr>
        <w:t>com a</w:t>
      </w:r>
      <w:r w:rsidR="002314A9" w:rsidRPr="00FA7F83">
        <w:rPr>
          <w:rStyle w:val="fontstyle01"/>
          <w:rFonts w:ascii="Arial" w:eastAsia="Calibri" w:hAnsi="Arial" w:cs="Arial"/>
          <w:b w:val="0"/>
          <w:bCs w:val="0"/>
          <w:lang w:eastAsia="en-US"/>
        </w:rPr>
        <w:t xml:space="preserve"> data do ingresso da receita, idPessoaReceita e valor, entre as entidades concedente e tomadora</w:t>
      </w:r>
      <w:r w:rsidR="007856EA">
        <w:rPr>
          <w:rStyle w:val="fontstyle01"/>
          <w:rFonts w:ascii="Arial" w:eastAsia="Calibri" w:hAnsi="Arial" w:cs="Arial"/>
          <w:b w:val="0"/>
          <w:bCs w:val="0"/>
          <w:lang w:eastAsia="en-US"/>
        </w:rPr>
        <w:t>. C</w:t>
      </w:r>
      <w:r w:rsidR="002314A9" w:rsidRPr="00FA7F83">
        <w:rPr>
          <w:rStyle w:val="fontstyle01"/>
          <w:rFonts w:ascii="Arial" w:eastAsia="Calibri" w:hAnsi="Arial" w:cs="Arial"/>
          <w:b w:val="0"/>
          <w:bCs w:val="0"/>
          <w:lang w:eastAsia="en-US"/>
        </w:rPr>
        <w:t>aso exista algum estorno de receitas, estes registros devem ser declarados no leiaute “EstornoReceitaContratoGestao”;</w:t>
      </w:r>
    </w:p>
    <w:p w14:paraId="02A5E924" w14:textId="2621608C" w:rsidR="000E1632" w:rsidRDefault="002314A9" w:rsidP="00A91D3A">
      <w:pPr>
        <w:pStyle w:val="NormalWeb"/>
        <w:shd w:val="clear" w:color="auto" w:fill="FFFFFF" w:themeFill="background1"/>
        <w:spacing w:before="120" w:beforeAutospacing="0" w:after="120" w:afterAutospacing="0"/>
        <w:ind w:left="1135" w:hanging="284"/>
        <w:jc w:val="both"/>
        <w:rPr>
          <w:rStyle w:val="fontstyle01"/>
          <w:rFonts w:ascii="Arial" w:eastAsia="Calibri" w:hAnsi="Arial" w:cs="Arial"/>
          <w:b w:val="0"/>
          <w:bCs w:val="0"/>
          <w:lang w:eastAsia="en-US"/>
        </w:rPr>
      </w:pPr>
      <w:r w:rsidRPr="000E1632">
        <w:rPr>
          <w:rStyle w:val="fontstyle01"/>
          <w:rFonts w:ascii="Arial" w:eastAsia="Calibri" w:hAnsi="Arial" w:cs="Arial"/>
          <w:lang w:eastAsia="en-US"/>
        </w:rPr>
        <w:t>b)</w:t>
      </w:r>
      <w:r w:rsidRPr="00FA7F83">
        <w:rPr>
          <w:rStyle w:val="fontstyle01"/>
          <w:rFonts w:ascii="Arial" w:eastAsia="Calibri" w:hAnsi="Arial" w:cs="Arial"/>
          <w:b w:val="0"/>
          <w:bCs w:val="0"/>
          <w:lang w:eastAsia="en-US"/>
        </w:rPr>
        <w:t xml:space="preserve"> Todas as obrigações assumidas pela entidade por </w:t>
      </w:r>
      <w:r w:rsidR="005A2DEF">
        <w:rPr>
          <w:rStyle w:val="fontstyle01"/>
          <w:rFonts w:ascii="Arial" w:eastAsia="Calibri" w:hAnsi="Arial" w:cs="Arial"/>
          <w:b w:val="0"/>
          <w:bCs w:val="0"/>
          <w:lang w:eastAsia="en-US"/>
        </w:rPr>
        <w:t>C</w:t>
      </w:r>
      <w:r w:rsidRPr="00FA7F83">
        <w:rPr>
          <w:rStyle w:val="fontstyle01"/>
          <w:rFonts w:ascii="Arial" w:eastAsia="Calibri" w:hAnsi="Arial" w:cs="Arial"/>
          <w:b w:val="0"/>
          <w:bCs w:val="0"/>
          <w:lang w:eastAsia="en-US"/>
        </w:rPr>
        <w:t xml:space="preserve">ontrato de </w:t>
      </w:r>
      <w:r w:rsidR="005A2DEF">
        <w:rPr>
          <w:rStyle w:val="fontstyle01"/>
          <w:rFonts w:ascii="Arial" w:eastAsia="Calibri" w:hAnsi="Arial" w:cs="Arial"/>
          <w:b w:val="0"/>
          <w:bCs w:val="0"/>
          <w:lang w:eastAsia="en-US"/>
        </w:rPr>
        <w:t>G</w:t>
      </w:r>
      <w:r w:rsidRPr="00FA7F83">
        <w:rPr>
          <w:rStyle w:val="fontstyle01"/>
          <w:rFonts w:ascii="Arial" w:eastAsia="Calibri" w:hAnsi="Arial" w:cs="Arial"/>
          <w:b w:val="0"/>
          <w:bCs w:val="0"/>
          <w:lang w:eastAsia="en-US"/>
        </w:rPr>
        <w:t xml:space="preserve">estão devem ser registradas individualmente por gasto, sendo que estes </w:t>
      </w:r>
      <w:r w:rsidRPr="00FA7F83">
        <w:rPr>
          <w:rStyle w:val="fontstyle01"/>
          <w:rFonts w:ascii="Arial" w:eastAsia="Calibri" w:hAnsi="Arial" w:cs="Arial"/>
          <w:b w:val="0"/>
          <w:bCs w:val="0"/>
          <w:lang w:eastAsia="en-US"/>
        </w:rPr>
        <w:lastRenderedPageBreak/>
        <w:t xml:space="preserve">registros devem ser apresentados nos leiautes “GastoEstatal”, “DetalheGastoEstatal” e “DetalheGastoEstatalXContratoGestao”. É fundamental que os gastos dos </w:t>
      </w:r>
      <w:r w:rsidR="00290F3F">
        <w:rPr>
          <w:rStyle w:val="fontstyle01"/>
          <w:rFonts w:ascii="Arial" w:eastAsia="Calibri" w:hAnsi="Arial" w:cs="Arial"/>
          <w:b w:val="0"/>
          <w:bCs w:val="0"/>
          <w:lang w:eastAsia="en-US"/>
        </w:rPr>
        <w:t>C</w:t>
      </w:r>
      <w:r w:rsidRPr="00FA7F83">
        <w:rPr>
          <w:rStyle w:val="fontstyle01"/>
          <w:rFonts w:ascii="Arial" w:eastAsia="Calibri" w:hAnsi="Arial" w:cs="Arial"/>
          <w:b w:val="0"/>
          <w:bCs w:val="0"/>
          <w:lang w:eastAsia="en-US"/>
        </w:rPr>
        <w:t xml:space="preserve">ontratos de </w:t>
      </w:r>
      <w:r w:rsidR="00290F3F">
        <w:rPr>
          <w:rStyle w:val="fontstyle01"/>
          <w:rFonts w:ascii="Arial" w:eastAsia="Calibri" w:hAnsi="Arial" w:cs="Arial"/>
          <w:b w:val="0"/>
          <w:bCs w:val="0"/>
          <w:lang w:eastAsia="en-US"/>
        </w:rPr>
        <w:t>G</w:t>
      </w:r>
      <w:r w:rsidRPr="00FA7F83">
        <w:rPr>
          <w:rStyle w:val="fontstyle01"/>
          <w:rFonts w:ascii="Arial" w:eastAsia="Calibri" w:hAnsi="Arial" w:cs="Arial"/>
          <w:b w:val="0"/>
          <w:bCs w:val="0"/>
          <w:lang w:eastAsia="en-US"/>
        </w:rPr>
        <w:t xml:space="preserve">estão não sejam agregados com gastos de outros </w:t>
      </w:r>
      <w:r w:rsidR="00290F3F">
        <w:rPr>
          <w:rStyle w:val="fontstyle01"/>
          <w:rFonts w:ascii="Arial" w:eastAsia="Calibri" w:hAnsi="Arial" w:cs="Arial"/>
          <w:b w:val="0"/>
          <w:bCs w:val="0"/>
          <w:lang w:eastAsia="en-US"/>
        </w:rPr>
        <w:t>C</w:t>
      </w:r>
      <w:r w:rsidRPr="00FA7F83">
        <w:rPr>
          <w:rStyle w:val="fontstyle01"/>
          <w:rFonts w:ascii="Arial" w:eastAsia="Calibri" w:hAnsi="Arial" w:cs="Arial"/>
          <w:b w:val="0"/>
          <w:bCs w:val="0"/>
          <w:lang w:eastAsia="en-US"/>
        </w:rPr>
        <w:t xml:space="preserve">ontratos de </w:t>
      </w:r>
      <w:r w:rsidR="00290F3F">
        <w:rPr>
          <w:rStyle w:val="fontstyle01"/>
          <w:rFonts w:ascii="Arial" w:eastAsia="Calibri" w:hAnsi="Arial" w:cs="Arial"/>
          <w:b w:val="0"/>
          <w:bCs w:val="0"/>
          <w:lang w:eastAsia="en-US"/>
        </w:rPr>
        <w:t>G</w:t>
      </w:r>
      <w:r w:rsidRPr="00FA7F83">
        <w:rPr>
          <w:rStyle w:val="fontstyle01"/>
          <w:rFonts w:ascii="Arial" w:eastAsia="Calibri" w:hAnsi="Arial" w:cs="Arial"/>
          <w:b w:val="0"/>
          <w:bCs w:val="0"/>
          <w:lang w:eastAsia="en-US"/>
        </w:rPr>
        <w:t xml:space="preserve">estão ou de outras fontes de recursos da entidade, de tal forma que eles fiquem separados e mantenham correspondência com os saldos passivo por </w:t>
      </w:r>
      <w:r w:rsidR="0088130F">
        <w:rPr>
          <w:rStyle w:val="fontstyle01"/>
          <w:rFonts w:ascii="Arial" w:eastAsia="Calibri" w:hAnsi="Arial" w:cs="Arial"/>
          <w:b w:val="0"/>
          <w:bCs w:val="0"/>
          <w:lang w:eastAsia="en-US"/>
        </w:rPr>
        <w:t>C</w:t>
      </w:r>
      <w:r w:rsidRPr="00FA7F83">
        <w:rPr>
          <w:rStyle w:val="fontstyle01"/>
          <w:rFonts w:ascii="Arial" w:eastAsia="Calibri" w:hAnsi="Arial" w:cs="Arial"/>
          <w:b w:val="0"/>
          <w:bCs w:val="0"/>
          <w:lang w:eastAsia="en-US"/>
        </w:rPr>
        <w:t xml:space="preserve">ontrato de </w:t>
      </w:r>
      <w:r w:rsidR="0088130F">
        <w:rPr>
          <w:rStyle w:val="fontstyle01"/>
          <w:rFonts w:ascii="Arial" w:eastAsia="Calibri" w:hAnsi="Arial" w:cs="Arial"/>
          <w:b w:val="0"/>
          <w:bCs w:val="0"/>
          <w:lang w:eastAsia="en-US"/>
        </w:rPr>
        <w:t>G</w:t>
      </w:r>
      <w:r w:rsidRPr="00FA7F83">
        <w:rPr>
          <w:rStyle w:val="fontstyle01"/>
          <w:rFonts w:ascii="Arial" w:eastAsia="Calibri" w:hAnsi="Arial" w:cs="Arial"/>
          <w:b w:val="0"/>
          <w:bCs w:val="0"/>
          <w:lang w:eastAsia="en-US"/>
        </w:rPr>
        <w:t>estão</w:t>
      </w:r>
      <w:r w:rsidR="002F490B">
        <w:rPr>
          <w:rStyle w:val="fontstyle01"/>
          <w:rFonts w:ascii="Arial" w:eastAsia="Calibri" w:hAnsi="Arial" w:cs="Arial"/>
          <w:b w:val="0"/>
          <w:bCs w:val="0"/>
          <w:lang w:eastAsia="en-US"/>
        </w:rPr>
        <w:t>;</w:t>
      </w:r>
    </w:p>
    <w:p w14:paraId="6E62F491" w14:textId="1A887320" w:rsidR="000E1632" w:rsidRDefault="002314A9" w:rsidP="00A91D3A">
      <w:pPr>
        <w:pStyle w:val="NormalWeb"/>
        <w:shd w:val="clear" w:color="auto" w:fill="FFFFFF" w:themeFill="background1"/>
        <w:spacing w:before="120" w:beforeAutospacing="0" w:after="120" w:afterAutospacing="0"/>
        <w:ind w:left="1135" w:hanging="284"/>
        <w:jc w:val="both"/>
        <w:rPr>
          <w:rStyle w:val="fontstyle01"/>
          <w:rFonts w:ascii="Arial" w:eastAsia="Calibri" w:hAnsi="Arial" w:cs="Arial"/>
          <w:b w:val="0"/>
          <w:bCs w:val="0"/>
          <w:lang w:eastAsia="en-US"/>
        </w:rPr>
      </w:pPr>
      <w:r w:rsidRPr="000E1632">
        <w:rPr>
          <w:rStyle w:val="fontstyle01"/>
          <w:rFonts w:ascii="Arial" w:eastAsia="Calibri" w:hAnsi="Arial" w:cs="Arial"/>
          <w:lang w:eastAsia="en-US"/>
        </w:rPr>
        <w:t>c)</w:t>
      </w:r>
      <w:r w:rsidRPr="00FA7F83">
        <w:rPr>
          <w:rStyle w:val="fontstyle01"/>
          <w:rFonts w:ascii="Arial" w:eastAsia="Calibri" w:hAnsi="Arial" w:cs="Arial"/>
          <w:b w:val="0"/>
          <w:bCs w:val="0"/>
          <w:lang w:eastAsia="en-US"/>
        </w:rPr>
        <w:t xml:space="preserve"> O movimento contábil mensal dos </w:t>
      </w:r>
      <w:r w:rsidR="00290F3F">
        <w:rPr>
          <w:rStyle w:val="fontstyle01"/>
          <w:rFonts w:ascii="Arial" w:eastAsia="Calibri" w:hAnsi="Arial" w:cs="Arial"/>
          <w:b w:val="0"/>
          <w:bCs w:val="0"/>
          <w:lang w:eastAsia="en-US"/>
        </w:rPr>
        <w:t>C</w:t>
      </w:r>
      <w:r w:rsidRPr="00FA7F83">
        <w:rPr>
          <w:rStyle w:val="fontstyle01"/>
          <w:rFonts w:ascii="Arial" w:eastAsia="Calibri" w:hAnsi="Arial" w:cs="Arial"/>
          <w:b w:val="0"/>
          <w:bCs w:val="0"/>
          <w:lang w:eastAsia="en-US"/>
        </w:rPr>
        <w:t xml:space="preserve">ontratos de </w:t>
      </w:r>
      <w:r w:rsidR="00290F3F">
        <w:rPr>
          <w:rStyle w:val="fontstyle01"/>
          <w:rFonts w:ascii="Arial" w:eastAsia="Calibri" w:hAnsi="Arial" w:cs="Arial"/>
          <w:b w:val="0"/>
          <w:bCs w:val="0"/>
          <w:lang w:eastAsia="en-US"/>
        </w:rPr>
        <w:t>G</w:t>
      </w:r>
      <w:r w:rsidRPr="00FA7F83">
        <w:rPr>
          <w:rStyle w:val="fontstyle01"/>
          <w:rFonts w:ascii="Arial" w:eastAsia="Calibri" w:hAnsi="Arial" w:cs="Arial"/>
          <w:b w:val="0"/>
          <w:bCs w:val="0"/>
          <w:lang w:eastAsia="en-US"/>
        </w:rPr>
        <w:t xml:space="preserve">estão deve ser informado no leiaute “MovimentoContabilMensalContratoGestao”, segregando-se os registros por conta contábil e </w:t>
      </w:r>
      <w:r w:rsidR="00964CD6">
        <w:rPr>
          <w:rStyle w:val="fontstyle01"/>
          <w:rFonts w:ascii="Arial" w:eastAsia="Calibri" w:hAnsi="Arial" w:cs="Arial"/>
          <w:b w:val="0"/>
          <w:bCs w:val="0"/>
          <w:lang w:eastAsia="en-US"/>
        </w:rPr>
        <w:t>C</w:t>
      </w:r>
      <w:r w:rsidRPr="00FA7F83">
        <w:rPr>
          <w:rStyle w:val="fontstyle01"/>
          <w:rFonts w:ascii="Arial" w:eastAsia="Calibri" w:hAnsi="Arial" w:cs="Arial"/>
          <w:b w:val="0"/>
          <w:bCs w:val="0"/>
          <w:lang w:eastAsia="en-US"/>
        </w:rPr>
        <w:t xml:space="preserve">ontrato de </w:t>
      </w:r>
      <w:r w:rsidR="00964CD6">
        <w:rPr>
          <w:rStyle w:val="fontstyle01"/>
          <w:rFonts w:ascii="Arial" w:eastAsia="Calibri" w:hAnsi="Arial" w:cs="Arial"/>
          <w:b w:val="0"/>
          <w:bCs w:val="0"/>
          <w:lang w:eastAsia="en-US"/>
        </w:rPr>
        <w:t>G</w:t>
      </w:r>
      <w:r w:rsidRPr="00FA7F83">
        <w:rPr>
          <w:rStyle w:val="fontstyle01"/>
          <w:rFonts w:ascii="Arial" w:eastAsia="Calibri" w:hAnsi="Arial" w:cs="Arial"/>
          <w:b w:val="0"/>
          <w:bCs w:val="0"/>
          <w:lang w:eastAsia="en-US"/>
        </w:rPr>
        <w:t xml:space="preserve">estão, inclusive a movimentação no exercício dos saldos de exercícios anteriores dos </w:t>
      </w:r>
      <w:r w:rsidR="0088130F">
        <w:rPr>
          <w:rStyle w:val="fontstyle01"/>
          <w:rFonts w:ascii="Arial" w:eastAsia="Calibri" w:hAnsi="Arial" w:cs="Arial"/>
          <w:b w:val="0"/>
          <w:bCs w:val="0"/>
          <w:lang w:eastAsia="en-US"/>
        </w:rPr>
        <w:t>C</w:t>
      </w:r>
      <w:r w:rsidRPr="00FA7F83">
        <w:rPr>
          <w:rStyle w:val="fontstyle01"/>
          <w:rFonts w:ascii="Arial" w:eastAsia="Calibri" w:hAnsi="Arial" w:cs="Arial"/>
          <w:b w:val="0"/>
          <w:bCs w:val="0"/>
          <w:lang w:eastAsia="en-US"/>
        </w:rPr>
        <w:t xml:space="preserve">ontratos de </w:t>
      </w:r>
      <w:r w:rsidR="0088130F">
        <w:rPr>
          <w:rStyle w:val="fontstyle01"/>
          <w:rFonts w:ascii="Arial" w:eastAsia="Calibri" w:hAnsi="Arial" w:cs="Arial"/>
          <w:b w:val="0"/>
          <w:bCs w:val="0"/>
          <w:lang w:eastAsia="en-US"/>
        </w:rPr>
        <w:t>G</w:t>
      </w:r>
      <w:r w:rsidRPr="00FA7F83">
        <w:rPr>
          <w:rStyle w:val="fontstyle01"/>
          <w:rFonts w:ascii="Arial" w:eastAsia="Calibri" w:hAnsi="Arial" w:cs="Arial"/>
          <w:b w:val="0"/>
          <w:bCs w:val="0"/>
          <w:lang w:eastAsia="en-US"/>
        </w:rPr>
        <w:t>estão também deve ocorrer no referido leiaute, de tal forma que</w:t>
      </w:r>
      <w:r w:rsidR="00196559">
        <w:rPr>
          <w:rStyle w:val="fontstyle01"/>
          <w:rFonts w:ascii="Arial" w:eastAsia="Calibri" w:hAnsi="Arial" w:cs="Arial"/>
          <w:b w:val="0"/>
          <w:bCs w:val="0"/>
          <w:lang w:eastAsia="en-US"/>
        </w:rPr>
        <w:t>,</w:t>
      </w:r>
      <w:r w:rsidRPr="00FA7F83">
        <w:rPr>
          <w:rStyle w:val="fontstyle01"/>
          <w:rFonts w:ascii="Arial" w:eastAsia="Calibri" w:hAnsi="Arial" w:cs="Arial"/>
          <w:b w:val="0"/>
          <w:bCs w:val="0"/>
          <w:lang w:eastAsia="en-US"/>
        </w:rPr>
        <w:t xml:space="preserve"> a qualquer momento</w:t>
      </w:r>
      <w:r w:rsidR="00196559">
        <w:rPr>
          <w:rStyle w:val="fontstyle01"/>
          <w:rFonts w:ascii="Arial" w:eastAsia="Calibri" w:hAnsi="Arial" w:cs="Arial"/>
          <w:b w:val="0"/>
          <w:bCs w:val="0"/>
          <w:lang w:eastAsia="en-US"/>
        </w:rPr>
        <w:t>,</w:t>
      </w:r>
      <w:r w:rsidRPr="00FA7F83">
        <w:rPr>
          <w:rStyle w:val="fontstyle01"/>
          <w:rFonts w:ascii="Arial" w:eastAsia="Calibri" w:hAnsi="Arial" w:cs="Arial"/>
          <w:b w:val="0"/>
          <w:bCs w:val="0"/>
          <w:lang w:eastAsia="en-US"/>
        </w:rPr>
        <w:t xml:space="preserve"> seja possível levantar o balancete contábil e demonstrações financeiras por contrato de gestão</w:t>
      </w:r>
      <w:r w:rsidR="002F490B">
        <w:rPr>
          <w:rStyle w:val="fontstyle01"/>
          <w:rFonts w:ascii="Arial" w:eastAsia="Calibri" w:hAnsi="Arial" w:cs="Arial"/>
          <w:b w:val="0"/>
          <w:bCs w:val="0"/>
          <w:lang w:eastAsia="en-US"/>
        </w:rPr>
        <w:t>;</w:t>
      </w:r>
    </w:p>
    <w:p w14:paraId="71AA6E6E" w14:textId="5D6E5FED" w:rsidR="003A71D7" w:rsidRDefault="00FA7F83" w:rsidP="00A91D3A">
      <w:pPr>
        <w:pStyle w:val="NormalWeb"/>
        <w:shd w:val="clear" w:color="auto" w:fill="FFFFFF" w:themeFill="background1"/>
        <w:spacing w:before="120" w:beforeAutospacing="0" w:after="120" w:afterAutospacing="0"/>
        <w:ind w:left="1135" w:hanging="284"/>
        <w:jc w:val="both"/>
        <w:rPr>
          <w:rStyle w:val="fontstyle01"/>
          <w:rFonts w:ascii="Arial" w:eastAsia="Calibri" w:hAnsi="Arial" w:cs="Arial"/>
          <w:b w:val="0"/>
          <w:bCs w:val="0"/>
          <w:lang w:eastAsia="en-US"/>
        </w:rPr>
      </w:pPr>
      <w:r w:rsidRPr="000E1632">
        <w:rPr>
          <w:rStyle w:val="fontstyle01"/>
          <w:rFonts w:ascii="Arial" w:eastAsia="Calibri" w:hAnsi="Arial" w:cs="Arial"/>
          <w:lang w:eastAsia="en-US"/>
        </w:rPr>
        <w:t>d)</w:t>
      </w:r>
      <w:r w:rsidR="003A71D7" w:rsidRPr="002F490B">
        <w:rPr>
          <w:rStyle w:val="fontstyle01"/>
          <w:rFonts w:ascii="Arial" w:eastAsia="Calibri" w:hAnsi="Arial" w:cs="Arial"/>
          <w:b w:val="0"/>
          <w:bCs w:val="0"/>
          <w:lang w:eastAsia="en-US"/>
        </w:rPr>
        <w:t xml:space="preserve"> No caso de </w:t>
      </w:r>
      <w:r w:rsidR="003A71D7" w:rsidRPr="002F490B">
        <w:rPr>
          <w:rStyle w:val="cf01"/>
          <w:rFonts w:ascii="Arial" w:hAnsi="Arial" w:cs="Arial"/>
          <w:sz w:val="24"/>
          <w:szCs w:val="24"/>
        </w:rPr>
        <w:t>rescisão do contrato de gestão</w:t>
      </w:r>
      <w:r w:rsidR="00C113B5" w:rsidRPr="002F490B">
        <w:rPr>
          <w:rStyle w:val="cf01"/>
          <w:rFonts w:ascii="Arial" w:hAnsi="Arial" w:cs="Arial"/>
          <w:sz w:val="24"/>
          <w:szCs w:val="24"/>
        </w:rPr>
        <w:t>,</w:t>
      </w:r>
      <w:r w:rsidR="003A71D7" w:rsidRPr="002F490B">
        <w:rPr>
          <w:rStyle w:val="cf01"/>
          <w:rFonts w:ascii="Arial" w:hAnsi="Arial" w:cs="Arial"/>
          <w:sz w:val="24"/>
          <w:szCs w:val="24"/>
        </w:rPr>
        <w:t xml:space="preserve"> </w:t>
      </w:r>
      <w:r w:rsidR="00C113B5" w:rsidRPr="002F490B">
        <w:rPr>
          <w:rStyle w:val="cf01"/>
          <w:rFonts w:ascii="Arial" w:hAnsi="Arial" w:cs="Arial"/>
          <w:sz w:val="24"/>
          <w:szCs w:val="24"/>
        </w:rPr>
        <w:t xml:space="preserve">tal fato </w:t>
      </w:r>
      <w:r w:rsidR="003A71D7" w:rsidRPr="002F490B">
        <w:rPr>
          <w:rStyle w:val="cf01"/>
          <w:rFonts w:ascii="Arial" w:hAnsi="Arial" w:cs="Arial"/>
          <w:sz w:val="24"/>
          <w:szCs w:val="24"/>
        </w:rPr>
        <w:t>deve ser informad</w:t>
      </w:r>
      <w:r w:rsidR="00C113B5" w:rsidRPr="002F490B">
        <w:rPr>
          <w:rStyle w:val="cf01"/>
          <w:rFonts w:ascii="Arial" w:hAnsi="Arial" w:cs="Arial"/>
          <w:sz w:val="24"/>
          <w:szCs w:val="24"/>
        </w:rPr>
        <w:t>o</w:t>
      </w:r>
      <w:r w:rsidR="003A71D7" w:rsidRPr="002F490B">
        <w:rPr>
          <w:rStyle w:val="cf01"/>
          <w:rFonts w:ascii="Arial" w:hAnsi="Arial" w:cs="Arial"/>
          <w:sz w:val="24"/>
          <w:szCs w:val="24"/>
        </w:rPr>
        <w:t xml:space="preserve"> no leiaute "AditivoContratoGestao", campo</w:t>
      </w:r>
      <w:r w:rsidR="002F490B">
        <w:rPr>
          <w:rStyle w:val="cf01"/>
          <w:rFonts w:ascii="Arial" w:hAnsi="Arial" w:cs="Arial"/>
          <w:sz w:val="24"/>
          <w:szCs w:val="24"/>
        </w:rPr>
        <w:t xml:space="preserve"> </w:t>
      </w:r>
      <w:r w:rsidR="003A71D7" w:rsidRPr="002F490B">
        <w:rPr>
          <w:rStyle w:val="cf01"/>
          <w:rFonts w:ascii="Arial" w:hAnsi="Arial" w:cs="Arial"/>
          <w:sz w:val="24"/>
          <w:szCs w:val="24"/>
        </w:rPr>
        <w:t>"idTipoRescisaoContratoGestao</w:t>
      </w:r>
      <w:r w:rsidR="002F490B">
        <w:rPr>
          <w:rStyle w:val="fontstyle01"/>
          <w:rFonts w:ascii="Arial" w:eastAsia="Calibri" w:hAnsi="Arial" w:cs="Arial"/>
          <w:b w:val="0"/>
          <w:bCs w:val="0"/>
          <w:lang w:eastAsia="en-US"/>
        </w:rPr>
        <w:t>.</w:t>
      </w:r>
    </w:p>
    <w:p w14:paraId="30375DCD" w14:textId="50ED8EE8" w:rsidR="002314A9" w:rsidRPr="002314A9" w:rsidRDefault="002314A9" w:rsidP="003A71D7">
      <w:pPr>
        <w:pStyle w:val="NormalWeb"/>
        <w:shd w:val="clear" w:color="auto" w:fill="FFFFFF" w:themeFill="background1"/>
        <w:spacing w:line="360" w:lineRule="auto"/>
        <w:ind w:left="1080"/>
        <w:jc w:val="both"/>
        <w:rPr>
          <w:rStyle w:val="fontstyle01"/>
          <w:rFonts w:ascii="Arial" w:hAnsi="Arial"/>
          <w:b w:val="0"/>
          <w:bCs w:val="0"/>
        </w:rPr>
      </w:pPr>
    </w:p>
    <w:p w14:paraId="7A17A2EE" w14:textId="77777777" w:rsidR="0053472D" w:rsidRPr="009D7D0B" w:rsidRDefault="0053472D" w:rsidP="0053472D">
      <w:pPr>
        <w:spacing w:after="0" w:line="360" w:lineRule="auto"/>
        <w:ind w:firstLine="1701"/>
        <w:jc w:val="both"/>
        <w:rPr>
          <w:rFonts w:ascii="Arial" w:hAnsi="Arial" w:cs="Arial"/>
          <w:sz w:val="24"/>
          <w:szCs w:val="24"/>
        </w:rPr>
      </w:pPr>
      <w:r w:rsidRPr="51D9E3C7">
        <w:rPr>
          <w:rFonts w:ascii="Arial" w:hAnsi="Arial" w:cs="Arial"/>
          <w:sz w:val="24"/>
          <w:szCs w:val="24"/>
        </w:rPr>
        <w:t xml:space="preserve">É o entendimento. </w:t>
      </w:r>
    </w:p>
    <w:p w14:paraId="77D27FB7" w14:textId="77777777" w:rsidR="0053472D" w:rsidRDefault="0053472D" w:rsidP="0053472D">
      <w:pPr>
        <w:spacing w:after="0" w:line="360" w:lineRule="auto"/>
        <w:ind w:firstLine="1701"/>
        <w:jc w:val="both"/>
        <w:rPr>
          <w:rFonts w:ascii="Arial" w:hAnsi="Arial" w:cs="Arial"/>
        </w:rPr>
      </w:pPr>
    </w:p>
    <w:p w14:paraId="617A880A" w14:textId="77777777" w:rsidR="0053472D" w:rsidRPr="009D7D0B" w:rsidRDefault="0053472D" w:rsidP="0053472D">
      <w:pPr>
        <w:spacing w:after="0" w:line="360" w:lineRule="auto"/>
        <w:ind w:firstLine="1701"/>
        <w:jc w:val="both"/>
        <w:rPr>
          <w:rFonts w:ascii="Arial" w:hAnsi="Arial" w:cs="Arial"/>
          <w:sz w:val="24"/>
          <w:szCs w:val="24"/>
        </w:rPr>
      </w:pPr>
    </w:p>
    <w:p w14:paraId="34C1CB83" w14:textId="6EA43D47" w:rsidR="0053472D" w:rsidRPr="001A2D37" w:rsidRDefault="0053472D" w:rsidP="0053472D">
      <w:pPr>
        <w:spacing w:after="0" w:line="288" w:lineRule="auto"/>
        <w:jc w:val="center"/>
        <w:rPr>
          <w:rFonts w:ascii="Arial" w:eastAsia="Arial" w:hAnsi="Arial" w:cs="Arial"/>
          <w:color w:val="000000" w:themeColor="text1"/>
          <w:sz w:val="24"/>
          <w:szCs w:val="24"/>
        </w:rPr>
      </w:pPr>
      <w:r w:rsidRPr="51D9E3C7">
        <w:rPr>
          <w:rFonts w:ascii="Arial" w:eastAsia="Arial" w:hAnsi="Arial" w:cs="Arial"/>
          <w:color w:val="000000" w:themeColor="text1"/>
          <w:sz w:val="24"/>
          <w:szCs w:val="24"/>
        </w:rPr>
        <w:t xml:space="preserve">CGF, </w:t>
      </w:r>
      <w:r w:rsidR="00D4535E">
        <w:rPr>
          <w:rFonts w:ascii="Arial" w:eastAsia="Arial" w:hAnsi="Arial" w:cs="Arial"/>
          <w:color w:val="000000" w:themeColor="text1"/>
          <w:sz w:val="24"/>
          <w:szCs w:val="24"/>
        </w:rPr>
        <w:t xml:space="preserve">03 de agosto de 2022. </w:t>
      </w:r>
    </w:p>
    <w:p w14:paraId="09A93F4E" w14:textId="77777777" w:rsidR="0053472D" w:rsidRPr="001A2D37" w:rsidRDefault="0053472D" w:rsidP="0053472D">
      <w:pPr>
        <w:spacing w:after="0" w:line="288" w:lineRule="auto"/>
        <w:jc w:val="center"/>
        <w:rPr>
          <w:rFonts w:ascii="Arial" w:eastAsia="Arial" w:hAnsi="Arial" w:cs="Arial"/>
          <w:color w:val="000000" w:themeColor="text1"/>
          <w:sz w:val="24"/>
          <w:szCs w:val="24"/>
        </w:rPr>
      </w:pPr>
      <w:r w:rsidRPr="51D9E3C7">
        <w:rPr>
          <w:rFonts w:ascii="Arial" w:eastAsia="Arial" w:hAnsi="Arial" w:cs="Arial"/>
          <w:color w:val="000000" w:themeColor="text1"/>
          <w:sz w:val="24"/>
          <w:szCs w:val="24"/>
        </w:rPr>
        <w:t xml:space="preserve"> </w:t>
      </w:r>
    </w:p>
    <w:p w14:paraId="3CEE373A" w14:textId="77777777" w:rsidR="0053472D" w:rsidRPr="001A2D37" w:rsidRDefault="0053472D" w:rsidP="0053472D">
      <w:pPr>
        <w:spacing w:after="0" w:line="288" w:lineRule="auto"/>
        <w:jc w:val="center"/>
        <w:rPr>
          <w:rFonts w:ascii="Arial" w:eastAsia="Arial" w:hAnsi="Arial" w:cs="Arial"/>
          <w:color w:val="000000" w:themeColor="text1"/>
          <w:sz w:val="24"/>
          <w:szCs w:val="24"/>
        </w:rPr>
      </w:pPr>
      <w:r w:rsidRPr="51D9E3C7">
        <w:rPr>
          <w:rFonts w:ascii="Arial" w:eastAsia="Arial" w:hAnsi="Arial" w:cs="Arial"/>
          <w:color w:val="000000" w:themeColor="text1"/>
          <w:sz w:val="24"/>
          <w:szCs w:val="24"/>
        </w:rPr>
        <w:t>-assinatura digital-</w:t>
      </w:r>
    </w:p>
    <w:p w14:paraId="19C98623" w14:textId="25F9E044" w:rsidR="0053472D" w:rsidRPr="001A2D37" w:rsidRDefault="0053472D" w:rsidP="0053472D">
      <w:pPr>
        <w:spacing w:after="0" w:line="240" w:lineRule="auto"/>
        <w:jc w:val="center"/>
        <w:rPr>
          <w:rFonts w:ascii="Arial" w:eastAsia="Arial" w:hAnsi="Arial" w:cs="Arial"/>
          <w:color w:val="000000" w:themeColor="text1"/>
          <w:sz w:val="24"/>
          <w:szCs w:val="24"/>
        </w:rPr>
      </w:pPr>
      <w:r w:rsidRPr="64F248D2">
        <w:rPr>
          <w:rFonts w:ascii="Arial" w:eastAsia="Arial" w:hAnsi="Arial" w:cs="Arial"/>
          <w:color w:val="000000" w:themeColor="text1"/>
          <w:sz w:val="24"/>
          <w:szCs w:val="24"/>
        </w:rPr>
        <w:t>VIVIANÉLI ARAUJO PRESTES</w:t>
      </w:r>
    </w:p>
    <w:p w14:paraId="632BACED" w14:textId="77777777" w:rsidR="0053472D" w:rsidRPr="001A2D37" w:rsidRDefault="0053472D" w:rsidP="0053472D">
      <w:pPr>
        <w:spacing w:after="0" w:line="240" w:lineRule="auto"/>
        <w:jc w:val="center"/>
        <w:rPr>
          <w:rFonts w:ascii="Arial" w:eastAsia="Arial" w:hAnsi="Arial" w:cs="Arial"/>
          <w:color w:val="000000" w:themeColor="text1"/>
          <w:sz w:val="24"/>
          <w:szCs w:val="24"/>
        </w:rPr>
      </w:pPr>
      <w:r w:rsidRPr="51D9E3C7">
        <w:rPr>
          <w:rFonts w:ascii="Arial" w:eastAsia="Arial" w:hAnsi="Arial" w:cs="Arial"/>
          <w:color w:val="000000" w:themeColor="text1"/>
          <w:sz w:val="24"/>
          <w:szCs w:val="24"/>
        </w:rPr>
        <w:t>Coordenadora-Geral de Fiscalização</w:t>
      </w:r>
    </w:p>
    <w:p w14:paraId="1D95F37D" w14:textId="77777777" w:rsidR="0053472D" w:rsidRDefault="0053472D" w:rsidP="0053472D">
      <w:pPr>
        <w:rPr>
          <w:rFonts w:ascii="Arial" w:eastAsia="Arial" w:hAnsi="Arial" w:cs="Arial"/>
          <w:sz w:val="24"/>
          <w:szCs w:val="24"/>
        </w:rPr>
      </w:pPr>
    </w:p>
    <w:p w14:paraId="5534E882" w14:textId="1CAAD1C3" w:rsidR="007D49D2" w:rsidRDefault="007D49D2" w:rsidP="007D49D2">
      <w:pPr>
        <w:spacing w:after="0" w:line="360" w:lineRule="auto"/>
        <w:ind w:firstLine="1701"/>
        <w:jc w:val="both"/>
        <w:rPr>
          <w:rFonts w:ascii="Arial" w:hAnsi="Arial" w:cs="Arial"/>
          <w:sz w:val="24"/>
          <w:szCs w:val="24"/>
        </w:rPr>
      </w:pPr>
    </w:p>
    <w:sectPr w:rsidR="007D49D2">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E7579" w14:textId="77777777" w:rsidR="005C7A84" w:rsidRDefault="005C7A84" w:rsidP="007D49D2">
      <w:pPr>
        <w:spacing w:after="0" w:line="240" w:lineRule="auto"/>
      </w:pPr>
      <w:r>
        <w:separator/>
      </w:r>
    </w:p>
  </w:endnote>
  <w:endnote w:type="continuationSeparator" w:id="0">
    <w:p w14:paraId="3B882001" w14:textId="77777777" w:rsidR="005C7A84" w:rsidRDefault="005C7A84" w:rsidP="007D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392202"/>
      <w:docPartObj>
        <w:docPartGallery w:val="Page Numbers (Bottom of Page)"/>
        <w:docPartUnique/>
      </w:docPartObj>
    </w:sdtPr>
    <w:sdtContent>
      <w:p w14:paraId="5BCACBC4" w14:textId="54E2E815" w:rsidR="00831F79" w:rsidRDefault="00831F79">
        <w:pPr>
          <w:pStyle w:val="Rodap"/>
          <w:jc w:val="right"/>
        </w:pPr>
        <w:r>
          <w:fldChar w:fldCharType="begin"/>
        </w:r>
        <w:r>
          <w:instrText>PAGE   \* MERGEFORMAT</w:instrText>
        </w:r>
        <w:r>
          <w:fldChar w:fldCharType="separate"/>
        </w:r>
        <w:r>
          <w:t>2</w:t>
        </w:r>
        <w:r>
          <w:fldChar w:fldCharType="end"/>
        </w:r>
      </w:p>
    </w:sdtContent>
  </w:sdt>
  <w:p w14:paraId="1D5F85B2" w14:textId="5F4100DB" w:rsidR="0006124C" w:rsidRDefault="000612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7428" w14:textId="77777777" w:rsidR="005C7A84" w:rsidRDefault="005C7A84" w:rsidP="007D49D2">
      <w:pPr>
        <w:spacing w:after="0" w:line="240" w:lineRule="auto"/>
      </w:pPr>
      <w:r>
        <w:separator/>
      </w:r>
    </w:p>
  </w:footnote>
  <w:footnote w:type="continuationSeparator" w:id="0">
    <w:p w14:paraId="56CE0D40" w14:textId="77777777" w:rsidR="005C7A84" w:rsidRDefault="005C7A84" w:rsidP="007D49D2">
      <w:pPr>
        <w:spacing w:after="0" w:line="240" w:lineRule="auto"/>
      </w:pPr>
      <w:r>
        <w:continuationSeparator/>
      </w:r>
    </w:p>
  </w:footnote>
  <w:footnote w:id="1">
    <w:p w14:paraId="61807E66" w14:textId="5EA82F5D" w:rsidR="00D44D07" w:rsidRDefault="004F2163" w:rsidP="007A09D6">
      <w:pPr>
        <w:pStyle w:val="Textodenotaderodap"/>
        <w:jc w:val="both"/>
      </w:pPr>
      <w:r w:rsidRPr="004428EE">
        <w:rPr>
          <w:rFonts w:ascii="Arial" w:hAnsi="Arial" w:cs="Arial"/>
          <w:b/>
          <w:sz w:val="18"/>
          <w:szCs w:val="18"/>
        </w:rPr>
        <w:t>Nota</w:t>
      </w:r>
      <w:r w:rsidRPr="004428EE">
        <w:rPr>
          <w:rFonts w:ascii="Arial" w:hAnsi="Arial" w:cs="Arial"/>
          <w:b/>
          <w:sz w:val="18"/>
          <w:szCs w:val="18"/>
        </w:rPr>
        <w:t xml:space="preserve"> </w:t>
      </w:r>
      <w:r w:rsidRPr="004428EE">
        <w:rPr>
          <w:rFonts w:ascii="Arial" w:hAnsi="Arial" w:cs="Arial"/>
          <w:b/>
          <w:sz w:val="18"/>
          <w:szCs w:val="18"/>
        </w:rPr>
        <w:t>da Biblioteca</w:t>
      </w:r>
      <w:r w:rsidRPr="009B38F9">
        <w:rPr>
          <w:rFonts w:cs="Arial"/>
          <w:b/>
          <w:sz w:val="18"/>
          <w:szCs w:val="18"/>
        </w:rPr>
        <w:t>:</w:t>
      </w:r>
    </w:p>
    <w:p w14:paraId="00F21EE1" w14:textId="1491E17A" w:rsidR="007617EB" w:rsidRDefault="003B0159" w:rsidP="004428EE">
      <w:pPr>
        <w:spacing w:before="60" w:after="0" w:line="240" w:lineRule="auto"/>
        <w:rPr>
          <w:rFonts w:ascii="Arial" w:hAnsi="Arial" w:cs="Arial"/>
          <w:color w:val="0000FF"/>
          <w:sz w:val="18"/>
          <w:szCs w:val="18"/>
        </w:rPr>
      </w:pPr>
      <w:r>
        <w:rPr>
          <w:rFonts w:ascii="Arial" w:hAnsi="Arial" w:cs="Arial"/>
          <w:sz w:val="18"/>
          <w:szCs w:val="18"/>
        </w:rPr>
        <w:t xml:space="preserve">* </w:t>
      </w:r>
      <w:r w:rsidR="007617EB" w:rsidRPr="00B94C40">
        <w:rPr>
          <w:rFonts w:ascii="Arial" w:hAnsi="Arial" w:cs="Arial"/>
          <w:sz w:val="18"/>
          <w:szCs w:val="18"/>
        </w:rPr>
        <w:t xml:space="preserve">Este texto não substitui o publicado no periódico: </w:t>
      </w:r>
      <w:bookmarkStart w:id="0" w:name="_Hlk114484709"/>
      <w:r w:rsidR="007617EB">
        <w:rPr>
          <w:rFonts w:ascii="Arial" w:hAnsi="Arial" w:cs="Arial"/>
          <w:color w:val="0000FF"/>
          <w:sz w:val="18"/>
          <w:szCs w:val="18"/>
        </w:rPr>
        <w:fldChar w:fldCharType="begin"/>
      </w:r>
      <w:r w:rsidR="007617EB">
        <w:rPr>
          <w:rFonts w:ascii="Arial" w:hAnsi="Arial" w:cs="Arial"/>
          <w:color w:val="0000FF"/>
          <w:sz w:val="18"/>
          <w:szCs w:val="18"/>
        </w:rPr>
        <w:instrText xml:space="preserve"> HYPERLINK "https://www1.tce.pr.gov.br/conteudo/diario-eletronico-2808-2022-de-5-de-agosto-de-2022/342138/area/10" </w:instrText>
      </w:r>
      <w:r w:rsidR="007617EB">
        <w:rPr>
          <w:rFonts w:ascii="Arial" w:hAnsi="Arial" w:cs="Arial"/>
          <w:color w:val="0000FF"/>
          <w:sz w:val="18"/>
          <w:szCs w:val="18"/>
        </w:rPr>
      </w:r>
      <w:r w:rsidR="007617EB">
        <w:rPr>
          <w:rFonts w:ascii="Arial" w:hAnsi="Arial" w:cs="Arial"/>
          <w:color w:val="0000FF"/>
          <w:sz w:val="18"/>
          <w:szCs w:val="18"/>
        </w:rPr>
        <w:fldChar w:fldCharType="separate"/>
      </w:r>
      <w:r w:rsidR="007617EB" w:rsidRPr="007E1FF8">
        <w:rPr>
          <w:rStyle w:val="Hyperlink"/>
          <w:rFonts w:ascii="Arial" w:hAnsi="Arial" w:cs="Arial"/>
          <w:sz w:val="18"/>
          <w:szCs w:val="18"/>
        </w:rPr>
        <w:t>Diário Eletrônico do Tribunal de Contas do Estado do Paraná, Curitiba, PR, n. 2808, 5 ago. 2022, p. 60-61</w:t>
      </w:r>
      <w:r w:rsidR="007617EB">
        <w:rPr>
          <w:rFonts w:ascii="Arial" w:hAnsi="Arial" w:cs="Arial"/>
          <w:color w:val="0000FF"/>
          <w:sz w:val="18"/>
          <w:szCs w:val="18"/>
        </w:rPr>
        <w:fldChar w:fldCharType="end"/>
      </w:r>
      <w:r w:rsidR="007617EB">
        <w:rPr>
          <w:rFonts w:ascii="Arial" w:hAnsi="Arial" w:cs="Arial"/>
          <w:color w:val="0000FF"/>
          <w:sz w:val="18"/>
          <w:szCs w:val="18"/>
        </w:rPr>
        <w:t>.</w:t>
      </w:r>
      <w:bookmarkEnd w:id="0"/>
    </w:p>
    <w:p w14:paraId="16ED6189" w14:textId="77777777" w:rsidR="009438F2" w:rsidRPr="009B38F9" w:rsidRDefault="009438F2" w:rsidP="009438F2">
      <w:pPr>
        <w:pStyle w:val="NormalWeb"/>
        <w:spacing w:before="0" w:beforeAutospacing="0" w:after="0" w:afterAutospacing="0"/>
        <w:rPr>
          <w:rFonts w:ascii="Arial" w:hAnsi="Arial" w:cs="Arial"/>
          <w:color w:val="545454"/>
          <w:sz w:val="18"/>
          <w:szCs w:val="18"/>
        </w:rPr>
      </w:pPr>
      <w:r w:rsidRPr="009B38F9">
        <w:rPr>
          <w:rFonts w:ascii="Arial" w:hAnsi="Arial" w:cs="Arial"/>
          <w:color w:val="545454"/>
          <w:sz w:val="18"/>
          <w:szCs w:val="18"/>
        </w:rPr>
        <w:t>__________________________</w:t>
      </w:r>
    </w:p>
    <w:p w14:paraId="0A11F62D" w14:textId="197DF230" w:rsidR="00E9512E" w:rsidRPr="007A09D6" w:rsidRDefault="00E9512E" w:rsidP="007A09D6">
      <w:pPr>
        <w:pStyle w:val="Textodenotaderodap"/>
        <w:jc w:val="both"/>
        <w:rPr>
          <w:rFonts w:ascii="Arial" w:hAnsi="Arial" w:cs="Arial"/>
        </w:rPr>
      </w:pPr>
      <w:r>
        <w:rPr>
          <w:rStyle w:val="Refdenotaderodap"/>
        </w:rPr>
        <w:footnoteRef/>
      </w:r>
      <w:r>
        <w:t xml:space="preserve"> </w:t>
      </w:r>
      <w:r w:rsidR="00C33192" w:rsidRPr="007A09D6">
        <w:rPr>
          <w:rFonts w:ascii="Arial" w:hAnsi="Arial" w:cs="Arial"/>
        </w:rPr>
        <w:t>Art. 151-A. São atribuições da Coordenadoria-Geral de Fiscalização, com relação às Coordenadorias:</w:t>
      </w:r>
    </w:p>
    <w:p w14:paraId="2794B32B" w14:textId="5380164E" w:rsidR="00C33192" w:rsidRPr="007A09D6" w:rsidRDefault="00C33192" w:rsidP="007A09D6">
      <w:pPr>
        <w:pStyle w:val="Textodenotaderodap"/>
        <w:jc w:val="both"/>
        <w:rPr>
          <w:rFonts w:ascii="Arial" w:hAnsi="Arial" w:cs="Arial"/>
        </w:rPr>
      </w:pPr>
      <w:r w:rsidRPr="007A09D6">
        <w:rPr>
          <w:rFonts w:ascii="Arial" w:hAnsi="Arial" w:cs="Arial"/>
        </w:rPr>
        <w:t>(...)</w:t>
      </w:r>
    </w:p>
    <w:p w14:paraId="6A047864" w14:textId="5062202F" w:rsidR="007A09D6" w:rsidRPr="007A09D6" w:rsidRDefault="007A09D6" w:rsidP="007A09D6">
      <w:pPr>
        <w:pStyle w:val="Textodenotaderodap"/>
        <w:jc w:val="both"/>
        <w:rPr>
          <w:rFonts w:ascii="Arial" w:hAnsi="Arial" w:cs="Arial"/>
        </w:rPr>
      </w:pPr>
      <w:r w:rsidRPr="007A09D6">
        <w:rPr>
          <w:rFonts w:ascii="Arial" w:hAnsi="Arial" w:cs="Arial"/>
        </w:rPr>
        <w:t>IX – expedir notas técnicas para o público externo, acerca da fiscalização, e instruções de serviços, acerca da forma de realização das fiscalizações;</w:t>
      </w:r>
    </w:p>
  </w:footnote>
  <w:footnote w:id="2">
    <w:p w14:paraId="7F9CA2A6" w14:textId="75995295" w:rsidR="00972716" w:rsidRPr="0013277E" w:rsidRDefault="00972716">
      <w:pPr>
        <w:pStyle w:val="Textodenotaderodap"/>
        <w:rPr>
          <w:rFonts w:ascii="Arial" w:hAnsi="Arial" w:cs="Arial"/>
        </w:rPr>
      </w:pPr>
      <w:r w:rsidRPr="0013277E">
        <w:rPr>
          <w:rStyle w:val="Refdenotaderodap"/>
          <w:rFonts w:ascii="Arial" w:hAnsi="Arial" w:cs="Arial"/>
        </w:rPr>
        <w:footnoteRef/>
      </w:r>
      <w:r w:rsidRPr="0013277E">
        <w:rPr>
          <w:rFonts w:ascii="Arial" w:hAnsi="Arial" w:cs="Arial"/>
        </w:rPr>
        <w:t xml:space="preserve"> </w:t>
      </w:r>
      <w:r w:rsidR="00CA73D5" w:rsidRPr="0013277E">
        <w:rPr>
          <w:rFonts w:ascii="Arial" w:hAnsi="Arial" w:cs="Arial"/>
        </w:rPr>
        <w:t xml:space="preserve">Disponível em  </w:t>
      </w:r>
      <w:hyperlink r:id="rId1" w:history="1">
        <w:r w:rsidR="00CA73D5" w:rsidRPr="0013277E">
          <w:rPr>
            <w:rStyle w:val="Hyperlink"/>
            <w:rFonts w:ascii="Arial" w:hAnsi="Arial" w:cs="Arial"/>
          </w:rPr>
          <w:t>PREJULGADO Nº 30 - RETIFICADO PELO ACÓRDÃO 3499/21 - Portal TCE-PR</w:t>
        </w:r>
      </w:hyperlink>
      <w:r w:rsidR="00CA73D5" w:rsidRPr="0013277E">
        <w:rPr>
          <w:rFonts w:ascii="Arial" w:hAnsi="Arial" w:cs="Arial"/>
        </w:rPr>
        <w:t xml:space="preserve"> </w:t>
      </w:r>
      <w:r w:rsidR="0013277E" w:rsidRPr="0013277E">
        <w:rPr>
          <w:rFonts w:ascii="Arial" w:hAnsi="Arial" w:cs="Arial"/>
        </w:rPr>
        <w:t xml:space="preserve">. Acesso em 12.07.2022. </w:t>
      </w:r>
    </w:p>
  </w:footnote>
  <w:footnote w:id="3">
    <w:p w14:paraId="7AEE95BA" w14:textId="77777777" w:rsidR="00CA73D5" w:rsidRPr="006443B5" w:rsidRDefault="00CA73D5" w:rsidP="00CA73D5">
      <w:pPr>
        <w:pStyle w:val="Textodenotaderodap"/>
        <w:jc w:val="both"/>
        <w:rPr>
          <w:rFonts w:ascii="Arial" w:hAnsi="Arial" w:cs="Arial"/>
        </w:rPr>
      </w:pPr>
      <w:r w:rsidRPr="006443B5">
        <w:rPr>
          <w:rStyle w:val="Refdenotaderodap"/>
          <w:rFonts w:ascii="Arial" w:hAnsi="Arial" w:cs="Arial"/>
        </w:rPr>
        <w:footnoteRef/>
      </w:r>
      <w:r w:rsidRPr="006443B5">
        <w:rPr>
          <w:rFonts w:ascii="Arial" w:hAnsi="Arial" w:cs="Arial"/>
        </w:rPr>
        <w:t>Normas de Auditoria do Setor Público – NBASP.</w:t>
      </w:r>
    </w:p>
  </w:footnote>
  <w:footnote w:id="4">
    <w:p w14:paraId="2DF2EECB" w14:textId="77777777" w:rsidR="00CA73D5" w:rsidRPr="006443B5" w:rsidRDefault="00CA73D5" w:rsidP="00CA73D5">
      <w:pPr>
        <w:pStyle w:val="Textodenotaderodap"/>
        <w:jc w:val="both"/>
        <w:rPr>
          <w:rFonts w:ascii="Arial" w:hAnsi="Arial" w:cs="Arial"/>
        </w:rPr>
      </w:pPr>
      <w:r w:rsidRPr="006443B5">
        <w:rPr>
          <w:rStyle w:val="Refdenotaderodap"/>
          <w:rFonts w:ascii="Arial" w:hAnsi="Arial" w:cs="Arial"/>
        </w:rPr>
        <w:footnoteRef/>
      </w:r>
      <w:r w:rsidRPr="006443B5">
        <w:rPr>
          <w:rFonts w:ascii="Arial" w:hAnsi="Arial" w:cs="Arial"/>
        </w:rPr>
        <w:t xml:space="preserve">Disponível em: </w:t>
      </w:r>
      <w:hyperlink r:id="rId2" w:history="1">
        <w:r w:rsidRPr="006443B5">
          <w:rPr>
            <w:rStyle w:val="Hyperlink"/>
            <w:rFonts w:ascii="Arial" w:hAnsi="Arial" w:cs="Arial"/>
          </w:rPr>
          <w:t>https://irbcontas.org.br/wp-admin/admin-ajax.php?juwpfisadmin=false&amp;action=wpfd&amp;task=file.download&amp;wpfd_category_id=2108&amp;wpfd_file_id=23151&amp;token=10fcbd8c9e6bcc671ce2abdea877f73b&amp;preview=1</w:t>
        </w:r>
      </w:hyperlink>
      <w:r w:rsidRPr="006443B5">
        <w:rPr>
          <w:rFonts w:ascii="Arial" w:hAnsi="Arial" w:cs="Arial"/>
        </w:rPr>
        <w:t xml:space="preserve"> Acesso em 12.07.22.</w:t>
      </w:r>
    </w:p>
  </w:footnote>
  <w:footnote w:id="5">
    <w:p w14:paraId="1FE59F2E" w14:textId="1708992D" w:rsidR="00D624F9" w:rsidRPr="00817EE8" w:rsidRDefault="00D624F9" w:rsidP="00817EE8">
      <w:pPr>
        <w:pStyle w:val="Textodenotaderodap"/>
        <w:jc w:val="both"/>
        <w:rPr>
          <w:rFonts w:ascii="Arial" w:hAnsi="Arial" w:cs="Arial"/>
        </w:rPr>
      </w:pPr>
      <w:r w:rsidRPr="00817EE8">
        <w:rPr>
          <w:rStyle w:val="Refdenotaderodap"/>
          <w:rFonts w:ascii="Arial" w:hAnsi="Arial" w:cs="Arial"/>
        </w:rPr>
        <w:footnoteRef/>
      </w:r>
      <w:r w:rsidRPr="00817EE8">
        <w:rPr>
          <w:rFonts w:ascii="Arial" w:hAnsi="Arial" w:cs="Arial"/>
        </w:rPr>
        <w:t xml:space="preserve"> </w:t>
      </w:r>
      <w:r w:rsidR="00817EE8" w:rsidRPr="00817EE8">
        <w:rPr>
          <w:rFonts w:ascii="Arial" w:hAnsi="Arial" w:cs="Arial"/>
        </w:rPr>
        <w:t xml:space="preserve">Disponível em: </w:t>
      </w:r>
      <w:hyperlink r:id="rId3" w:history="1">
        <w:r w:rsidR="00817EE8" w:rsidRPr="00817EE8">
          <w:rPr>
            <w:rStyle w:val="Hyperlink"/>
            <w:rFonts w:ascii="Arial" w:hAnsi="Arial" w:cs="Arial"/>
          </w:rPr>
          <w:t>(Microsoft Word - Carta de Foz do Igua\347u \(I CITC\)) (atricon.org.br)</w:t>
        </w:r>
      </w:hyperlink>
      <w:r w:rsidR="00817EE8" w:rsidRPr="00817EE8">
        <w:rPr>
          <w:rFonts w:ascii="Arial" w:hAnsi="Arial" w:cs="Arial"/>
        </w:rPr>
        <w:t xml:space="preserve"> Acesso em 12.07.22</w:t>
      </w:r>
      <w:r w:rsidR="00817EE8">
        <w:rPr>
          <w:rFonts w:ascii="Arial" w:hAnsi="Arial" w:cs="Arial"/>
        </w:rPr>
        <w:t xml:space="preserve">. </w:t>
      </w:r>
    </w:p>
  </w:footnote>
  <w:footnote w:id="6">
    <w:p w14:paraId="78B1FFD1" w14:textId="77777777" w:rsidR="001050A0" w:rsidRPr="001050A0" w:rsidRDefault="001050A0" w:rsidP="001050A0">
      <w:pPr>
        <w:spacing w:after="0" w:line="240" w:lineRule="auto"/>
        <w:jc w:val="both"/>
        <w:rPr>
          <w:rFonts w:ascii="Arial" w:hAnsi="Arial" w:cs="Arial"/>
          <w:sz w:val="20"/>
          <w:szCs w:val="20"/>
        </w:rPr>
      </w:pPr>
      <w:r>
        <w:rPr>
          <w:rStyle w:val="Refdenotaderodap"/>
        </w:rPr>
        <w:footnoteRef/>
      </w:r>
      <w:r>
        <w:t xml:space="preserve"> </w:t>
      </w:r>
      <w:r w:rsidRPr="001050A0">
        <w:rPr>
          <w:rFonts w:ascii="Arial" w:hAnsi="Arial" w:cs="Arial"/>
          <w:sz w:val="20"/>
          <w:szCs w:val="20"/>
        </w:rPr>
        <w:t xml:space="preserve">Art. 30.  As autoridades públicas devem atuar para aumentar a segurança jurídica na aplicação das normas, inclusive por meio de regulamentos, súmulas administrativas e respostas a consultas.                      </w:t>
      </w:r>
    </w:p>
    <w:p w14:paraId="5FAFF67A" w14:textId="77777777" w:rsidR="001050A0" w:rsidRPr="001050A0" w:rsidRDefault="001050A0" w:rsidP="001050A0">
      <w:pPr>
        <w:pStyle w:val="texto2"/>
        <w:shd w:val="clear" w:color="auto" w:fill="FFFFFF"/>
        <w:spacing w:before="0" w:beforeAutospacing="0" w:after="0" w:afterAutospacing="0"/>
        <w:jc w:val="both"/>
        <w:rPr>
          <w:rFonts w:ascii="Arial" w:eastAsia="Calibri" w:hAnsi="Arial" w:cs="Arial"/>
          <w:sz w:val="20"/>
          <w:szCs w:val="20"/>
          <w:lang w:eastAsia="en-US"/>
        </w:rPr>
      </w:pPr>
      <w:r w:rsidRPr="001050A0">
        <w:rPr>
          <w:rFonts w:ascii="Arial" w:eastAsia="Calibri" w:hAnsi="Arial" w:cs="Arial"/>
          <w:sz w:val="20"/>
          <w:szCs w:val="20"/>
          <w:lang w:eastAsia="en-US"/>
        </w:rPr>
        <w:t>Parágrafo único.  Os instrumentos previstos no caput deste artigo terão caráter vinculante em relação ao órgão ou entidade a que se destinam, até ulterior revisão.</w:t>
      </w:r>
    </w:p>
    <w:p w14:paraId="6F388617" w14:textId="7C8F8267" w:rsidR="001050A0" w:rsidRDefault="001050A0">
      <w:pPr>
        <w:pStyle w:val="Textodenotaderodap"/>
      </w:pPr>
    </w:p>
  </w:footnote>
  <w:footnote w:id="7">
    <w:p w14:paraId="5BBF9CB7" w14:textId="77777777" w:rsidR="00CA73D5" w:rsidRPr="006443B5" w:rsidRDefault="00CA73D5" w:rsidP="00CA73D5">
      <w:pPr>
        <w:pStyle w:val="Textodenotaderodap"/>
        <w:jc w:val="both"/>
        <w:rPr>
          <w:rFonts w:ascii="Arial" w:hAnsi="Arial" w:cs="Arial"/>
        </w:rPr>
      </w:pPr>
      <w:r w:rsidRPr="006443B5">
        <w:rPr>
          <w:rStyle w:val="Refdenotaderodap"/>
          <w:rFonts w:ascii="Arial" w:hAnsi="Arial" w:cs="Arial"/>
        </w:rPr>
        <w:footnoteRef/>
      </w:r>
      <w:r w:rsidRPr="006443B5">
        <w:rPr>
          <w:rFonts w:ascii="Arial" w:hAnsi="Arial" w:cs="Arial"/>
        </w:rPr>
        <w:t xml:space="preserve"> Art. 79. Por iniciativa do Presidente do Tribunal de Contas, a requerimento do Relator ou do Procurador Geral junto ao Ministério Público, poderá o Tribunal Pleno pronunciar-se sobre a interpretação de qualquer norma jurídica ou procedimento da administração, reconhecendo a importância da matéria de direito e de sua aplicabilidade de forma geral e vinculante até que o prejulgado venha a ser reformado na forma prevista em Regimento Interno.</w:t>
      </w:r>
    </w:p>
    <w:p w14:paraId="60EBF072" w14:textId="77777777" w:rsidR="00CA73D5" w:rsidRPr="006443B5" w:rsidRDefault="00CA73D5" w:rsidP="00CA73D5">
      <w:pPr>
        <w:pStyle w:val="Textodenotaderodap"/>
        <w:jc w:val="both"/>
        <w:rPr>
          <w:rFonts w:ascii="Arial" w:hAnsi="Arial" w:cs="Arial"/>
        </w:rPr>
      </w:pPr>
      <w:r w:rsidRPr="006443B5">
        <w:rPr>
          <w:rFonts w:ascii="Arial" w:hAnsi="Arial" w:cs="Arial"/>
        </w:rPr>
        <w:t>Parágrafo único. Não poderá atuar como Relator o Conselheiro que suscitar a matéria.</w:t>
      </w:r>
    </w:p>
  </w:footnote>
  <w:footnote w:id="8">
    <w:p w14:paraId="1D4DE6FE" w14:textId="70C5C2D8" w:rsidR="00972769" w:rsidRDefault="00972769" w:rsidP="00972769">
      <w:pPr>
        <w:pStyle w:val="Textodenotaderodap"/>
        <w:jc w:val="both"/>
      </w:pPr>
      <w:r>
        <w:rPr>
          <w:rStyle w:val="Refdenotaderodap"/>
        </w:rPr>
        <w:footnoteRef/>
      </w:r>
      <w:r>
        <w:t xml:space="preserve"> </w:t>
      </w:r>
      <w:r w:rsidRPr="00AB4363">
        <w:rPr>
          <w:rFonts w:ascii="Arial" w:hAnsi="Arial" w:cs="Arial"/>
        </w:rPr>
        <w:t>Art. 410. Por iniciativa do Presidente do Tribunal de Contas, a requerimento do Relator ou do Procurador-Geral do Ministério Público junto ao Tribunal de Contas, poderá o Tribunal Pleno pronunciar-se sobre a interpretação de qualquer norma jurídica ou procedimento da administração, reconhecendo a importância da matéria de direito e de sua aplicabilidade de forma geral e vinculante até que o prejulgado venha a ser reformado na forma prevista em Regimento Interno</w:t>
      </w:r>
      <w:r>
        <w:rPr>
          <w:rFonts w:ascii="Arial" w:hAnsi="Arial" w:cs="Arial"/>
        </w:rPr>
        <w:t xml:space="preserve">. </w:t>
      </w:r>
    </w:p>
  </w:footnote>
  <w:footnote w:id="9">
    <w:p w14:paraId="7D0D4561" w14:textId="74AFA5FD" w:rsidR="00954F1C" w:rsidRPr="00954F1C" w:rsidRDefault="00954F1C" w:rsidP="00954F1C">
      <w:pPr>
        <w:pStyle w:val="Textodenotaderodap"/>
        <w:jc w:val="both"/>
        <w:rPr>
          <w:rFonts w:ascii="Arial" w:hAnsi="Arial" w:cs="Arial"/>
        </w:rPr>
      </w:pPr>
      <w:r>
        <w:rPr>
          <w:rStyle w:val="Refdenotaderodap"/>
        </w:rPr>
        <w:footnoteRef/>
      </w:r>
      <w:r>
        <w:t xml:space="preserve"> </w:t>
      </w:r>
      <w:r w:rsidRPr="00954F1C">
        <w:rPr>
          <w:rFonts w:ascii="Arial" w:hAnsi="Arial" w:cs="Arial"/>
        </w:rPr>
        <w:t xml:space="preserve">Do Prejulgado nº 368119/20. </w:t>
      </w:r>
      <w:r>
        <w:rPr>
          <w:rFonts w:ascii="Arial" w:hAnsi="Arial" w:cs="Arial"/>
        </w:rPr>
        <w:t xml:space="preserve">O Acórdão nº 1271/21 – Tribunal Pleno foi retificado pelo Acórdão nº 3499/21 – Tribunal Pleno. </w:t>
      </w:r>
      <w:r w:rsidRPr="00954F1C">
        <w:rPr>
          <w:rFonts w:ascii="Arial" w:hAnsi="Arial" w:cs="Arial"/>
        </w:rPr>
        <w:t>Ver nota 1.</w:t>
      </w:r>
      <w:r>
        <w:rPr>
          <w:rFonts w:ascii="Arial" w:hAnsi="Arial" w:cs="Arial"/>
        </w:rPr>
        <w:t xml:space="preserve"> </w:t>
      </w:r>
    </w:p>
  </w:footnote>
  <w:footnote w:id="10">
    <w:p w14:paraId="214A8F51" w14:textId="288959C0" w:rsidR="003F04A1" w:rsidRPr="00C4393B" w:rsidRDefault="003F04A1">
      <w:pPr>
        <w:pStyle w:val="Textodenotaderodap"/>
        <w:rPr>
          <w:rFonts w:ascii="Arial" w:hAnsi="Arial" w:cs="Arial"/>
        </w:rPr>
      </w:pPr>
      <w:r>
        <w:rPr>
          <w:rStyle w:val="Refdenotaderodap"/>
        </w:rPr>
        <w:footnoteRef/>
      </w:r>
      <w:r>
        <w:t xml:space="preserve"> </w:t>
      </w:r>
      <w:r w:rsidR="00C4393B" w:rsidRPr="00C4393B">
        <w:rPr>
          <w:rFonts w:ascii="Arial" w:hAnsi="Arial" w:cs="Arial"/>
        </w:rPr>
        <w:t xml:space="preserve">Prejulgado nº 30. Disponível em: </w:t>
      </w:r>
      <w:hyperlink r:id="rId4" w:history="1">
        <w:r w:rsidR="00C4393B" w:rsidRPr="00C4393B">
          <w:rPr>
            <w:rStyle w:val="Hyperlink"/>
            <w:rFonts w:ascii="Arial" w:hAnsi="Arial" w:cs="Arial"/>
          </w:rPr>
          <w:t>00363738.pdf (tce.pr.gov.br)</w:t>
        </w:r>
      </w:hyperlink>
      <w:r w:rsidR="00C4393B" w:rsidRPr="00C4393B">
        <w:rPr>
          <w:rFonts w:ascii="Arial" w:hAnsi="Arial" w:cs="Arial"/>
        </w:rPr>
        <w:t xml:space="preserve"> Acesso em 12.06.22</w:t>
      </w:r>
    </w:p>
  </w:footnote>
  <w:footnote w:id="11">
    <w:p w14:paraId="135E0ED9" w14:textId="447B4BED" w:rsidR="00DF096F" w:rsidRPr="00C5096C" w:rsidRDefault="00DF096F">
      <w:pPr>
        <w:pStyle w:val="Textodenotaderodap"/>
        <w:rPr>
          <w:rFonts w:ascii="Arial" w:hAnsi="Arial" w:cs="Arial"/>
        </w:rPr>
      </w:pPr>
      <w:r w:rsidRPr="00C5096C">
        <w:rPr>
          <w:rStyle w:val="Refdenotaderodap"/>
          <w:rFonts w:ascii="Arial" w:hAnsi="Arial" w:cs="Arial"/>
        </w:rPr>
        <w:footnoteRef/>
      </w:r>
      <w:r w:rsidRPr="00C5096C">
        <w:rPr>
          <w:rFonts w:ascii="Arial" w:hAnsi="Arial" w:cs="Arial"/>
        </w:rPr>
        <w:t xml:space="preserve"> </w:t>
      </w:r>
      <w:r w:rsidR="00C5096C" w:rsidRPr="00C5096C">
        <w:rPr>
          <w:rFonts w:ascii="Arial" w:hAnsi="Arial" w:cs="Arial"/>
        </w:rPr>
        <w:t>Ver nota nº 8.</w:t>
      </w:r>
    </w:p>
  </w:footnote>
  <w:footnote w:id="12">
    <w:p w14:paraId="250A0A42" w14:textId="54FAC77C" w:rsidR="006D5236" w:rsidRPr="00A37D85" w:rsidRDefault="006D5236" w:rsidP="00A37D85">
      <w:pPr>
        <w:pStyle w:val="Textodenotaderodap"/>
        <w:jc w:val="both"/>
        <w:rPr>
          <w:rFonts w:ascii="Arial" w:hAnsi="Arial" w:cs="Arial"/>
        </w:rPr>
      </w:pPr>
      <w:r>
        <w:rPr>
          <w:rStyle w:val="Refdenotaderodap"/>
        </w:rPr>
        <w:footnoteRef/>
      </w:r>
      <w:r>
        <w:t xml:space="preserve"> </w:t>
      </w:r>
      <w:r w:rsidR="007F675E" w:rsidRPr="00A37D85">
        <w:rPr>
          <w:rFonts w:ascii="Arial" w:hAnsi="Arial" w:cs="Arial"/>
        </w:rPr>
        <w:t xml:space="preserve">Prejulgado retificado pelo Acórdão nº 3499/21 – TP, para </w:t>
      </w:r>
      <w:r w:rsidR="009D1B92" w:rsidRPr="00A37D85">
        <w:rPr>
          <w:rFonts w:ascii="Arial" w:hAnsi="Arial" w:cs="Arial"/>
        </w:rPr>
        <w:t>modular efeitos do Acórdão nº</w:t>
      </w:r>
      <w:r w:rsidR="00E50CB4">
        <w:rPr>
          <w:rFonts w:ascii="Arial" w:hAnsi="Arial" w:cs="Arial"/>
        </w:rPr>
        <w:t xml:space="preserve"> 1271/21 -TP</w:t>
      </w:r>
      <w:r w:rsidR="009D1B92" w:rsidRPr="00A37D85">
        <w:rPr>
          <w:rFonts w:ascii="Arial" w:hAnsi="Arial" w:cs="Arial"/>
        </w:rPr>
        <w:t xml:space="preserve">, a fim de que a alimentação dos </w:t>
      </w:r>
      <w:r w:rsidR="00A37D85" w:rsidRPr="00A37D85">
        <w:rPr>
          <w:rFonts w:ascii="Arial" w:hAnsi="Arial" w:cs="Arial"/>
        </w:rPr>
        <w:t>dados, no</w:t>
      </w:r>
      <w:r w:rsidR="006E4C42" w:rsidRPr="00A37D85">
        <w:rPr>
          <w:rFonts w:ascii="Arial" w:hAnsi="Arial" w:cs="Arial"/>
        </w:rPr>
        <w:t xml:space="preserve"> SEI- </w:t>
      </w:r>
      <w:r w:rsidR="00A37D85" w:rsidRPr="00A37D85">
        <w:rPr>
          <w:rFonts w:ascii="Arial" w:hAnsi="Arial" w:cs="Arial"/>
        </w:rPr>
        <w:t>CED, pelos</w:t>
      </w:r>
      <w:r w:rsidR="009D1B92" w:rsidRPr="00A37D85">
        <w:rPr>
          <w:rFonts w:ascii="Arial" w:hAnsi="Arial" w:cs="Arial"/>
        </w:rPr>
        <w:t xml:space="preserve"> Serviços Sociais Autônomos e </w:t>
      </w:r>
      <w:r w:rsidR="00DD3086">
        <w:rPr>
          <w:rFonts w:ascii="Arial" w:hAnsi="Arial" w:cs="Arial"/>
        </w:rPr>
        <w:t xml:space="preserve">Fundações Públicas de Direito </w:t>
      </w:r>
      <w:r w:rsidR="00F47CFA">
        <w:rPr>
          <w:rFonts w:ascii="Arial" w:hAnsi="Arial" w:cs="Arial"/>
        </w:rPr>
        <w:t xml:space="preserve">Privado </w:t>
      </w:r>
      <w:r w:rsidR="00F47CFA" w:rsidRPr="00A37D85">
        <w:rPr>
          <w:rFonts w:ascii="Arial" w:hAnsi="Arial" w:cs="Arial"/>
        </w:rPr>
        <w:t>da</w:t>
      </w:r>
      <w:r w:rsidR="006E4C42" w:rsidRPr="00A37D85">
        <w:rPr>
          <w:rFonts w:ascii="Arial" w:hAnsi="Arial" w:cs="Arial"/>
        </w:rPr>
        <w:t xml:space="preserve"> esfera </w:t>
      </w:r>
      <w:r w:rsidR="00C579BF" w:rsidRPr="00A37D85">
        <w:rPr>
          <w:rFonts w:ascii="Arial" w:hAnsi="Arial" w:cs="Arial"/>
        </w:rPr>
        <w:t xml:space="preserve">estadual, </w:t>
      </w:r>
      <w:r w:rsidR="00C579BF">
        <w:rPr>
          <w:rFonts w:ascii="Arial" w:hAnsi="Arial" w:cs="Arial"/>
        </w:rPr>
        <w:t>somente</w:t>
      </w:r>
      <w:r w:rsidR="00144D2F">
        <w:rPr>
          <w:rFonts w:ascii="Arial" w:hAnsi="Arial" w:cs="Arial"/>
        </w:rPr>
        <w:t xml:space="preserve"> </w:t>
      </w:r>
      <w:r w:rsidR="006E4C42" w:rsidRPr="00A37D85">
        <w:rPr>
          <w:rFonts w:ascii="Arial" w:hAnsi="Arial" w:cs="Arial"/>
        </w:rPr>
        <w:t>se tornasse exigível a partir do exercício de 20</w:t>
      </w:r>
      <w:r w:rsidR="005809E0" w:rsidRPr="00A37D85">
        <w:rPr>
          <w:rFonts w:ascii="Arial" w:hAnsi="Arial" w:cs="Arial"/>
        </w:rPr>
        <w:t>23.</w:t>
      </w:r>
      <w:r w:rsidR="006E4C42" w:rsidRPr="00A37D85">
        <w:rPr>
          <w:rFonts w:ascii="Arial" w:hAnsi="Arial" w:cs="Arial"/>
        </w:rPr>
        <w:t xml:space="preserve"> </w:t>
      </w:r>
    </w:p>
  </w:footnote>
  <w:footnote w:id="13">
    <w:p w14:paraId="1A6192E6" w14:textId="31772917" w:rsidR="00BC1831" w:rsidRPr="00A31CEB" w:rsidRDefault="00BC1831" w:rsidP="00A31CEB">
      <w:pPr>
        <w:pStyle w:val="Textodenotaderodap"/>
        <w:jc w:val="both"/>
        <w:rPr>
          <w:rFonts w:ascii="Arial" w:hAnsi="Arial" w:cs="Arial"/>
        </w:rPr>
      </w:pPr>
      <w:r w:rsidRPr="00C5096C">
        <w:rPr>
          <w:rStyle w:val="Refdenotaderodap"/>
          <w:rFonts w:ascii="Arial" w:hAnsi="Arial" w:cs="Arial"/>
        </w:rPr>
        <w:footnoteRef/>
      </w:r>
      <w:r w:rsidRPr="00C5096C">
        <w:rPr>
          <w:rFonts w:ascii="Arial" w:hAnsi="Arial" w:cs="Arial"/>
        </w:rPr>
        <w:t xml:space="preserve"> No que diz respeito</w:t>
      </w:r>
      <w:r w:rsidRPr="00A31CEB">
        <w:rPr>
          <w:rFonts w:ascii="Arial" w:hAnsi="Arial" w:cs="Arial"/>
        </w:rPr>
        <w:t xml:space="preserve"> aos atos de pessoal, é observado pelo Acórdã</w:t>
      </w:r>
      <w:r w:rsidR="0027581A" w:rsidRPr="00A31CEB">
        <w:rPr>
          <w:rFonts w:ascii="Arial" w:hAnsi="Arial" w:cs="Arial"/>
        </w:rPr>
        <w:t xml:space="preserve">o do Prejulgado 30 que já eram enviados ao Sistema de Informações de Atos de Pessoal </w:t>
      </w:r>
      <w:r w:rsidR="00744AF3" w:rsidRPr="00A31CEB">
        <w:rPr>
          <w:rFonts w:ascii="Arial" w:hAnsi="Arial" w:cs="Arial"/>
        </w:rPr>
        <w:t>–</w:t>
      </w:r>
      <w:r w:rsidR="0027581A" w:rsidRPr="00A31CEB">
        <w:rPr>
          <w:rFonts w:ascii="Arial" w:hAnsi="Arial" w:cs="Arial"/>
        </w:rPr>
        <w:t xml:space="preserve"> SIAP</w:t>
      </w:r>
      <w:r w:rsidR="00744AF3" w:rsidRPr="00A31CEB">
        <w:rPr>
          <w:rFonts w:ascii="Arial" w:hAnsi="Arial" w:cs="Arial"/>
        </w:rPr>
        <w:t xml:space="preserve">, regulamentado pela Instrução Normativa nº 120/2016, as informações relativas às despesas com pessoal de praticamente todas as entidades estaduais e municipais, </w:t>
      </w:r>
      <w:r w:rsidR="00A31CEB" w:rsidRPr="00A31CEB">
        <w:rPr>
          <w:rFonts w:ascii="Arial" w:hAnsi="Arial" w:cs="Arial"/>
        </w:rPr>
        <w:t xml:space="preserve">inclusive as realizadas no âmbito de Contratos de Gestão com Serviços Sociais Autônomos e Fundações de Direito Privado. </w:t>
      </w:r>
    </w:p>
  </w:footnote>
  <w:footnote w:id="14">
    <w:p w14:paraId="1D97FF51" w14:textId="520BDD9C" w:rsidR="00D350F5" w:rsidRPr="00C81CEF" w:rsidRDefault="00D350F5">
      <w:pPr>
        <w:pStyle w:val="Textodenotaderodap"/>
        <w:rPr>
          <w:rFonts w:ascii="Arial" w:hAnsi="Arial" w:cs="Arial"/>
        </w:rPr>
      </w:pPr>
      <w:r w:rsidRPr="00C81CEF">
        <w:rPr>
          <w:rStyle w:val="Refdenotaderodap"/>
          <w:rFonts w:ascii="Arial" w:hAnsi="Arial" w:cs="Arial"/>
        </w:rPr>
        <w:footnoteRef/>
      </w:r>
      <w:r w:rsidRPr="00C81CEF">
        <w:rPr>
          <w:rFonts w:ascii="Arial" w:hAnsi="Arial" w:cs="Arial"/>
        </w:rPr>
        <w:t xml:space="preserve"> </w:t>
      </w:r>
      <w:r w:rsidR="00C81CEF" w:rsidRPr="00C81CEF">
        <w:rPr>
          <w:rFonts w:ascii="Arial" w:hAnsi="Arial" w:cs="Arial"/>
        </w:rPr>
        <w:t xml:space="preserve">Ver nota </w:t>
      </w:r>
      <w:r w:rsidR="00C81CEF">
        <w:rPr>
          <w:rFonts w:ascii="Arial" w:hAnsi="Arial" w:cs="Arial"/>
        </w:rPr>
        <w:t xml:space="preserve">nº </w:t>
      </w:r>
      <w:r w:rsidR="00C81CEF" w:rsidRPr="00C81CEF">
        <w:rPr>
          <w:rFonts w:ascii="Arial" w:hAnsi="Arial" w:cs="Arial"/>
        </w:rPr>
        <w:t>1.</w:t>
      </w:r>
    </w:p>
  </w:footnote>
  <w:footnote w:id="15">
    <w:p w14:paraId="28F2DADB" w14:textId="02A503EC" w:rsidR="00355C32" w:rsidRPr="007C59E0" w:rsidRDefault="00355C32" w:rsidP="009518FF">
      <w:pPr>
        <w:pStyle w:val="Textodenotaderodap"/>
        <w:jc w:val="both"/>
        <w:rPr>
          <w:rFonts w:ascii="Arial" w:hAnsi="Arial" w:cs="Arial"/>
        </w:rPr>
      </w:pPr>
      <w:r w:rsidRPr="00C81CEF">
        <w:rPr>
          <w:rStyle w:val="Refdenotaderodap"/>
          <w:rFonts w:ascii="Arial" w:hAnsi="Arial" w:cs="Arial"/>
        </w:rPr>
        <w:footnoteRef/>
      </w:r>
      <w:r w:rsidRPr="00C81CEF">
        <w:rPr>
          <w:rFonts w:ascii="Arial" w:hAnsi="Arial" w:cs="Arial"/>
        </w:rPr>
        <w:t xml:space="preserve"> </w:t>
      </w:r>
      <w:r w:rsidR="00B3314F" w:rsidRPr="00C81CEF">
        <w:rPr>
          <w:rFonts w:ascii="Arial" w:hAnsi="Arial" w:cs="Arial"/>
        </w:rPr>
        <w:t>OS MEMBROS</w:t>
      </w:r>
      <w:r w:rsidR="00B3314F" w:rsidRPr="007C59E0">
        <w:rPr>
          <w:rFonts w:ascii="Arial" w:hAnsi="Arial" w:cs="Arial"/>
        </w:rPr>
        <w:t xml:space="preserve"> DO TRIBUNAL PLENO do TRIBUNAL DE CONTAS DO ESTADO DO PARANÁ, nos termos do voto do Relator, Conselheiro IVENS ZSCHOERPER LINHARES, por unanimidade, em: (...) III - em seguida, encaminhar à Coordenadoria-Geral de Fiscalização para ciência desta decisão e adoção das medidas que entender cabíveis para a revisão dos instrumentos que estabelecem os dados, documentos e critérios para análise das prestações de contas dos repasses efetuados em decorrência da formalização de Contratos de Gestão, nos termos do art. 219 do Regimento Interno, em vista das competências atribuídas pelo respectivo art. 151-A, I, V, IX, X, XI, XIV e XV</w:t>
      </w:r>
      <w:r w:rsidR="009518FF" w:rsidRPr="007C59E0">
        <w:rPr>
          <w:rFonts w:ascii="Arial" w:hAnsi="Arial" w:cs="Arial"/>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6C77ADD5" w14:paraId="660D7966" w14:textId="77777777" w:rsidTr="6C77ADD5">
      <w:tc>
        <w:tcPr>
          <w:tcW w:w="2830" w:type="dxa"/>
        </w:tcPr>
        <w:p w14:paraId="22F58BCC" w14:textId="0F2B3C98" w:rsidR="6C77ADD5" w:rsidRDefault="6C77ADD5" w:rsidP="6C77ADD5">
          <w:pPr>
            <w:pStyle w:val="Cabealho"/>
            <w:ind w:left="-115"/>
          </w:pPr>
        </w:p>
      </w:tc>
      <w:tc>
        <w:tcPr>
          <w:tcW w:w="2830" w:type="dxa"/>
        </w:tcPr>
        <w:p w14:paraId="723EFE9C" w14:textId="2B0F42D4" w:rsidR="6C77ADD5" w:rsidRDefault="6C77ADD5" w:rsidP="6C77ADD5">
          <w:pPr>
            <w:pStyle w:val="Cabealho"/>
            <w:jc w:val="center"/>
          </w:pPr>
        </w:p>
      </w:tc>
      <w:tc>
        <w:tcPr>
          <w:tcW w:w="2830" w:type="dxa"/>
        </w:tcPr>
        <w:p w14:paraId="25BAFA66" w14:textId="2EF88C6E" w:rsidR="6C77ADD5" w:rsidRDefault="6C77ADD5" w:rsidP="6C77ADD5">
          <w:pPr>
            <w:pStyle w:val="Cabealho"/>
            <w:ind w:right="-115"/>
            <w:jc w:val="right"/>
          </w:pPr>
        </w:p>
      </w:tc>
    </w:tr>
  </w:tbl>
  <w:p w14:paraId="363B03B5" w14:textId="1A0F6BDD" w:rsidR="6C77ADD5" w:rsidRDefault="6C77ADD5" w:rsidP="6C77ADD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776A"/>
    <w:multiLevelType w:val="hybridMultilevel"/>
    <w:tmpl w:val="2FA8B91A"/>
    <w:lvl w:ilvl="0" w:tplc="C98C8EDE">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D743EF6"/>
    <w:multiLevelType w:val="hybridMultilevel"/>
    <w:tmpl w:val="EDB6F63C"/>
    <w:lvl w:ilvl="0" w:tplc="57A83802">
      <w:start w:val="1"/>
      <w:numFmt w:val="lowerLetter"/>
      <w:lvlText w:val="%1)"/>
      <w:lvlJc w:val="left"/>
      <w:pPr>
        <w:ind w:left="1211" w:hanging="360"/>
      </w:pPr>
      <w:rPr>
        <w:rFonts w:cs="Arial"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550C6547"/>
    <w:multiLevelType w:val="hybridMultilevel"/>
    <w:tmpl w:val="828C98D6"/>
    <w:lvl w:ilvl="0" w:tplc="D47E9B84">
      <w:start w:val="1"/>
      <w:numFmt w:val="lowerLetter"/>
      <w:lvlText w:val="%1)"/>
      <w:lvlJc w:val="left"/>
      <w:pPr>
        <w:ind w:left="1531" w:hanging="360"/>
      </w:pPr>
      <w:rPr>
        <w:rFonts w:hint="default"/>
      </w:rPr>
    </w:lvl>
    <w:lvl w:ilvl="1" w:tplc="04160019" w:tentative="1">
      <w:start w:val="1"/>
      <w:numFmt w:val="lowerLetter"/>
      <w:lvlText w:val="%2."/>
      <w:lvlJc w:val="left"/>
      <w:pPr>
        <w:ind w:left="2251" w:hanging="360"/>
      </w:pPr>
    </w:lvl>
    <w:lvl w:ilvl="2" w:tplc="0416001B" w:tentative="1">
      <w:start w:val="1"/>
      <w:numFmt w:val="lowerRoman"/>
      <w:lvlText w:val="%3."/>
      <w:lvlJc w:val="right"/>
      <w:pPr>
        <w:ind w:left="2971" w:hanging="180"/>
      </w:pPr>
    </w:lvl>
    <w:lvl w:ilvl="3" w:tplc="0416000F" w:tentative="1">
      <w:start w:val="1"/>
      <w:numFmt w:val="decimal"/>
      <w:lvlText w:val="%4."/>
      <w:lvlJc w:val="left"/>
      <w:pPr>
        <w:ind w:left="3691" w:hanging="360"/>
      </w:pPr>
    </w:lvl>
    <w:lvl w:ilvl="4" w:tplc="04160019" w:tentative="1">
      <w:start w:val="1"/>
      <w:numFmt w:val="lowerLetter"/>
      <w:lvlText w:val="%5."/>
      <w:lvlJc w:val="left"/>
      <w:pPr>
        <w:ind w:left="4411" w:hanging="360"/>
      </w:pPr>
    </w:lvl>
    <w:lvl w:ilvl="5" w:tplc="0416001B" w:tentative="1">
      <w:start w:val="1"/>
      <w:numFmt w:val="lowerRoman"/>
      <w:lvlText w:val="%6."/>
      <w:lvlJc w:val="right"/>
      <w:pPr>
        <w:ind w:left="5131" w:hanging="180"/>
      </w:pPr>
    </w:lvl>
    <w:lvl w:ilvl="6" w:tplc="0416000F" w:tentative="1">
      <w:start w:val="1"/>
      <w:numFmt w:val="decimal"/>
      <w:lvlText w:val="%7."/>
      <w:lvlJc w:val="left"/>
      <w:pPr>
        <w:ind w:left="5851" w:hanging="360"/>
      </w:pPr>
    </w:lvl>
    <w:lvl w:ilvl="7" w:tplc="04160019" w:tentative="1">
      <w:start w:val="1"/>
      <w:numFmt w:val="lowerLetter"/>
      <w:lvlText w:val="%8."/>
      <w:lvlJc w:val="left"/>
      <w:pPr>
        <w:ind w:left="6571" w:hanging="360"/>
      </w:pPr>
    </w:lvl>
    <w:lvl w:ilvl="8" w:tplc="0416001B" w:tentative="1">
      <w:start w:val="1"/>
      <w:numFmt w:val="lowerRoman"/>
      <w:lvlText w:val="%9."/>
      <w:lvlJc w:val="right"/>
      <w:pPr>
        <w:ind w:left="7291" w:hanging="180"/>
      </w:pPr>
    </w:lvl>
  </w:abstractNum>
  <w:abstractNum w:abstractNumId="3" w15:restartNumberingAfterBreak="0">
    <w:nsid w:val="65761D05"/>
    <w:multiLevelType w:val="hybridMultilevel"/>
    <w:tmpl w:val="4A6C64E6"/>
    <w:lvl w:ilvl="0" w:tplc="572484B2">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6ACF4E3E"/>
    <w:multiLevelType w:val="hybridMultilevel"/>
    <w:tmpl w:val="BDFE32D4"/>
    <w:lvl w:ilvl="0" w:tplc="7C067802">
      <w:start w:val="1"/>
      <w:numFmt w:val="decimal"/>
      <w:lvlText w:val="%1."/>
      <w:lvlJc w:val="left"/>
      <w:pPr>
        <w:ind w:left="1778"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0998016">
    <w:abstractNumId w:val="4"/>
  </w:num>
  <w:num w:numId="2" w16cid:durableId="1257980396">
    <w:abstractNumId w:val="3"/>
  </w:num>
  <w:num w:numId="3" w16cid:durableId="639726221">
    <w:abstractNumId w:val="2"/>
  </w:num>
  <w:num w:numId="4" w16cid:durableId="250748833">
    <w:abstractNumId w:val="1"/>
  </w:num>
  <w:num w:numId="5" w16cid:durableId="146612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9D2"/>
    <w:rsid w:val="00037CBC"/>
    <w:rsid w:val="0005755D"/>
    <w:rsid w:val="0006124C"/>
    <w:rsid w:val="00094EF6"/>
    <w:rsid w:val="000A3288"/>
    <w:rsid w:val="000B2A7B"/>
    <w:rsid w:val="000C6086"/>
    <w:rsid w:val="000D6A12"/>
    <w:rsid w:val="000E1632"/>
    <w:rsid w:val="001050A0"/>
    <w:rsid w:val="001200B9"/>
    <w:rsid w:val="0013277E"/>
    <w:rsid w:val="00144D2F"/>
    <w:rsid w:val="00151F88"/>
    <w:rsid w:val="001736E7"/>
    <w:rsid w:val="00174E79"/>
    <w:rsid w:val="00196559"/>
    <w:rsid w:val="001A0A01"/>
    <w:rsid w:val="001B3D51"/>
    <w:rsid w:val="001D0FE1"/>
    <w:rsid w:val="001E058D"/>
    <w:rsid w:val="00205FB4"/>
    <w:rsid w:val="002067ED"/>
    <w:rsid w:val="00207F3A"/>
    <w:rsid w:val="00210DD2"/>
    <w:rsid w:val="00226F90"/>
    <w:rsid w:val="002314A9"/>
    <w:rsid w:val="00236105"/>
    <w:rsid w:val="00253178"/>
    <w:rsid w:val="00261ECE"/>
    <w:rsid w:val="00267874"/>
    <w:rsid w:val="0027581A"/>
    <w:rsid w:val="00282D71"/>
    <w:rsid w:val="00290531"/>
    <w:rsid w:val="00290F3F"/>
    <w:rsid w:val="002B529F"/>
    <w:rsid w:val="002C389B"/>
    <w:rsid w:val="002D61B3"/>
    <w:rsid w:val="002F0830"/>
    <w:rsid w:val="002F490B"/>
    <w:rsid w:val="00305638"/>
    <w:rsid w:val="00325763"/>
    <w:rsid w:val="00355C32"/>
    <w:rsid w:val="00356E15"/>
    <w:rsid w:val="00394538"/>
    <w:rsid w:val="003A71D7"/>
    <w:rsid w:val="003B0159"/>
    <w:rsid w:val="003B222B"/>
    <w:rsid w:val="003D156F"/>
    <w:rsid w:val="003D279D"/>
    <w:rsid w:val="003D55C9"/>
    <w:rsid w:val="003E5633"/>
    <w:rsid w:val="003F04A1"/>
    <w:rsid w:val="003F615E"/>
    <w:rsid w:val="004037B8"/>
    <w:rsid w:val="00406331"/>
    <w:rsid w:val="00434B11"/>
    <w:rsid w:val="004428EE"/>
    <w:rsid w:val="00450D0A"/>
    <w:rsid w:val="004775B0"/>
    <w:rsid w:val="00485F9F"/>
    <w:rsid w:val="004B5B71"/>
    <w:rsid w:val="004C2154"/>
    <w:rsid w:val="004D6AA7"/>
    <w:rsid w:val="004E1B7E"/>
    <w:rsid w:val="004F2163"/>
    <w:rsid w:val="005117D9"/>
    <w:rsid w:val="0053258E"/>
    <w:rsid w:val="0053472D"/>
    <w:rsid w:val="00535300"/>
    <w:rsid w:val="0053663B"/>
    <w:rsid w:val="00537953"/>
    <w:rsid w:val="005809E0"/>
    <w:rsid w:val="005A2DEF"/>
    <w:rsid w:val="005B13F5"/>
    <w:rsid w:val="005C7A84"/>
    <w:rsid w:val="005C7F93"/>
    <w:rsid w:val="005E2AA4"/>
    <w:rsid w:val="005F5160"/>
    <w:rsid w:val="00601ECE"/>
    <w:rsid w:val="00620416"/>
    <w:rsid w:val="00635512"/>
    <w:rsid w:val="006363AE"/>
    <w:rsid w:val="006443B5"/>
    <w:rsid w:val="00655B2F"/>
    <w:rsid w:val="00667FA2"/>
    <w:rsid w:val="00674497"/>
    <w:rsid w:val="00675EE4"/>
    <w:rsid w:val="00685E54"/>
    <w:rsid w:val="006B4235"/>
    <w:rsid w:val="006B5FFD"/>
    <w:rsid w:val="006D5236"/>
    <w:rsid w:val="006D61E9"/>
    <w:rsid w:val="006D6AB7"/>
    <w:rsid w:val="006E22A0"/>
    <w:rsid w:val="006E4C42"/>
    <w:rsid w:val="006F1176"/>
    <w:rsid w:val="00711FA9"/>
    <w:rsid w:val="00744AF3"/>
    <w:rsid w:val="00756CF3"/>
    <w:rsid w:val="007617EB"/>
    <w:rsid w:val="007809E2"/>
    <w:rsid w:val="007853E4"/>
    <w:rsid w:val="007856EA"/>
    <w:rsid w:val="0079715B"/>
    <w:rsid w:val="007A09D6"/>
    <w:rsid w:val="007A74C8"/>
    <w:rsid w:val="007B69A2"/>
    <w:rsid w:val="007C0887"/>
    <w:rsid w:val="007C4AB4"/>
    <w:rsid w:val="007C59E0"/>
    <w:rsid w:val="007C78EC"/>
    <w:rsid w:val="007D49D2"/>
    <w:rsid w:val="007F675E"/>
    <w:rsid w:val="0080122C"/>
    <w:rsid w:val="00804A07"/>
    <w:rsid w:val="00817A86"/>
    <w:rsid w:val="00817EE8"/>
    <w:rsid w:val="00830644"/>
    <w:rsid w:val="00831F79"/>
    <w:rsid w:val="00836045"/>
    <w:rsid w:val="008373B3"/>
    <w:rsid w:val="008412EE"/>
    <w:rsid w:val="0088130F"/>
    <w:rsid w:val="008A4534"/>
    <w:rsid w:val="00913D6F"/>
    <w:rsid w:val="00924F0B"/>
    <w:rsid w:val="00926349"/>
    <w:rsid w:val="009438F2"/>
    <w:rsid w:val="009518FF"/>
    <w:rsid w:val="00954F1C"/>
    <w:rsid w:val="00956531"/>
    <w:rsid w:val="00964CD6"/>
    <w:rsid w:val="00972716"/>
    <w:rsid w:val="00972769"/>
    <w:rsid w:val="00981D62"/>
    <w:rsid w:val="009834B8"/>
    <w:rsid w:val="009A6FE1"/>
    <w:rsid w:val="009C02BA"/>
    <w:rsid w:val="009C256F"/>
    <w:rsid w:val="009D1B92"/>
    <w:rsid w:val="00A0104D"/>
    <w:rsid w:val="00A27282"/>
    <w:rsid w:val="00A31CEB"/>
    <w:rsid w:val="00A37D85"/>
    <w:rsid w:val="00A5298B"/>
    <w:rsid w:val="00A67E85"/>
    <w:rsid w:val="00A840D4"/>
    <w:rsid w:val="00A91D3A"/>
    <w:rsid w:val="00AA79C8"/>
    <w:rsid w:val="00AB4363"/>
    <w:rsid w:val="00AD0805"/>
    <w:rsid w:val="00AF3B86"/>
    <w:rsid w:val="00B00F5F"/>
    <w:rsid w:val="00B26A70"/>
    <w:rsid w:val="00B27EDC"/>
    <w:rsid w:val="00B3263A"/>
    <w:rsid w:val="00B3314F"/>
    <w:rsid w:val="00B72093"/>
    <w:rsid w:val="00B856B3"/>
    <w:rsid w:val="00BA57A2"/>
    <w:rsid w:val="00BC1831"/>
    <w:rsid w:val="00BD731D"/>
    <w:rsid w:val="00BF6D89"/>
    <w:rsid w:val="00C113B5"/>
    <w:rsid w:val="00C33192"/>
    <w:rsid w:val="00C4393B"/>
    <w:rsid w:val="00C5096C"/>
    <w:rsid w:val="00C50A98"/>
    <w:rsid w:val="00C579BF"/>
    <w:rsid w:val="00C71831"/>
    <w:rsid w:val="00C81CEF"/>
    <w:rsid w:val="00C95D11"/>
    <w:rsid w:val="00C97DD3"/>
    <w:rsid w:val="00CA344F"/>
    <w:rsid w:val="00CA443D"/>
    <w:rsid w:val="00CA73D5"/>
    <w:rsid w:val="00CC1FD8"/>
    <w:rsid w:val="00D017BA"/>
    <w:rsid w:val="00D076BF"/>
    <w:rsid w:val="00D350F5"/>
    <w:rsid w:val="00D431F0"/>
    <w:rsid w:val="00D44D07"/>
    <w:rsid w:val="00D44E26"/>
    <w:rsid w:val="00D4535E"/>
    <w:rsid w:val="00D506E4"/>
    <w:rsid w:val="00D606FA"/>
    <w:rsid w:val="00D624F9"/>
    <w:rsid w:val="00D67CA7"/>
    <w:rsid w:val="00D9544B"/>
    <w:rsid w:val="00DA1B67"/>
    <w:rsid w:val="00DC41C7"/>
    <w:rsid w:val="00DD3086"/>
    <w:rsid w:val="00DE1025"/>
    <w:rsid w:val="00DF096F"/>
    <w:rsid w:val="00E41EEE"/>
    <w:rsid w:val="00E50CB4"/>
    <w:rsid w:val="00E60E3D"/>
    <w:rsid w:val="00E76CF9"/>
    <w:rsid w:val="00E9512E"/>
    <w:rsid w:val="00EA0476"/>
    <w:rsid w:val="00EA5B49"/>
    <w:rsid w:val="00EA70C3"/>
    <w:rsid w:val="00EB39AA"/>
    <w:rsid w:val="00EC72AB"/>
    <w:rsid w:val="00ED44E4"/>
    <w:rsid w:val="00F47CFA"/>
    <w:rsid w:val="00F54B1B"/>
    <w:rsid w:val="00F6780D"/>
    <w:rsid w:val="00F972DF"/>
    <w:rsid w:val="00FA7F83"/>
    <w:rsid w:val="00FB0D9E"/>
    <w:rsid w:val="00FB5C7B"/>
    <w:rsid w:val="00FB7E08"/>
    <w:rsid w:val="00FC287E"/>
    <w:rsid w:val="1E5787C4"/>
    <w:rsid w:val="3DDE3F84"/>
    <w:rsid w:val="3E6D2495"/>
    <w:rsid w:val="4008F4F6"/>
    <w:rsid w:val="64F248D2"/>
    <w:rsid w:val="6ABEA6EC"/>
    <w:rsid w:val="6AE0A2D1"/>
    <w:rsid w:val="6C77ADD5"/>
    <w:rsid w:val="7A65E851"/>
    <w:rsid w:val="7B8D9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C7B6"/>
  <w15:chartTrackingRefBased/>
  <w15:docId w15:val="{A2ABEB55-BBD9-43F1-A216-17301F86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9D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D49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D49D2"/>
    <w:rPr>
      <w:rFonts w:ascii="Calibri" w:eastAsia="Calibri" w:hAnsi="Calibri" w:cs="Times New Roman"/>
      <w:sz w:val="20"/>
      <w:szCs w:val="20"/>
    </w:rPr>
  </w:style>
  <w:style w:type="character" w:styleId="Refdenotaderodap">
    <w:name w:val="footnote reference"/>
    <w:basedOn w:val="Fontepargpadro"/>
    <w:uiPriority w:val="99"/>
    <w:semiHidden/>
    <w:unhideWhenUsed/>
    <w:rsid w:val="007D49D2"/>
    <w:rPr>
      <w:vertAlign w:val="superscript"/>
    </w:rPr>
  </w:style>
  <w:style w:type="character" w:styleId="Hyperlink">
    <w:name w:val="Hyperlink"/>
    <w:basedOn w:val="Fontepargpadro"/>
    <w:unhideWhenUsed/>
    <w:rsid w:val="007D49D2"/>
    <w:rPr>
      <w:color w:val="0000FF"/>
      <w:u w:val="single"/>
    </w:rPr>
  </w:style>
  <w:style w:type="paragraph" w:customStyle="1" w:styleId="paragraph">
    <w:name w:val="paragraph"/>
    <w:basedOn w:val="Normal"/>
    <w:rsid w:val="007D49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7D49D2"/>
  </w:style>
  <w:style w:type="character" w:customStyle="1" w:styleId="superscript">
    <w:name w:val="superscript"/>
    <w:basedOn w:val="Fontepargpadro"/>
    <w:rsid w:val="007D49D2"/>
  </w:style>
  <w:style w:type="character" w:customStyle="1" w:styleId="eop">
    <w:name w:val="eop"/>
    <w:basedOn w:val="Fontepargpadro"/>
    <w:rsid w:val="007D49D2"/>
  </w:style>
  <w:style w:type="character" w:styleId="Refdecomentrio">
    <w:name w:val="annotation reference"/>
    <w:basedOn w:val="Fontepargpadro"/>
    <w:uiPriority w:val="99"/>
    <w:semiHidden/>
    <w:unhideWhenUsed/>
    <w:rsid w:val="0053472D"/>
    <w:rPr>
      <w:sz w:val="16"/>
      <w:szCs w:val="16"/>
    </w:rPr>
  </w:style>
  <w:style w:type="paragraph" w:styleId="Textodecomentrio">
    <w:name w:val="annotation text"/>
    <w:basedOn w:val="Normal"/>
    <w:link w:val="TextodecomentrioChar"/>
    <w:uiPriority w:val="99"/>
    <w:unhideWhenUsed/>
    <w:rsid w:val="0053472D"/>
    <w:pPr>
      <w:spacing w:line="240" w:lineRule="auto"/>
    </w:pPr>
    <w:rPr>
      <w:sz w:val="20"/>
      <w:szCs w:val="20"/>
    </w:rPr>
  </w:style>
  <w:style w:type="character" w:customStyle="1" w:styleId="TextodecomentrioChar">
    <w:name w:val="Texto de comentário Char"/>
    <w:basedOn w:val="Fontepargpadro"/>
    <w:link w:val="Textodecomentrio"/>
    <w:uiPriority w:val="99"/>
    <w:rsid w:val="0053472D"/>
    <w:rPr>
      <w:rFonts w:ascii="Calibri" w:eastAsia="Calibri" w:hAnsi="Calibri" w:cs="Times New Roman"/>
      <w:sz w:val="20"/>
      <w:szCs w:val="20"/>
    </w:rPr>
  </w:style>
  <w:style w:type="character" w:customStyle="1" w:styleId="fontstyle21">
    <w:name w:val="fontstyle21"/>
    <w:rsid w:val="00BD731D"/>
    <w:rPr>
      <w:rFonts w:ascii="ArialMT" w:hAnsi="ArialMT" w:hint="default"/>
      <w:b w:val="0"/>
      <w:bCs w:val="0"/>
      <w:i w:val="0"/>
      <w:iCs w:val="0"/>
      <w:color w:val="000000"/>
      <w:sz w:val="20"/>
      <w:szCs w:val="20"/>
    </w:rPr>
  </w:style>
  <w:style w:type="character" w:styleId="MenoPendente">
    <w:name w:val="Unresolved Mention"/>
    <w:basedOn w:val="Fontepargpadro"/>
    <w:uiPriority w:val="99"/>
    <w:semiHidden/>
    <w:unhideWhenUsed/>
    <w:rsid w:val="009C02BA"/>
    <w:rPr>
      <w:color w:val="605E5C"/>
      <w:shd w:val="clear" w:color="auto" w:fill="E1DFDD"/>
    </w:rPr>
  </w:style>
  <w:style w:type="paragraph" w:customStyle="1" w:styleId="texto2">
    <w:name w:val="texto2"/>
    <w:basedOn w:val="Normal"/>
    <w:rsid w:val="00D9544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style01">
    <w:name w:val="fontstyle01"/>
    <w:rsid w:val="002314A9"/>
    <w:rPr>
      <w:rFonts w:ascii="Arial-BoldMT" w:hAnsi="Arial-BoldMT" w:hint="default"/>
      <w:b/>
      <w:bCs/>
      <w:i w:val="0"/>
      <w:iCs w:val="0"/>
      <w:color w:val="000000"/>
      <w:sz w:val="24"/>
      <w:szCs w:val="24"/>
    </w:rPr>
  </w:style>
  <w:style w:type="paragraph" w:styleId="NormalWeb">
    <w:name w:val="Normal (Web)"/>
    <w:basedOn w:val="Normal"/>
    <w:uiPriority w:val="99"/>
    <w:unhideWhenUsed/>
    <w:rsid w:val="002314A9"/>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2314A9"/>
    <w:pPr>
      <w:ind w:left="720"/>
      <w:contextualSpacing/>
    </w:pPr>
  </w:style>
  <w:style w:type="paragraph" w:styleId="Cabealho">
    <w:name w:val="header"/>
    <w:basedOn w:val="Normal"/>
    <w:link w:val="CabealhoChar"/>
    <w:uiPriority w:val="99"/>
    <w:unhideWhenUsed/>
    <w:rsid w:val="000612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124C"/>
    <w:rPr>
      <w:rFonts w:ascii="Calibri" w:eastAsia="Calibri" w:hAnsi="Calibri" w:cs="Times New Roman"/>
    </w:rPr>
  </w:style>
  <w:style w:type="paragraph" w:styleId="Rodap">
    <w:name w:val="footer"/>
    <w:basedOn w:val="Normal"/>
    <w:link w:val="RodapChar"/>
    <w:uiPriority w:val="99"/>
    <w:unhideWhenUsed/>
    <w:rsid w:val="0006124C"/>
    <w:pPr>
      <w:tabs>
        <w:tab w:val="center" w:pos="4252"/>
        <w:tab w:val="right" w:pos="8504"/>
      </w:tabs>
      <w:spacing w:after="0" w:line="240" w:lineRule="auto"/>
    </w:pPr>
  </w:style>
  <w:style w:type="character" w:customStyle="1" w:styleId="RodapChar">
    <w:name w:val="Rodapé Char"/>
    <w:basedOn w:val="Fontepargpadro"/>
    <w:link w:val="Rodap"/>
    <w:uiPriority w:val="99"/>
    <w:rsid w:val="0006124C"/>
    <w:rPr>
      <w:rFonts w:ascii="Calibri" w:eastAsia="Calibri" w:hAnsi="Calibri" w:cs="Times New Roman"/>
    </w:rPr>
  </w:style>
  <w:style w:type="paragraph" w:styleId="Assuntodocomentrio">
    <w:name w:val="annotation subject"/>
    <w:basedOn w:val="Textodecomentrio"/>
    <w:next w:val="Textodecomentrio"/>
    <w:link w:val="AssuntodocomentrioChar"/>
    <w:uiPriority w:val="99"/>
    <w:semiHidden/>
    <w:unhideWhenUsed/>
    <w:rsid w:val="006D6AB7"/>
    <w:rPr>
      <w:b/>
      <w:bCs/>
    </w:rPr>
  </w:style>
  <w:style w:type="character" w:customStyle="1" w:styleId="AssuntodocomentrioChar">
    <w:name w:val="Assunto do comentário Char"/>
    <w:basedOn w:val="TextodecomentrioChar"/>
    <w:link w:val="Assuntodocomentrio"/>
    <w:uiPriority w:val="99"/>
    <w:semiHidden/>
    <w:rsid w:val="006D6AB7"/>
    <w:rPr>
      <w:rFonts w:ascii="Calibri" w:eastAsia="Calibri" w:hAnsi="Calibri" w:cs="Times New Roman"/>
      <w:b/>
      <w:bCs/>
      <w:sz w:val="20"/>
      <w:szCs w:val="20"/>
    </w:rPr>
  </w:style>
  <w:style w:type="character" w:customStyle="1" w:styleId="cf01">
    <w:name w:val="cf01"/>
    <w:basedOn w:val="Fontepargpadro"/>
    <w:rsid w:val="003A71D7"/>
    <w:rPr>
      <w:rFonts w:ascii="Segoe UI" w:hAnsi="Segoe UI" w:cs="Segoe UI" w:hint="default"/>
      <w:sz w:val="18"/>
      <w:szCs w:val="18"/>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2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tricon.org.br/wp-content/uploads/2019/11/Carta-de-Foz-do-Igua%C3%A7u-I-CITC.pdf" TargetMode="External"/><Relationship Id="rId2" Type="http://schemas.openxmlformats.org/officeDocument/2006/relationships/hyperlink" Target="https://irbcontas.org.br/wp-admin/admin-ajax.php?juwpfisadmin=false&amp;action=wpfd&amp;task=file.download&amp;wpfd_category_id=2108&amp;wpfd_file_id=23151&amp;token=10fcbd8c9e6bcc671ce2abdea877f73b&amp;preview=1" TargetMode="External"/><Relationship Id="rId1" Type="http://schemas.openxmlformats.org/officeDocument/2006/relationships/hyperlink" Target="https://www1.tce.pr.gov.br/conteudo/prejulgado-n%C2%BA-30-retificado-pelo-acordao-3499-21/335823/area/242" TargetMode="External"/><Relationship Id="rId4" Type="http://schemas.openxmlformats.org/officeDocument/2006/relationships/hyperlink" Target="https://www1.tce.pr.gov.br/multimidia/2022/1/pdf/00363738.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1D989F54111924CBB952386CBEBA406" ma:contentTypeVersion="2" ma:contentTypeDescription="Crie um novo documento." ma:contentTypeScope="" ma:versionID="7815e8ce41f17d47f7d56f1481a5e04c">
  <xsd:schema xmlns:xsd="http://www.w3.org/2001/XMLSchema" xmlns:xs="http://www.w3.org/2001/XMLSchema" xmlns:p="http://schemas.microsoft.com/office/2006/metadata/properties" xmlns:ns2="cb64e9ea-7c2c-4348-a420-dca620053118" targetNamespace="http://schemas.microsoft.com/office/2006/metadata/properties" ma:root="true" ma:fieldsID="38e2d0d98304944543e321ac7f59dd9e" ns2:_="">
    <xsd:import namespace="cb64e9ea-7c2c-4348-a420-dca62005311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4e9ea-7c2c-4348-a420-dca620053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84652-EFC1-41A2-A1F8-755513A12826}">
  <ds:schemaRefs>
    <ds:schemaRef ds:uri="http://schemas.openxmlformats.org/officeDocument/2006/bibliography"/>
  </ds:schemaRefs>
</ds:datastoreItem>
</file>

<file path=customXml/itemProps2.xml><?xml version="1.0" encoding="utf-8"?>
<ds:datastoreItem xmlns:ds="http://schemas.openxmlformats.org/officeDocument/2006/customXml" ds:itemID="{FBE28A59-CDAC-4C9B-83A2-E48C8DD5D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3E0745-1E01-4B3D-81AC-6E6BA8CD39B4}">
  <ds:schemaRefs>
    <ds:schemaRef ds:uri="http://schemas.microsoft.com/sharepoint/v3/contenttype/forms"/>
  </ds:schemaRefs>
</ds:datastoreItem>
</file>

<file path=customXml/itemProps4.xml><?xml version="1.0" encoding="utf-8"?>
<ds:datastoreItem xmlns:ds="http://schemas.openxmlformats.org/officeDocument/2006/customXml" ds:itemID="{B394F1D1-373F-44D2-9A30-9AC239883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4e9ea-7c2c-4348-a420-dca620053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2274</Words>
  <Characters>12283</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Regina Martins</dc:creator>
  <cp:keywords/>
  <dc:description/>
  <cp:lastModifiedBy>Alice Soria Garcia</cp:lastModifiedBy>
  <cp:revision>9</cp:revision>
  <dcterms:created xsi:type="dcterms:W3CDTF">2022-09-19T15:36:00Z</dcterms:created>
  <dcterms:modified xsi:type="dcterms:W3CDTF">2022-09-19T16:00:00Z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0x01010001D989F54111924CBB952386CBEBA406</vt:lpwstr>
  </property>
</Properties>
</file>