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9536" w14:textId="7E4852CE" w:rsidR="00441D2D" w:rsidRPr="00977F8E" w:rsidRDefault="00FD0D61" w:rsidP="003661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7F8E">
        <w:rPr>
          <w:rFonts w:ascii="Arial" w:hAnsi="Arial" w:cs="Arial"/>
          <w:b/>
          <w:bCs/>
          <w:sz w:val="24"/>
          <w:szCs w:val="24"/>
        </w:rPr>
        <w:t xml:space="preserve">NOTA TÉCNICA Nº </w:t>
      </w:r>
      <w:r w:rsidR="00ED777D">
        <w:rPr>
          <w:rFonts w:ascii="Arial" w:hAnsi="Arial" w:cs="Arial"/>
          <w:b/>
          <w:bCs/>
          <w:sz w:val="24"/>
          <w:szCs w:val="24"/>
        </w:rPr>
        <w:t xml:space="preserve"> </w:t>
      </w:r>
      <w:r w:rsidR="00366183" w:rsidRPr="00977F8E">
        <w:rPr>
          <w:rFonts w:ascii="Arial" w:hAnsi="Arial" w:cs="Arial"/>
          <w:b/>
          <w:bCs/>
          <w:sz w:val="24"/>
          <w:szCs w:val="24"/>
        </w:rPr>
        <w:t xml:space="preserve"> </w:t>
      </w:r>
      <w:r w:rsidR="00ED777D">
        <w:rPr>
          <w:rFonts w:ascii="Arial" w:hAnsi="Arial" w:cs="Arial"/>
          <w:b/>
          <w:bCs/>
          <w:sz w:val="24"/>
          <w:szCs w:val="24"/>
        </w:rPr>
        <w:t>26</w:t>
      </w:r>
      <w:r w:rsidRPr="00977F8E">
        <w:rPr>
          <w:rFonts w:ascii="Arial" w:hAnsi="Arial" w:cs="Arial"/>
          <w:b/>
          <w:bCs/>
          <w:sz w:val="24"/>
          <w:szCs w:val="24"/>
        </w:rPr>
        <w:t>/202</w:t>
      </w:r>
      <w:r w:rsidR="00366183" w:rsidRPr="00977F8E">
        <w:rPr>
          <w:rFonts w:ascii="Arial" w:hAnsi="Arial" w:cs="Arial"/>
          <w:b/>
          <w:bCs/>
          <w:sz w:val="24"/>
          <w:szCs w:val="24"/>
        </w:rPr>
        <w:t>4</w:t>
      </w:r>
      <w:r w:rsidRPr="00977F8E">
        <w:rPr>
          <w:rFonts w:ascii="Arial" w:hAnsi="Arial" w:cs="Arial"/>
          <w:b/>
          <w:bCs/>
          <w:sz w:val="24"/>
          <w:szCs w:val="24"/>
        </w:rPr>
        <w:t>-CGF</w:t>
      </w:r>
      <w:r w:rsidR="00485E1A" w:rsidRPr="00977F8E">
        <w:rPr>
          <w:rFonts w:ascii="Arial" w:hAnsi="Arial" w:cs="Arial"/>
          <w:b/>
          <w:bCs/>
          <w:sz w:val="24"/>
          <w:szCs w:val="24"/>
        </w:rPr>
        <w:t>/TCEPR</w:t>
      </w:r>
      <w:r w:rsidR="00F64186" w:rsidRPr="00F64186">
        <w:rPr>
          <w:rStyle w:val="Refdenotaderodap"/>
          <w:rFonts w:ascii="Arial" w:hAnsi="Arial" w:cs="Arial"/>
          <w:b/>
          <w:bCs/>
          <w:sz w:val="24"/>
          <w:szCs w:val="24"/>
        </w:rPr>
        <w:footnoteReference w:customMarkFollows="1" w:id="1"/>
        <w:sym w:font="Symbol" w:char="F02A"/>
      </w:r>
    </w:p>
    <w:p w14:paraId="0BA415D5" w14:textId="77777777" w:rsidR="00441D2D" w:rsidRPr="00977F8E" w:rsidRDefault="00441D2D" w:rsidP="00446980">
      <w:pPr>
        <w:jc w:val="both"/>
        <w:rPr>
          <w:rFonts w:ascii="Arial" w:hAnsi="Arial" w:cs="Arial"/>
          <w:sz w:val="24"/>
          <w:szCs w:val="24"/>
        </w:rPr>
      </w:pPr>
    </w:p>
    <w:p w14:paraId="5ED1F3A7" w14:textId="52D1B585" w:rsidR="009B56C7" w:rsidRPr="00AC5FC9" w:rsidRDefault="009B56C7" w:rsidP="00442F6A">
      <w:pPr>
        <w:ind w:left="4536"/>
        <w:jc w:val="both"/>
        <w:rPr>
          <w:rFonts w:ascii="Arial" w:hAnsi="Arial" w:cs="Arial"/>
          <w:i/>
          <w:iCs/>
          <w:sz w:val="20"/>
          <w:szCs w:val="20"/>
        </w:rPr>
      </w:pPr>
      <w:r w:rsidRPr="00DB51A9">
        <w:rPr>
          <w:rFonts w:ascii="Arial" w:hAnsi="Arial" w:cs="Arial"/>
          <w:i/>
          <w:iCs/>
          <w:sz w:val="20"/>
          <w:szCs w:val="20"/>
        </w:rPr>
        <w:t xml:space="preserve">Dispõe sobre </w:t>
      </w:r>
      <w:r w:rsidR="00F7778F" w:rsidRPr="00DB51A9">
        <w:rPr>
          <w:rFonts w:ascii="Arial" w:hAnsi="Arial" w:cs="Arial"/>
          <w:i/>
          <w:iCs/>
          <w:sz w:val="20"/>
          <w:szCs w:val="20"/>
        </w:rPr>
        <w:t>retificações</w:t>
      </w:r>
      <w:r w:rsidRPr="00DB51A9">
        <w:rPr>
          <w:rFonts w:ascii="Arial" w:hAnsi="Arial" w:cs="Arial"/>
          <w:i/>
          <w:iCs/>
          <w:sz w:val="20"/>
          <w:szCs w:val="20"/>
        </w:rPr>
        <w:t xml:space="preserve"> nos Anexos II, III, IV e VI da Nota Técnica nº 23, de 10 de outubro de 2023</w:t>
      </w:r>
      <w:r w:rsidR="005A3950" w:rsidRPr="00DB51A9">
        <w:rPr>
          <w:rFonts w:ascii="Arial" w:hAnsi="Arial" w:cs="Arial"/>
          <w:i/>
          <w:iCs/>
          <w:sz w:val="20"/>
          <w:szCs w:val="20"/>
        </w:rPr>
        <w:t xml:space="preserve">, </w:t>
      </w:r>
      <w:r w:rsidR="00CD777C" w:rsidRPr="00DB51A9">
        <w:rPr>
          <w:rFonts w:ascii="Arial" w:hAnsi="Arial" w:cs="Arial"/>
          <w:i/>
          <w:iCs/>
          <w:sz w:val="20"/>
          <w:szCs w:val="20"/>
        </w:rPr>
        <w:t>a qual</w:t>
      </w:r>
      <w:r w:rsidR="00442F6A" w:rsidRPr="00DB51A9">
        <w:rPr>
          <w:rFonts w:ascii="Arial" w:hAnsi="Arial" w:cs="Arial"/>
          <w:i/>
          <w:iCs/>
          <w:sz w:val="20"/>
          <w:szCs w:val="20"/>
        </w:rPr>
        <w:t xml:space="preserve"> </w:t>
      </w:r>
      <w:r w:rsidR="00EF67C5" w:rsidRPr="00DB51A9">
        <w:rPr>
          <w:rFonts w:ascii="Arial" w:hAnsi="Arial" w:cs="Arial"/>
          <w:i/>
          <w:iCs/>
          <w:sz w:val="20"/>
          <w:szCs w:val="20"/>
        </w:rPr>
        <w:t xml:space="preserve">dispõe sobre </w:t>
      </w:r>
      <w:r w:rsidR="00442F6A" w:rsidRPr="00DB51A9">
        <w:rPr>
          <w:rFonts w:ascii="Arial" w:hAnsi="Arial" w:cs="Arial"/>
          <w:i/>
          <w:iCs/>
          <w:sz w:val="20"/>
          <w:szCs w:val="20"/>
        </w:rPr>
        <w:t>a</w:t>
      </w:r>
      <w:r w:rsidR="005A3950" w:rsidRPr="00DB51A9">
        <w:rPr>
          <w:rFonts w:ascii="Arial" w:hAnsi="Arial" w:cs="Arial"/>
          <w:i/>
          <w:iCs/>
          <w:sz w:val="20"/>
          <w:szCs w:val="20"/>
        </w:rPr>
        <w:t xml:space="preserve"> atualização</w:t>
      </w:r>
      <w:r w:rsidR="005A3950" w:rsidRPr="00AC5FC9">
        <w:rPr>
          <w:rFonts w:ascii="Arial" w:hAnsi="Arial" w:cs="Arial"/>
          <w:i/>
          <w:iCs/>
          <w:sz w:val="20"/>
          <w:szCs w:val="20"/>
        </w:rPr>
        <w:t xml:space="preserve"> dos formulários de avaliação do grau de implementação de políticas públicas referidos no inciso II do art. 5º da Instrução Normativa nº 172, de 12 de julho de 2022</w:t>
      </w:r>
      <w:r w:rsidR="00820952">
        <w:rPr>
          <w:rFonts w:ascii="Arial" w:hAnsi="Arial" w:cs="Arial"/>
          <w:i/>
          <w:iCs/>
          <w:sz w:val="20"/>
          <w:szCs w:val="20"/>
        </w:rPr>
        <w:t>,</w:t>
      </w:r>
      <w:r w:rsidR="005A3950" w:rsidRPr="00AC5FC9">
        <w:rPr>
          <w:rFonts w:ascii="Arial" w:hAnsi="Arial" w:cs="Arial"/>
          <w:i/>
          <w:iCs/>
          <w:sz w:val="20"/>
          <w:szCs w:val="20"/>
        </w:rPr>
        <w:t xml:space="preserve"> para a Prestação de Contas de Prefeito Municipal referente ao exercício financeiro de 2023 e seguintes</w:t>
      </w:r>
      <w:r w:rsidR="00442F6A" w:rsidRPr="00AC5FC9">
        <w:rPr>
          <w:rFonts w:ascii="Arial" w:hAnsi="Arial" w:cs="Arial"/>
          <w:i/>
          <w:iCs/>
          <w:sz w:val="20"/>
          <w:szCs w:val="20"/>
        </w:rPr>
        <w:t>.</w:t>
      </w:r>
    </w:p>
    <w:p w14:paraId="521B05CA" w14:textId="77777777" w:rsidR="00442F6A" w:rsidRPr="00977F8E" w:rsidRDefault="00442F6A" w:rsidP="00446980">
      <w:pPr>
        <w:jc w:val="both"/>
        <w:rPr>
          <w:rFonts w:ascii="Arial" w:hAnsi="Arial" w:cs="Arial"/>
          <w:sz w:val="24"/>
          <w:szCs w:val="24"/>
        </w:rPr>
      </w:pPr>
    </w:p>
    <w:p w14:paraId="06330185" w14:textId="77777777" w:rsidR="00442F6A" w:rsidRPr="00977F8E" w:rsidRDefault="00442F6A" w:rsidP="00446980">
      <w:pPr>
        <w:jc w:val="both"/>
        <w:rPr>
          <w:rFonts w:ascii="Arial" w:hAnsi="Arial" w:cs="Arial"/>
          <w:sz w:val="24"/>
          <w:szCs w:val="24"/>
        </w:rPr>
      </w:pPr>
    </w:p>
    <w:p w14:paraId="50062F23" w14:textId="009B68B6" w:rsidR="00B03066" w:rsidRPr="00977F8E" w:rsidRDefault="00442F6A" w:rsidP="00AC5FC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77F8E">
        <w:rPr>
          <w:rFonts w:ascii="Arial" w:hAnsi="Arial" w:cs="Arial"/>
          <w:sz w:val="24"/>
          <w:szCs w:val="24"/>
        </w:rPr>
        <w:t xml:space="preserve">A </w:t>
      </w:r>
      <w:r w:rsidRPr="00977F8E">
        <w:rPr>
          <w:rFonts w:ascii="Arial" w:hAnsi="Arial" w:cs="Arial"/>
          <w:b/>
          <w:bCs/>
          <w:sz w:val="24"/>
          <w:szCs w:val="24"/>
        </w:rPr>
        <w:t>COORDENADORIA-GERAL DE FISCALIZAÇÃO (CGF) do TRIBUNAL DE CONTAS DO ESTADO DO PARANÁ (TCEPR)</w:t>
      </w:r>
      <w:r w:rsidRPr="00977F8E">
        <w:rPr>
          <w:rFonts w:ascii="Arial" w:hAnsi="Arial" w:cs="Arial"/>
          <w:sz w:val="24"/>
          <w:szCs w:val="24"/>
        </w:rPr>
        <w:t>, em observância ao contido no art. 151-A, inciso IX</w:t>
      </w:r>
      <w:r w:rsidR="00F74077">
        <w:rPr>
          <w:rFonts w:ascii="Arial" w:hAnsi="Arial" w:cs="Arial"/>
          <w:sz w:val="24"/>
          <w:szCs w:val="24"/>
        </w:rPr>
        <w:t xml:space="preserve"> e </w:t>
      </w:r>
      <w:r w:rsidRPr="00977F8E">
        <w:rPr>
          <w:rFonts w:ascii="Arial" w:hAnsi="Arial" w:cs="Arial"/>
          <w:sz w:val="24"/>
          <w:szCs w:val="24"/>
        </w:rPr>
        <w:t>no art. 217-A do Regimento Interno</w:t>
      </w:r>
      <w:r w:rsidR="00AB2D51" w:rsidRPr="00977F8E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977F8E">
        <w:rPr>
          <w:rFonts w:ascii="Arial" w:hAnsi="Arial" w:cs="Arial"/>
          <w:sz w:val="24"/>
          <w:szCs w:val="24"/>
        </w:rPr>
        <w:t>, e considerando o disposto no § 1º do art. 7º da Instrução Normativa nº 172, de 12 de julho de 2022</w:t>
      </w:r>
      <w:r w:rsidR="00307571" w:rsidRPr="00977F8E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977F8E">
        <w:rPr>
          <w:rFonts w:ascii="Arial" w:hAnsi="Arial" w:cs="Arial"/>
          <w:sz w:val="24"/>
          <w:szCs w:val="24"/>
        </w:rPr>
        <w:t xml:space="preserve">, </w:t>
      </w:r>
      <w:r w:rsidR="00322A38" w:rsidRPr="00977F8E">
        <w:rPr>
          <w:rFonts w:ascii="Arial" w:hAnsi="Arial" w:cs="Arial"/>
          <w:sz w:val="24"/>
          <w:szCs w:val="24"/>
        </w:rPr>
        <w:t>apresenta esta Nota Técnica</w:t>
      </w:r>
      <w:r w:rsidRPr="00977F8E">
        <w:rPr>
          <w:rFonts w:ascii="Arial" w:hAnsi="Arial" w:cs="Arial"/>
          <w:sz w:val="24"/>
          <w:szCs w:val="24"/>
        </w:rPr>
        <w:t xml:space="preserve"> com o objetivo de </w:t>
      </w:r>
      <w:r w:rsidR="00075C41" w:rsidRPr="00977F8E">
        <w:rPr>
          <w:rFonts w:ascii="Arial" w:hAnsi="Arial" w:cs="Arial"/>
          <w:sz w:val="24"/>
          <w:szCs w:val="24"/>
        </w:rPr>
        <w:t>promover retificações</w:t>
      </w:r>
      <w:r w:rsidRPr="00977F8E">
        <w:rPr>
          <w:rFonts w:ascii="Arial" w:hAnsi="Arial" w:cs="Arial"/>
          <w:sz w:val="24"/>
          <w:szCs w:val="24"/>
        </w:rPr>
        <w:t xml:space="preserve"> nos </w:t>
      </w:r>
      <w:r w:rsidRPr="00977F8E">
        <w:rPr>
          <w:rFonts w:ascii="Arial" w:hAnsi="Arial" w:cs="Arial"/>
          <w:sz w:val="24"/>
          <w:szCs w:val="24"/>
        </w:rPr>
        <w:lastRenderedPageBreak/>
        <w:t xml:space="preserve">formulários que subsidiarão a avaliação do grau de implementação </w:t>
      </w:r>
      <w:r w:rsidR="005D4BAF">
        <w:rPr>
          <w:rFonts w:ascii="Arial" w:hAnsi="Arial" w:cs="Arial"/>
          <w:sz w:val="24"/>
          <w:szCs w:val="24"/>
        </w:rPr>
        <w:t>de</w:t>
      </w:r>
      <w:r w:rsidRPr="00977F8E">
        <w:rPr>
          <w:rFonts w:ascii="Arial" w:hAnsi="Arial" w:cs="Arial"/>
          <w:sz w:val="24"/>
          <w:szCs w:val="24"/>
        </w:rPr>
        <w:t xml:space="preserve"> políticas </w:t>
      </w:r>
      <w:r w:rsidR="005D4BAF">
        <w:rPr>
          <w:rFonts w:ascii="Arial" w:hAnsi="Arial" w:cs="Arial"/>
          <w:sz w:val="24"/>
          <w:szCs w:val="24"/>
        </w:rPr>
        <w:t xml:space="preserve">públicas </w:t>
      </w:r>
      <w:r w:rsidRPr="00977F8E">
        <w:rPr>
          <w:rFonts w:ascii="Arial" w:hAnsi="Arial" w:cs="Arial"/>
          <w:sz w:val="24"/>
          <w:szCs w:val="24"/>
        </w:rPr>
        <w:t>pelo Tribunal de Contas no âmbito da Prestação de Contas de Prefeito Municipal referente ao exercício financeiro de 2023</w:t>
      </w:r>
      <w:r w:rsidR="003D182B">
        <w:rPr>
          <w:rFonts w:ascii="Arial" w:hAnsi="Arial" w:cs="Arial"/>
          <w:sz w:val="24"/>
          <w:szCs w:val="24"/>
        </w:rPr>
        <w:t xml:space="preserve"> e seguintes</w:t>
      </w:r>
      <w:r w:rsidR="002F60C5" w:rsidRPr="00977F8E">
        <w:rPr>
          <w:rFonts w:ascii="Arial" w:hAnsi="Arial" w:cs="Arial"/>
          <w:sz w:val="24"/>
          <w:szCs w:val="24"/>
        </w:rPr>
        <w:t>,</w:t>
      </w:r>
      <w:r w:rsidR="007F062F" w:rsidRPr="00977F8E">
        <w:rPr>
          <w:rFonts w:ascii="Arial" w:hAnsi="Arial" w:cs="Arial"/>
          <w:sz w:val="24"/>
          <w:szCs w:val="24"/>
        </w:rPr>
        <w:t xml:space="preserve"> previstos na </w:t>
      </w:r>
      <w:r w:rsidR="0075621B" w:rsidRPr="00977F8E">
        <w:rPr>
          <w:rFonts w:ascii="Arial" w:hAnsi="Arial" w:cs="Arial"/>
          <w:sz w:val="24"/>
          <w:szCs w:val="24"/>
        </w:rPr>
        <w:t>Nota Técnica nº 23, de 10 de outubro de 2023,</w:t>
      </w:r>
      <w:r w:rsidR="002F60C5" w:rsidRPr="00977F8E">
        <w:rPr>
          <w:rFonts w:ascii="Arial" w:hAnsi="Arial" w:cs="Arial"/>
          <w:sz w:val="24"/>
          <w:szCs w:val="24"/>
        </w:rPr>
        <w:t xml:space="preserve"> na forma que segue</w:t>
      </w:r>
      <w:r w:rsidR="00283298">
        <w:rPr>
          <w:rFonts w:ascii="Arial" w:hAnsi="Arial" w:cs="Arial"/>
          <w:sz w:val="24"/>
          <w:szCs w:val="24"/>
        </w:rPr>
        <w:t>.</w:t>
      </w:r>
    </w:p>
    <w:p w14:paraId="3736FDC2" w14:textId="63AB5654" w:rsidR="005F3BA8" w:rsidRPr="00977F8E" w:rsidRDefault="005F3BA8" w:rsidP="00AC5FC9">
      <w:pPr>
        <w:tabs>
          <w:tab w:val="left" w:pos="3737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695B1B">
        <w:rPr>
          <w:rFonts w:ascii="Arial" w:hAnsi="Arial" w:cs="Arial"/>
          <w:sz w:val="24"/>
          <w:szCs w:val="24"/>
        </w:rPr>
        <w:t>N</w:t>
      </w:r>
      <w:r w:rsidR="002210D9" w:rsidRPr="00695B1B">
        <w:rPr>
          <w:rFonts w:ascii="Arial" w:hAnsi="Arial" w:cs="Arial"/>
          <w:sz w:val="24"/>
          <w:szCs w:val="24"/>
        </w:rPr>
        <w:t>os Anexos</w:t>
      </w:r>
      <w:r w:rsidR="00BF5F30" w:rsidRPr="00695B1B">
        <w:rPr>
          <w:rFonts w:ascii="Arial" w:hAnsi="Arial" w:cs="Arial"/>
          <w:sz w:val="24"/>
          <w:szCs w:val="24"/>
        </w:rPr>
        <w:t xml:space="preserve"> </w:t>
      </w:r>
      <w:r w:rsidR="002210D9" w:rsidRPr="00695B1B">
        <w:rPr>
          <w:rFonts w:ascii="Arial" w:hAnsi="Arial" w:cs="Arial"/>
          <w:sz w:val="24"/>
          <w:szCs w:val="24"/>
        </w:rPr>
        <w:t>II, III, IV e VI d</w:t>
      </w:r>
      <w:r w:rsidRPr="00695B1B">
        <w:rPr>
          <w:rFonts w:ascii="Arial" w:hAnsi="Arial" w:cs="Arial"/>
          <w:sz w:val="24"/>
          <w:szCs w:val="24"/>
        </w:rPr>
        <w:t>a Nota Técnica nº 23/2023 – CGF/TCEPR, de 10 de outubro de 2023, disponibilizada no Diário Eletrônico Suplementar nº 3082, de 11 de outubro de 2023, passam a constar as seguintes retificações</w:t>
      </w:r>
      <w:r w:rsidR="000F3BA3" w:rsidRPr="00695B1B">
        <w:rPr>
          <w:rFonts w:ascii="Arial" w:hAnsi="Arial" w:cs="Arial"/>
          <w:sz w:val="24"/>
          <w:szCs w:val="24"/>
        </w:rPr>
        <w:t xml:space="preserve"> (</w:t>
      </w:r>
      <w:r w:rsidR="002F331B" w:rsidRPr="00695B1B">
        <w:rPr>
          <w:rFonts w:ascii="Arial" w:hAnsi="Arial" w:cs="Arial"/>
          <w:sz w:val="24"/>
          <w:szCs w:val="24"/>
        </w:rPr>
        <w:t xml:space="preserve">as </w:t>
      </w:r>
      <w:r w:rsidR="006159EF" w:rsidRPr="00695B1B">
        <w:rPr>
          <w:rFonts w:ascii="Arial" w:hAnsi="Arial" w:cs="Arial"/>
          <w:sz w:val="24"/>
          <w:szCs w:val="24"/>
        </w:rPr>
        <w:t>quais</w:t>
      </w:r>
      <w:r w:rsidR="002F331B" w:rsidRPr="00695B1B">
        <w:rPr>
          <w:rFonts w:ascii="Arial" w:hAnsi="Arial" w:cs="Arial"/>
          <w:sz w:val="24"/>
          <w:szCs w:val="24"/>
        </w:rPr>
        <w:t xml:space="preserve"> foram </w:t>
      </w:r>
      <w:r w:rsidR="000F3BA3" w:rsidRPr="00695B1B">
        <w:rPr>
          <w:rFonts w:ascii="Arial" w:hAnsi="Arial" w:cs="Arial"/>
          <w:sz w:val="24"/>
          <w:szCs w:val="24"/>
        </w:rPr>
        <w:t>destacadas</w:t>
      </w:r>
      <w:r w:rsidR="00695B1B">
        <w:rPr>
          <w:rFonts w:ascii="Arial" w:hAnsi="Arial" w:cs="Arial"/>
          <w:sz w:val="24"/>
          <w:szCs w:val="24"/>
        </w:rPr>
        <w:t xml:space="preserve"> a seguir</w:t>
      </w:r>
      <w:r w:rsidR="000F3BA3" w:rsidRPr="00695B1B">
        <w:rPr>
          <w:rFonts w:ascii="Arial" w:hAnsi="Arial" w:cs="Arial"/>
          <w:sz w:val="24"/>
          <w:szCs w:val="24"/>
        </w:rPr>
        <w:t xml:space="preserve"> na cor vermelha</w:t>
      </w:r>
      <w:r w:rsidR="002E0957" w:rsidRPr="00695B1B">
        <w:rPr>
          <w:rFonts w:ascii="Arial" w:hAnsi="Arial" w:cs="Arial"/>
          <w:sz w:val="24"/>
          <w:szCs w:val="24"/>
        </w:rPr>
        <w:t xml:space="preserve"> para visualização mais fácil dos itens alterados</w:t>
      </w:r>
      <w:r w:rsidR="000F3BA3" w:rsidRPr="00695B1B">
        <w:rPr>
          <w:rFonts w:ascii="Arial" w:hAnsi="Arial" w:cs="Arial"/>
          <w:sz w:val="24"/>
          <w:szCs w:val="24"/>
        </w:rPr>
        <w:t>)</w:t>
      </w:r>
      <w:r w:rsidRPr="00695B1B">
        <w:rPr>
          <w:rFonts w:ascii="Arial" w:hAnsi="Arial" w:cs="Arial"/>
          <w:sz w:val="24"/>
          <w:szCs w:val="24"/>
        </w:rPr>
        <w:t>:</w:t>
      </w:r>
    </w:p>
    <w:p w14:paraId="209C3250" w14:textId="77777777" w:rsidR="00F01A92" w:rsidRDefault="00F01A92" w:rsidP="00446980">
      <w:pPr>
        <w:jc w:val="both"/>
        <w:sectPr w:rsidR="00F01A92" w:rsidSect="001164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4CB6EE9" w14:textId="7B4A0049" w:rsidR="00D35794" w:rsidRPr="00D35794" w:rsidRDefault="00D35794" w:rsidP="00D35794">
      <w:pPr>
        <w:jc w:val="center"/>
        <w:rPr>
          <w:b/>
          <w:bCs/>
        </w:rPr>
      </w:pPr>
      <w:bookmarkStart w:id="0" w:name="_Hlk158989367"/>
      <w:r w:rsidRPr="00D35794">
        <w:rPr>
          <w:b/>
          <w:bCs/>
        </w:rPr>
        <w:lastRenderedPageBreak/>
        <w:t>ANEXO II</w:t>
      </w:r>
    </w:p>
    <w:p w14:paraId="6FA25F1F" w14:textId="40BE04D0" w:rsidR="00CB5831" w:rsidRPr="00D35794" w:rsidRDefault="00D35794" w:rsidP="00D35794">
      <w:pPr>
        <w:jc w:val="center"/>
        <w:rPr>
          <w:b/>
          <w:bCs/>
        </w:rPr>
      </w:pPr>
      <w:r w:rsidRPr="00D35794">
        <w:rPr>
          <w:b/>
          <w:bCs/>
        </w:rPr>
        <w:t>FORMULÁRIO B – ÁREA: ASSISTÊNCIA SOCIAL</w:t>
      </w:r>
    </w:p>
    <w:p w14:paraId="766311E0" w14:textId="77777777" w:rsidR="00CB5831" w:rsidRDefault="00CB5831" w:rsidP="00446980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1"/>
        <w:gridCol w:w="1751"/>
        <w:gridCol w:w="791"/>
        <w:gridCol w:w="2336"/>
        <w:gridCol w:w="1350"/>
        <w:gridCol w:w="1091"/>
        <w:gridCol w:w="1628"/>
        <w:gridCol w:w="1966"/>
        <w:gridCol w:w="1328"/>
      </w:tblGrid>
      <w:tr w:rsidR="00476821" w14:paraId="4A3FF21B" w14:textId="77777777" w:rsidTr="00A45366">
        <w:trPr>
          <w:trHeight w:val="1049"/>
        </w:trPr>
        <w:tc>
          <w:tcPr>
            <w:tcW w:w="1751" w:type="dxa"/>
            <w:shd w:val="clear" w:color="auto" w:fill="5B9BD5" w:themeFill="accent5"/>
          </w:tcPr>
          <w:p w14:paraId="601B24C7" w14:textId="77777777" w:rsidR="00D05FA2" w:rsidRPr="002E7196" w:rsidRDefault="00D05FA2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E1AF5C0" w14:textId="64565C2D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Questão de Avaliação</w:t>
            </w:r>
          </w:p>
        </w:tc>
        <w:tc>
          <w:tcPr>
            <w:tcW w:w="1751" w:type="dxa"/>
            <w:shd w:val="clear" w:color="auto" w:fill="5B9BD5" w:themeFill="accent5"/>
          </w:tcPr>
          <w:p w14:paraId="2E983500" w14:textId="77777777" w:rsidR="00D05FA2" w:rsidRPr="002E7196" w:rsidRDefault="00D05FA2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B5287DD" w14:textId="0C5EDEDB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Item de Verificação</w:t>
            </w:r>
          </w:p>
        </w:tc>
        <w:tc>
          <w:tcPr>
            <w:tcW w:w="3156" w:type="dxa"/>
            <w:gridSpan w:val="2"/>
            <w:shd w:val="clear" w:color="auto" w:fill="5B9BD5" w:themeFill="accent5"/>
          </w:tcPr>
          <w:p w14:paraId="565FFF66" w14:textId="77777777" w:rsidR="00D05FA2" w:rsidRPr="002E7196" w:rsidRDefault="00D05FA2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7289E84" w14:textId="203618BE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Questão Auxiliar</w:t>
            </w:r>
          </w:p>
        </w:tc>
        <w:tc>
          <w:tcPr>
            <w:tcW w:w="1361" w:type="dxa"/>
            <w:shd w:val="clear" w:color="auto" w:fill="5B9BD5" w:themeFill="accent5"/>
          </w:tcPr>
          <w:p w14:paraId="130FF420" w14:textId="77777777" w:rsidR="00D05FA2" w:rsidRPr="002E7196" w:rsidRDefault="00D05FA2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C55F3A3" w14:textId="3BD5C5BF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Opções de resposta?</w:t>
            </w:r>
          </w:p>
        </w:tc>
        <w:tc>
          <w:tcPr>
            <w:tcW w:w="1096" w:type="dxa"/>
            <w:shd w:val="clear" w:color="auto" w:fill="5B9BD5" w:themeFill="accent5"/>
          </w:tcPr>
          <w:p w14:paraId="551B60AB" w14:textId="77777777" w:rsidR="00D05FA2" w:rsidRPr="002E7196" w:rsidRDefault="00D05FA2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8708B34" w14:textId="66152AE4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Compõe nota?</w:t>
            </w:r>
          </w:p>
        </w:tc>
        <w:tc>
          <w:tcPr>
            <w:tcW w:w="1639" w:type="dxa"/>
            <w:shd w:val="clear" w:color="auto" w:fill="5B9BD5" w:themeFill="accent5"/>
          </w:tcPr>
          <w:p w14:paraId="5571D032" w14:textId="77777777" w:rsidR="00D05FA2" w:rsidRPr="002E7196" w:rsidRDefault="00D05FA2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09945AC" w14:textId="165852EB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Dependência</w:t>
            </w:r>
          </w:p>
        </w:tc>
        <w:tc>
          <w:tcPr>
            <w:tcW w:w="1999" w:type="dxa"/>
            <w:shd w:val="clear" w:color="auto" w:fill="5B9BD5" w:themeFill="accent5"/>
          </w:tcPr>
          <w:p w14:paraId="5312B405" w14:textId="47E68447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Resultado de </w:t>
            </w:r>
            <w:proofErr w:type="spellStart"/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IQs</w:t>
            </w:r>
            <w:proofErr w:type="spellEnd"/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dependentes cuja condição não for satisfeita</w:t>
            </w:r>
          </w:p>
        </w:tc>
        <w:tc>
          <w:tcPr>
            <w:tcW w:w="1241" w:type="dxa"/>
            <w:shd w:val="clear" w:color="auto" w:fill="5B9BD5" w:themeFill="accent5"/>
          </w:tcPr>
          <w:p w14:paraId="495A3190" w14:textId="77777777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F910A2C" w14:textId="5FA094CF" w:rsidR="00C508CF" w:rsidRPr="002E7196" w:rsidRDefault="00C508CF" w:rsidP="000F3B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71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Interlocutor</w:t>
            </w:r>
          </w:p>
        </w:tc>
      </w:tr>
      <w:tr w:rsidR="002E7196" w14:paraId="2EFD1D4D" w14:textId="77777777" w:rsidTr="002E7196">
        <w:tc>
          <w:tcPr>
            <w:tcW w:w="1751" w:type="dxa"/>
          </w:tcPr>
          <w:p w14:paraId="1237D186" w14:textId="49FB7CF8" w:rsidR="0016243A" w:rsidRPr="00476821" w:rsidRDefault="007D409F" w:rsidP="004469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Q01. Instrumentos de planejamento</w:t>
            </w:r>
          </w:p>
        </w:tc>
        <w:tc>
          <w:tcPr>
            <w:tcW w:w="1751" w:type="dxa"/>
          </w:tcPr>
          <w:p w14:paraId="026DC1BF" w14:textId="6CFA1B50" w:rsidR="0016243A" w:rsidRPr="00476821" w:rsidRDefault="007D409F" w:rsidP="004469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IV 02. Monitoramento do PMAS</w:t>
            </w:r>
          </w:p>
        </w:tc>
        <w:tc>
          <w:tcPr>
            <w:tcW w:w="794" w:type="dxa"/>
          </w:tcPr>
          <w:p w14:paraId="47AE7B7A" w14:textId="7715A47A" w:rsidR="0016243A" w:rsidRPr="00476821" w:rsidRDefault="007D409F" w:rsidP="004469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11276</w:t>
            </w:r>
          </w:p>
        </w:tc>
        <w:tc>
          <w:tcPr>
            <w:tcW w:w="2362" w:type="dxa"/>
          </w:tcPr>
          <w:p w14:paraId="0BC3CEEB" w14:textId="6DBE4851" w:rsidR="0016243A" w:rsidRPr="00476821" w:rsidRDefault="007D409F" w:rsidP="004469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O relatório de monitoramento e avaliação relativo ao ano de 2022 (ou relatório de atividades em que conste o resultado da execução das ações e metas do PMAS durante o ano de 2022) contempla a aferição do alcance das metas para estruturação do financiamento da política pública?</w:t>
            </w:r>
          </w:p>
        </w:tc>
        <w:tc>
          <w:tcPr>
            <w:tcW w:w="1361" w:type="dxa"/>
          </w:tcPr>
          <w:p w14:paraId="71E5BE72" w14:textId="5E800805" w:rsidR="0016243A" w:rsidRPr="00476821" w:rsidRDefault="00C431C2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Sim/não</w:t>
            </w:r>
          </w:p>
        </w:tc>
        <w:tc>
          <w:tcPr>
            <w:tcW w:w="1096" w:type="dxa"/>
          </w:tcPr>
          <w:p w14:paraId="15C81AA5" w14:textId="759FCFB4" w:rsidR="0016243A" w:rsidRPr="00476821" w:rsidRDefault="00C431C2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639" w:type="dxa"/>
          </w:tcPr>
          <w:p w14:paraId="7F0C043D" w14:textId="77777777" w:rsidR="00C431C2" w:rsidRPr="00476821" w:rsidRDefault="00C431C2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6821">
              <w:rPr>
                <w:rFonts w:ascii="Arial" w:hAnsi="Arial" w:cs="Arial"/>
                <w:color w:val="FF0000"/>
                <w:sz w:val="20"/>
                <w:szCs w:val="20"/>
              </w:rPr>
              <w:t>11265 e 11272</w:t>
            </w:r>
          </w:p>
          <w:p w14:paraId="38B2EFE7" w14:textId="77777777" w:rsidR="0016243A" w:rsidRPr="00476821" w:rsidRDefault="0016243A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3AA4117" w14:textId="3EB0F3D3" w:rsidR="0016243A" w:rsidRPr="00476821" w:rsidRDefault="00C431C2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6821">
              <w:rPr>
                <w:rFonts w:ascii="Arial" w:hAnsi="Arial" w:cs="Arial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241" w:type="dxa"/>
          </w:tcPr>
          <w:p w14:paraId="758FF6D4" w14:textId="0BC2B4BF" w:rsidR="0016243A" w:rsidRPr="00476821" w:rsidRDefault="004005C5" w:rsidP="004469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Secretário Municipal ou equivalente</w:t>
            </w:r>
          </w:p>
        </w:tc>
      </w:tr>
      <w:tr w:rsidR="00F01A92" w14:paraId="08CFF54C" w14:textId="77777777" w:rsidTr="002E7196">
        <w:tc>
          <w:tcPr>
            <w:tcW w:w="1751" w:type="dxa"/>
          </w:tcPr>
          <w:p w14:paraId="225FD9DB" w14:textId="72C98FB1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Q01. Instrumentos de planejamento</w:t>
            </w:r>
          </w:p>
        </w:tc>
        <w:tc>
          <w:tcPr>
            <w:tcW w:w="1751" w:type="dxa"/>
          </w:tcPr>
          <w:p w14:paraId="52357B9A" w14:textId="1CC7ED7F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IV 02. Monitoramento do PMAS</w:t>
            </w:r>
          </w:p>
        </w:tc>
        <w:tc>
          <w:tcPr>
            <w:tcW w:w="794" w:type="dxa"/>
          </w:tcPr>
          <w:p w14:paraId="68D3A300" w14:textId="54D80E99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11277</w:t>
            </w:r>
          </w:p>
        </w:tc>
        <w:tc>
          <w:tcPr>
            <w:tcW w:w="2362" w:type="dxa"/>
          </w:tcPr>
          <w:p w14:paraId="1A2131F6" w14:textId="7C32D7FA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 xml:space="preserve">O relatório de monitoramento e avaliação relativo ao ano de 2022 (ou relatório de atividades em que conste o resultado da execução das ações e metas do PMAS durante o ano de 2022) contempla a aferição do alcance das </w:t>
            </w:r>
            <w:r w:rsidRPr="00476821">
              <w:rPr>
                <w:rFonts w:ascii="Arial" w:hAnsi="Arial" w:cs="Arial"/>
                <w:sz w:val="20"/>
                <w:szCs w:val="20"/>
              </w:rPr>
              <w:lastRenderedPageBreak/>
              <w:t>metas para estruturação do controle social?</w:t>
            </w:r>
          </w:p>
        </w:tc>
        <w:tc>
          <w:tcPr>
            <w:tcW w:w="1361" w:type="dxa"/>
          </w:tcPr>
          <w:p w14:paraId="0686609E" w14:textId="25477885" w:rsidR="00713528" w:rsidRPr="00476821" w:rsidRDefault="00713528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lastRenderedPageBreak/>
              <w:t>Sim/não</w:t>
            </w:r>
          </w:p>
        </w:tc>
        <w:tc>
          <w:tcPr>
            <w:tcW w:w="1096" w:type="dxa"/>
          </w:tcPr>
          <w:p w14:paraId="6C35545A" w14:textId="214A156F" w:rsidR="00713528" w:rsidRPr="00476821" w:rsidRDefault="00713528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639" w:type="dxa"/>
          </w:tcPr>
          <w:p w14:paraId="54F2016C" w14:textId="383489E9" w:rsidR="00713528" w:rsidRPr="00476821" w:rsidRDefault="00713528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6821">
              <w:rPr>
                <w:rFonts w:ascii="Arial" w:hAnsi="Arial" w:cs="Arial"/>
                <w:color w:val="FF0000"/>
                <w:sz w:val="20"/>
                <w:szCs w:val="20"/>
              </w:rPr>
              <w:t>11266 e 11272</w:t>
            </w:r>
          </w:p>
        </w:tc>
        <w:tc>
          <w:tcPr>
            <w:tcW w:w="1999" w:type="dxa"/>
          </w:tcPr>
          <w:p w14:paraId="632D6878" w14:textId="0A75E296" w:rsidR="00713528" w:rsidRPr="00476821" w:rsidRDefault="00713528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6821">
              <w:rPr>
                <w:rFonts w:ascii="Arial" w:hAnsi="Arial" w:cs="Arial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241" w:type="dxa"/>
          </w:tcPr>
          <w:p w14:paraId="600DB46F" w14:textId="76FAE73F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Secretário Municipal ou equivalente</w:t>
            </w:r>
          </w:p>
        </w:tc>
      </w:tr>
      <w:tr w:rsidR="002E7196" w14:paraId="1FBDB571" w14:textId="77777777" w:rsidTr="002E7196">
        <w:tc>
          <w:tcPr>
            <w:tcW w:w="1751" w:type="dxa"/>
          </w:tcPr>
          <w:p w14:paraId="6794A39C" w14:textId="3789689B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Q01. Instrumentos de planejamento</w:t>
            </w:r>
          </w:p>
        </w:tc>
        <w:tc>
          <w:tcPr>
            <w:tcW w:w="1751" w:type="dxa"/>
          </w:tcPr>
          <w:p w14:paraId="4C558CB6" w14:textId="69C2F9D5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IV 02. Monitoramento do PMAS</w:t>
            </w:r>
          </w:p>
        </w:tc>
        <w:tc>
          <w:tcPr>
            <w:tcW w:w="794" w:type="dxa"/>
          </w:tcPr>
          <w:p w14:paraId="0903FCC9" w14:textId="69EDC199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11278</w:t>
            </w:r>
          </w:p>
        </w:tc>
        <w:tc>
          <w:tcPr>
            <w:tcW w:w="2362" w:type="dxa"/>
          </w:tcPr>
          <w:p w14:paraId="79055640" w14:textId="7BE63F40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O relatório de monitoramento e avaliação relativo ao ano de 2022 (ou relatório de atividades em que conste o resultado da execução das ações e metas do PMAS durante o ano de 2022) contempla a aferição do alcance das metas para estruturação dos serviços, programas e projetos socioassistenciais?</w:t>
            </w:r>
          </w:p>
        </w:tc>
        <w:tc>
          <w:tcPr>
            <w:tcW w:w="1361" w:type="dxa"/>
          </w:tcPr>
          <w:p w14:paraId="5CCACE08" w14:textId="043F4B03" w:rsidR="00713528" w:rsidRPr="00476821" w:rsidRDefault="00713528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Sim/não</w:t>
            </w:r>
          </w:p>
        </w:tc>
        <w:tc>
          <w:tcPr>
            <w:tcW w:w="1096" w:type="dxa"/>
          </w:tcPr>
          <w:p w14:paraId="6B4F019D" w14:textId="738A96B1" w:rsidR="00713528" w:rsidRPr="00476821" w:rsidRDefault="00713528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639" w:type="dxa"/>
          </w:tcPr>
          <w:p w14:paraId="50FDD5C7" w14:textId="427E9240" w:rsidR="00713528" w:rsidRPr="00476821" w:rsidRDefault="00713528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6821">
              <w:rPr>
                <w:rFonts w:ascii="Arial" w:hAnsi="Arial" w:cs="Arial"/>
                <w:color w:val="FF0000"/>
                <w:sz w:val="20"/>
                <w:szCs w:val="20"/>
              </w:rPr>
              <w:t>11267 e 11272</w:t>
            </w:r>
          </w:p>
        </w:tc>
        <w:tc>
          <w:tcPr>
            <w:tcW w:w="1999" w:type="dxa"/>
          </w:tcPr>
          <w:p w14:paraId="34FF02F1" w14:textId="05D329C2" w:rsidR="00713528" w:rsidRPr="00476821" w:rsidRDefault="00713528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6821">
              <w:rPr>
                <w:rFonts w:ascii="Arial" w:hAnsi="Arial" w:cs="Arial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241" w:type="dxa"/>
          </w:tcPr>
          <w:p w14:paraId="3620B49D" w14:textId="44EB8BE5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Secretário Municipal ou equivalente</w:t>
            </w:r>
          </w:p>
        </w:tc>
      </w:tr>
      <w:tr w:rsidR="002E7196" w14:paraId="578181B8" w14:textId="77777777" w:rsidTr="002E7196">
        <w:tc>
          <w:tcPr>
            <w:tcW w:w="1751" w:type="dxa"/>
          </w:tcPr>
          <w:p w14:paraId="0AC0DFE4" w14:textId="6337E983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Q01. Instrumentos de planejamento</w:t>
            </w:r>
          </w:p>
        </w:tc>
        <w:tc>
          <w:tcPr>
            <w:tcW w:w="1751" w:type="dxa"/>
          </w:tcPr>
          <w:p w14:paraId="2459F28A" w14:textId="3EEDBFAE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IV 02. Monitoramento do PMAS</w:t>
            </w:r>
          </w:p>
        </w:tc>
        <w:tc>
          <w:tcPr>
            <w:tcW w:w="794" w:type="dxa"/>
          </w:tcPr>
          <w:p w14:paraId="3E3F8A81" w14:textId="77777777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11279</w:t>
            </w:r>
          </w:p>
          <w:p w14:paraId="29BA6144" w14:textId="06AD27BD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</w:tcPr>
          <w:p w14:paraId="6E322BF7" w14:textId="4BEC44FA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O relatório de monitoramento e avaliação relativo ao ano de 2022 (ou relatório de atividades em que conste o resultado da execução das ações e metas do PMAS durante o ano de 2022) contempla a aferição do alcance das metas para estruturação dos benefícios e transferências de renda?</w:t>
            </w:r>
          </w:p>
        </w:tc>
        <w:tc>
          <w:tcPr>
            <w:tcW w:w="1361" w:type="dxa"/>
          </w:tcPr>
          <w:p w14:paraId="15CDA0C3" w14:textId="0B2D6D5D" w:rsidR="00713528" w:rsidRPr="00476821" w:rsidRDefault="00713528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Sim/não</w:t>
            </w:r>
          </w:p>
        </w:tc>
        <w:tc>
          <w:tcPr>
            <w:tcW w:w="1096" w:type="dxa"/>
          </w:tcPr>
          <w:p w14:paraId="0C9D2066" w14:textId="1F82DF47" w:rsidR="00713528" w:rsidRPr="00476821" w:rsidRDefault="00713528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639" w:type="dxa"/>
          </w:tcPr>
          <w:p w14:paraId="2F83933E" w14:textId="77777777" w:rsidR="00243292" w:rsidRPr="00476821" w:rsidRDefault="00243292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6821">
              <w:rPr>
                <w:rFonts w:ascii="Arial" w:hAnsi="Arial" w:cs="Arial"/>
                <w:color w:val="FF0000"/>
                <w:sz w:val="20"/>
                <w:szCs w:val="20"/>
              </w:rPr>
              <w:t>11268 e 11272</w:t>
            </w:r>
          </w:p>
          <w:p w14:paraId="02F0AE71" w14:textId="7C0F20CA" w:rsidR="00713528" w:rsidRPr="00476821" w:rsidRDefault="00713528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660E02B" w14:textId="2C76663D" w:rsidR="00713528" w:rsidRPr="00476821" w:rsidRDefault="00713528" w:rsidP="0000434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6821">
              <w:rPr>
                <w:rFonts w:ascii="Arial" w:hAnsi="Arial" w:cs="Arial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241" w:type="dxa"/>
          </w:tcPr>
          <w:p w14:paraId="2D84B787" w14:textId="64F21F06" w:rsidR="00713528" w:rsidRPr="00476821" w:rsidRDefault="00713528" w:rsidP="00713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Secretário Municipal ou equivalente</w:t>
            </w:r>
          </w:p>
        </w:tc>
      </w:tr>
      <w:tr w:rsidR="002E7196" w14:paraId="35E88843" w14:textId="77777777" w:rsidTr="002E7196">
        <w:tc>
          <w:tcPr>
            <w:tcW w:w="1751" w:type="dxa"/>
          </w:tcPr>
          <w:p w14:paraId="1E5A5B38" w14:textId="55EE539D" w:rsidR="00476821" w:rsidRPr="00476821" w:rsidRDefault="00476821" w:rsidP="004768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lastRenderedPageBreak/>
              <w:t>Q02. Vigilância Socioassistencial</w:t>
            </w:r>
          </w:p>
        </w:tc>
        <w:tc>
          <w:tcPr>
            <w:tcW w:w="1751" w:type="dxa"/>
          </w:tcPr>
          <w:p w14:paraId="0B6A31FD" w14:textId="38A15EFD" w:rsidR="00476821" w:rsidRPr="00476821" w:rsidRDefault="00476821" w:rsidP="004768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IV 04. Vigilância Socioassistencial - gestão da informação</w:t>
            </w:r>
          </w:p>
        </w:tc>
        <w:tc>
          <w:tcPr>
            <w:tcW w:w="794" w:type="dxa"/>
          </w:tcPr>
          <w:p w14:paraId="040C64B2" w14:textId="0DE63318" w:rsidR="00476821" w:rsidRPr="00476821" w:rsidRDefault="00476821" w:rsidP="004768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11295</w:t>
            </w:r>
          </w:p>
        </w:tc>
        <w:tc>
          <w:tcPr>
            <w:tcW w:w="2362" w:type="dxa"/>
          </w:tcPr>
          <w:p w14:paraId="6A7FB377" w14:textId="47ED9F6F" w:rsidR="00476821" w:rsidRPr="00476821" w:rsidRDefault="00476821" w:rsidP="004768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Carregue documento em que constem os registros das notificações para eventos de violação de direitos da rede socioassistencial municipal.</w:t>
            </w:r>
          </w:p>
        </w:tc>
        <w:tc>
          <w:tcPr>
            <w:tcW w:w="1361" w:type="dxa"/>
          </w:tcPr>
          <w:p w14:paraId="4014BBEA" w14:textId="72145DEA" w:rsidR="00476821" w:rsidRPr="00476821" w:rsidRDefault="00476821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Anexo</w:t>
            </w:r>
          </w:p>
        </w:tc>
        <w:tc>
          <w:tcPr>
            <w:tcW w:w="1096" w:type="dxa"/>
          </w:tcPr>
          <w:p w14:paraId="7679D81F" w14:textId="0017ECAA" w:rsidR="00476821" w:rsidRPr="00476821" w:rsidRDefault="00476821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3306">
              <w:rPr>
                <w:rFonts w:ascii="Arial" w:hAnsi="Arial" w:cs="Arial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639" w:type="dxa"/>
          </w:tcPr>
          <w:p w14:paraId="3B650E7B" w14:textId="3CA3F544" w:rsidR="00476821" w:rsidRPr="00476821" w:rsidRDefault="00476821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11294</w:t>
            </w:r>
          </w:p>
        </w:tc>
        <w:tc>
          <w:tcPr>
            <w:tcW w:w="1999" w:type="dxa"/>
          </w:tcPr>
          <w:p w14:paraId="2EE949D8" w14:textId="47669154" w:rsidR="00476821" w:rsidRPr="00476821" w:rsidRDefault="00476821" w:rsidP="00004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Não se aplica</w:t>
            </w:r>
          </w:p>
        </w:tc>
        <w:tc>
          <w:tcPr>
            <w:tcW w:w="1241" w:type="dxa"/>
          </w:tcPr>
          <w:p w14:paraId="46C2B00C" w14:textId="13DF823E" w:rsidR="00476821" w:rsidRPr="00476821" w:rsidRDefault="00476821" w:rsidP="004768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821">
              <w:rPr>
                <w:rFonts w:ascii="Arial" w:hAnsi="Arial" w:cs="Arial"/>
                <w:sz w:val="20"/>
                <w:szCs w:val="20"/>
              </w:rPr>
              <w:t>Secretário Municipal ou equivalente</w:t>
            </w:r>
          </w:p>
        </w:tc>
      </w:tr>
    </w:tbl>
    <w:p w14:paraId="134BDAB7" w14:textId="77777777" w:rsidR="00AE561D" w:rsidRDefault="00AE561D" w:rsidP="00446980">
      <w:pPr>
        <w:jc w:val="both"/>
      </w:pPr>
    </w:p>
    <w:p w14:paraId="3B93E205" w14:textId="77777777" w:rsidR="00AE561D" w:rsidRDefault="00AE561D" w:rsidP="00446980">
      <w:pPr>
        <w:jc w:val="both"/>
      </w:pPr>
    </w:p>
    <w:p w14:paraId="7C3C32D3" w14:textId="5BFBC7C6" w:rsidR="00D35794" w:rsidRPr="00D35794" w:rsidRDefault="00D35794" w:rsidP="00D35794">
      <w:pPr>
        <w:jc w:val="center"/>
        <w:rPr>
          <w:b/>
          <w:bCs/>
        </w:rPr>
      </w:pPr>
      <w:r w:rsidRPr="00D35794">
        <w:rPr>
          <w:b/>
          <w:bCs/>
        </w:rPr>
        <w:t>ANEXO I</w:t>
      </w:r>
      <w:r>
        <w:rPr>
          <w:b/>
          <w:bCs/>
        </w:rPr>
        <w:t>I</w:t>
      </w:r>
      <w:r w:rsidRPr="00D35794">
        <w:rPr>
          <w:b/>
          <w:bCs/>
        </w:rPr>
        <w:t>I</w:t>
      </w:r>
    </w:p>
    <w:p w14:paraId="2C76C3FC" w14:textId="52307171" w:rsidR="00D35794" w:rsidRPr="00D35794" w:rsidRDefault="00D35794" w:rsidP="00D35794">
      <w:pPr>
        <w:jc w:val="center"/>
        <w:rPr>
          <w:b/>
          <w:bCs/>
        </w:rPr>
      </w:pPr>
      <w:r w:rsidRPr="00D35794">
        <w:rPr>
          <w:b/>
          <w:bCs/>
        </w:rPr>
        <w:t xml:space="preserve">FORMULÁRIO </w:t>
      </w:r>
      <w:r>
        <w:rPr>
          <w:b/>
          <w:bCs/>
        </w:rPr>
        <w:t>C</w:t>
      </w:r>
      <w:r w:rsidRPr="00D35794">
        <w:rPr>
          <w:b/>
          <w:bCs/>
        </w:rPr>
        <w:t xml:space="preserve"> – ÁREA: </w:t>
      </w:r>
      <w:r>
        <w:rPr>
          <w:b/>
          <w:bCs/>
        </w:rPr>
        <w:t>EDUCAÇÃO</w:t>
      </w:r>
    </w:p>
    <w:p w14:paraId="39C61329" w14:textId="77777777" w:rsidR="00D05FA2" w:rsidRDefault="00D05FA2" w:rsidP="00D05FA2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9"/>
        <w:gridCol w:w="1840"/>
        <w:gridCol w:w="773"/>
        <w:gridCol w:w="2224"/>
        <w:gridCol w:w="1261"/>
        <w:gridCol w:w="1178"/>
        <w:gridCol w:w="1545"/>
        <w:gridCol w:w="1904"/>
        <w:gridCol w:w="1628"/>
      </w:tblGrid>
      <w:tr w:rsidR="00F01A92" w14:paraId="6164F353" w14:textId="77777777" w:rsidTr="002F6ED8">
        <w:trPr>
          <w:trHeight w:val="661"/>
        </w:trPr>
        <w:tc>
          <w:tcPr>
            <w:tcW w:w="1675" w:type="dxa"/>
            <w:shd w:val="clear" w:color="auto" w:fill="5B9BD5" w:themeFill="accent5"/>
          </w:tcPr>
          <w:p w14:paraId="7ED9D0E6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53012ED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85943B7" w14:textId="77777777" w:rsidR="00D05FA2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Questão de Avaliação</w:t>
            </w:r>
          </w:p>
          <w:p w14:paraId="2052BBE2" w14:textId="77777777" w:rsidR="00F56573" w:rsidRPr="00E635DB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5B9BD5" w:themeFill="accent5"/>
          </w:tcPr>
          <w:p w14:paraId="20FE7FE8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E7DA09A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4870C10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Item de Verificação</w:t>
            </w:r>
          </w:p>
        </w:tc>
        <w:tc>
          <w:tcPr>
            <w:tcW w:w="3101" w:type="dxa"/>
            <w:gridSpan w:val="2"/>
            <w:shd w:val="clear" w:color="auto" w:fill="5B9BD5" w:themeFill="accent5"/>
          </w:tcPr>
          <w:p w14:paraId="1BE68CAB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6AF4134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C6553DD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Questão Auxiliar</w:t>
            </w:r>
          </w:p>
        </w:tc>
        <w:tc>
          <w:tcPr>
            <w:tcW w:w="1273" w:type="dxa"/>
            <w:shd w:val="clear" w:color="auto" w:fill="5B9BD5" w:themeFill="accent5"/>
          </w:tcPr>
          <w:p w14:paraId="164F1563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2F4311B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D0CD737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Opções de resposta?</w:t>
            </w:r>
          </w:p>
        </w:tc>
        <w:tc>
          <w:tcPr>
            <w:tcW w:w="1201" w:type="dxa"/>
            <w:shd w:val="clear" w:color="auto" w:fill="5B9BD5" w:themeFill="accent5"/>
          </w:tcPr>
          <w:p w14:paraId="10A91CF2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2C819B9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18FB5B0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Compõe nota?</w:t>
            </w:r>
          </w:p>
        </w:tc>
        <w:tc>
          <w:tcPr>
            <w:tcW w:w="1557" w:type="dxa"/>
            <w:shd w:val="clear" w:color="auto" w:fill="5B9BD5" w:themeFill="accent5"/>
          </w:tcPr>
          <w:p w14:paraId="5139CE7E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1B3A266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369E8BD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Dependência</w:t>
            </w:r>
          </w:p>
        </w:tc>
        <w:tc>
          <w:tcPr>
            <w:tcW w:w="1968" w:type="dxa"/>
            <w:shd w:val="clear" w:color="auto" w:fill="5B9BD5" w:themeFill="accent5"/>
          </w:tcPr>
          <w:p w14:paraId="211271A7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Resultado de </w:t>
            </w:r>
            <w:proofErr w:type="spellStart"/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IQs</w:t>
            </w:r>
            <w:proofErr w:type="spellEnd"/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dependentes cuja condição não for satisfeita</w:t>
            </w:r>
          </w:p>
        </w:tc>
        <w:tc>
          <w:tcPr>
            <w:tcW w:w="1381" w:type="dxa"/>
            <w:shd w:val="clear" w:color="auto" w:fill="5B9BD5" w:themeFill="accent5"/>
          </w:tcPr>
          <w:p w14:paraId="5B9EE916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A60CD86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EB99A64" w14:textId="77777777" w:rsidR="00D05FA2" w:rsidRPr="00E635DB" w:rsidRDefault="00D05FA2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Interlocutor</w:t>
            </w:r>
          </w:p>
        </w:tc>
      </w:tr>
      <w:tr w:rsidR="00E635DB" w14:paraId="4FA7DB9C" w14:textId="77777777" w:rsidTr="002F6ED8">
        <w:tc>
          <w:tcPr>
            <w:tcW w:w="1675" w:type="dxa"/>
          </w:tcPr>
          <w:p w14:paraId="78D7A0DF" w14:textId="3F1A391C" w:rsidR="00D05FA2" w:rsidRPr="00E635DB" w:rsidRDefault="00ED58FC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5DB">
              <w:rPr>
                <w:rFonts w:ascii="Arial" w:hAnsi="Arial" w:cs="Arial"/>
                <w:sz w:val="20"/>
                <w:szCs w:val="20"/>
              </w:rPr>
              <w:t>Q02. Acesso e permanência</w:t>
            </w:r>
          </w:p>
        </w:tc>
        <w:tc>
          <w:tcPr>
            <w:tcW w:w="1838" w:type="dxa"/>
          </w:tcPr>
          <w:p w14:paraId="03439688" w14:textId="4015169B" w:rsidR="00D05FA2" w:rsidRPr="00E635DB" w:rsidRDefault="00ED58FC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5DB">
              <w:rPr>
                <w:rFonts w:ascii="Arial" w:hAnsi="Arial" w:cs="Arial"/>
                <w:sz w:val="20"/>
                <w:szCs w:val="20"/>
              </w:rPr>
              <w:t>IV10. Atuação intersetorial</w:t>
            </w:r>
          </w:p>
        </w:tc>
        <w:tc>
          <w:tcPr>
            <w:tcW w:w="773" w:type="dxa"/>
          </w:tcPr>
          <w:p w14:paraId="52F29B46" w14:textId="52E504A9" w:rsidR="00D05FA2" w:rsidRPr="00E635DB" w:rsidRDefault="00ED58FC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5DB">
              <w:rPr>
                <w:rFonts w:ascii="Arial" w:hAnsi="Arial" w:cs="Arial"/>
                <w:sz w:val="20"/>
                <w:szCs w:val="20"/>
              </w:rPr>
              <w:t>10072</w:t>
            </w:r>
          </w:p>
        </w:tc>
        <w:tc>
          <w:tcPr>
            <w:tcW w:w="2328" w:type="dxa"/>
          </w:tcPr>
          <w:p w14:paraId="403BAB4B" w14:textId="5EB5557D" w:rsidR="00D05FA2" w:rsidRPr="00E635DB" w:rsidRDefault="00E635DB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5DB">
              <w:rPr>
                <w:rFonts w:ascii="Arial" w:hAnsi="Arial" w:cs="Arial"/>
                <w:sz w:val="20"/>
                <w:szCs w:val="20"/>
              </w:rPr>
              <w:t xml:space="preserve">O Município dispõe de arranjo intersetorial para discussão de casos sobre questões que interfiram no acesso e na permanência de crianças e adolescentes na escola (rede de proteção à criança e ao adolescente ou </w:t>
            </w:r>
            <w:r w:rsidRPr="00E635DB">
              <w:rPr>
                <w:rFonts w:ascii="Arial" w:hAnsi="Arial" w:cs="Arial"/>
                <w:sz w:val="20"/>
                <w:szCs w:val="20"/>
              </w:rPr>
              <w:lastRenderedPageBreak/>
              <w:t>comitê de busca ativa escolar)?</w:t>
            </w:r>
          </w:p>
        </w:tc>
        <w:tc>
          <w:tcPr>
            <w:tcW w:w="1273" w:type="dxa"/>
          </w:tcPr>
          <w:p w14:paraId="4C272513" w14:textId="46179C36" w:rsidR="00D05FA2" w:rsidRPr="00E635DB" w:rsidRDefault="00E635DB" w:rsidP="00A66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5DB">
              <w:rPr>
                <w:rFonts w:ascii="Arial" w:hAnsi="Arial" w:cs="Arial"/>
                <w:sz w:val="20"/>
                <w:szCs w:val="20"/>
              </w:rPr>
              <w:lastRenderedPageBreak/>
              <w:t>Sim/não</w:t>
            </w:r>
          </w:p>
        </w:tc>
        <w:tc>
          <w:tcPr>
            <w:tcW w:w="1201" w:type="dxa"/>
          </w:tcPr>
          <w:p w14:paraId="14C63906" w14:textId="38EC5F82" w:rsidR="00D05FA2" w:rsidRPr="00E635DB" w:rsidRDefault="00C100A8" w:rsidP="00A66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0A8">
              <w:rPr>
                <w:rFonts w:ascii="Arial" w:hAnsi="Arial" w:cs="Arial"/>
                <w:color w:val="FF0000"/>
                <w:sz w:val="20"/>
                <w:szCs w:val="20"/>
              </w:rPr>
              <w:t>Sim</w:t>
            </w:r>
          </w:p>
        </w:tc>
        <w:tc>
          <w:tcPr>
            <w:tcW w:w="1557" w:type="dxa"/>
          </w:tcPr>
          <w:p w14:paraId="13865CF8" w14:textId="12D0ADF2" w:rsidR="00D05FA2" w:rsidRPr="00E635DB" w:rsidRDefault="00E635DB" w:rsidP="00A66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5D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68" w:type="dxa"/>
          </w:tcPr>
          <w:p w14:paraId="24A95C01" w14:textId="6AADC6B9" w:rsidR="00D05FA2" w:rsidRPr="00E635DB" w:rsidRDefault="00E635DB" w:rsidP="00A66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5D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14:paraId="103B57E6" w14:textId="03877DEE" w:rsidR="00D05FA2" w:rsidRPr="00E635DB" w:rsidRDefault="00E635DB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5DB">
              <w:rPr>
                <w:rFonts w:ascii="Arial" w:hAnsi="Arial" w:cs="Arial"/>
                <w:sz w:val="20"/>
                <w:szCs w:val="20"/>
              </w:rPr>
              <w:t>Diretor(a) PE e EF</w:t>
            </w:r>
          </w:p>
        </w:tc>
      </w:tr>
      <w:tr w:rsidR="009F5F58" w14:paraId="31A2ECF2" w14:textId="77777777" w:rsidTr="002F6ED8">
        <w:tc>
          <w:tcPr>
            <w:tcW w:w="1675" w:type="dxa"/>
          </w:tcPr>
          <w:p w14:paraId="53FD9744" w14:textId="77777777" w:rsidR="009F5F58" w:rsidRPr="009F5F58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Q03. Práticas</w:t>
            </w:r>
          </w:p>
          <w:p w14:paraId="5D777CFA" w14:textId="42A0DEE0" w:rsidR="009F5F58" w:rsidRPr="00E635DB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pedagógicas</w:t>
            </w:r>
          </w:p>
        </w:tc>
        <w:tc>
          <w:tcPr>
            <w:tcW w:w="1838" w:type="dxa"/>
          </w:tcPr>
          <w:p w14:paraId="77D347AB" w14:textId="1D35ABF1" w:rsidR="009F5F58" w:rsidRPr="009F5F58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IV14.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5F58">
              <w:rPr>
                <w:rFonts w:ascii="Arial" w:hAnsi="Arial" w:cs="Arial"/>
                <w:sz w:val="20"/>
                <w:szCs w:val="20"/>
              </w:rPr>
              <w:t>Acompanhamento</w:t>
            </w:r>
          </w:p>
          <w:p w14:paraId="4C026846" w14:textId="7F715F1B" w:rsidR="009F5F58" w:rsidRPr="00E635DB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da secretaria</w:t>
            </w:r>
          </w:p>
        </w:tc>
        <w:tc>
          <w:tcPr>
            <w:tcW w:w="773" w:type="dxa"/>
          </w:tcPr>
          <w:p w14:paraId="13671D06" w14:textId="4047C0A8" w:rsidR="009F5F58" w:rsidRPr="00E635DB" w:rsidRDefault="009F5F58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color w:val="FF0000"/>
                <w:sz w:val="20"/>
                <w:szCs w:val="20"/>
              </w:rPr>
              <w:t>10103</w:t>
            </w:r>
          </w:p>
        </w:tc>
        <w:tc>
          <w:tcPr>
            <w:tcW w:w="2328" w:type="dxa"/>
          </w:tcPr>
          <w:p w14:paraId="4EB8CCA0" w14:textId="77777777" w:rsidR="009F5F58" w:rsidRPr="009F5F58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O plano de ação para redução da</w:t>
            </w:r>
          </w:p>
          <w:p w14:paraId="228EF729" w14:textId="77777777" w:rsidR="009F5F58" w:rsidRPr="009F5F58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defasagem de aprendizagem abrange,</w:t>
            </w:r>
          </w:p>
          <w:p w14:paraId="61AC9BFC" w14:textId="77777777" w:rsidR="009F5F58" w:rsidRPr="009F5F58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no mínimo, as disciplinas de língua</w:t>
            </w:r>
          </w:p>
          <w:p w14:paraId="75D12F9D" w14:textId="35E90650" w:rsidR="009F5F58" w:rsidRPr="00E635DB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portuguesa e matemática?</w:t>
            </w:r>
          </w:p>
        </w:tc>
        <w:tc>
          <w:tcPr>
            <w:tcW w:w="1273" w:type="dxa"/>
          </w:tcPr>
          <w:p w14:paraId="751CA254" w14:textId="40DAD536" w:rsidR="009F5F58" w:rsidRPr="00E635DB" w:rsidRDefault="009F5F58" w:rsidP="00A66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Sim/não</w:t>
            </w:r>
          </w:p>
        </w:tc>
        <w:tc>
          <w:tcPr>
            <w:tcW w:w="1201" w:type="dxa"/>
          </w:tcPr>
          <w:p w14:paraId="668C59F0" w14:textId="4E1CCF1F" w:rsidR="009F5F58" w:rsidRPr="00C100A8" w:rsidRDefault="009F5F58" w:rsidP="00A66B9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57" w:type="dxa"/>
          </w:tcPr>
          <w:p w14:paraId="31633BE8" w14:textId="78B3D97E" w:rsidR="009F5F58" w:rsidRPr="00E635DB" w:rsidRDefault="009F5F58" w:rsidP="00A66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10099</w:t>
            </w:r>
          </w:p>
        </w:tc>
        <w:tc>
          <w:tcPr>
            <w:tcW w:w="1968" w:type="dxa"/>
          </w:tcPr>
          <w:p w14:paraId="46FE0674" w14:textId="6720A24E" w:rsidR="009F5F58" w:rsidRPr="00E635DB" w:rsidRDefault="009F5F58" w:rsidP="00A66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1381" w:type="dxa"/>
          </w:tcPr>
          <w:p w14:paraId="00EA32C3" w14:textId="77777777" w:rsidR="009F5F58" w:rsidRPr="009F5F58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Coordenador(a)</w:t>
            </w:r>
          </w:p>
          <w:p w14:paraId="1A4A5B72" w14:textId="33AA08E8" w:rsidR="009F5F58" w:rsidRPr="00E635DB" w:rsidRDefault="009F5F58" w:rsidP="009F5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F58">
              <w:rPr>
                <w:rFonts w:ascii="Arial" w:hAnsi="Arial" w:cs="Arial"/>
                <w:sz w:val="20"/>
                <w:szCs w:val="20"/>
              </w:rPr>
              <w:t>pedagógico(a) EF</w:t>
            </w:r>
          </w:p>
        </w:tc>
      </w:tr>
    </w:tbl>
    <w:p w14:paraId="53437E4B" w14:textId="77777777" w:rsidR="00D05FA2" w:rsidRDefault="00D05FA2" w:rsidP="00D05FA2">
      <w:pPr>
        <w:jc w:val="both"/>
      </w:pPr>
    </w:p>
    <w:p w14:paraId="0E2197B7" w14:textId="77777777" w:rsidR="00D05FA2" w:rsidRDefault="00D05FA2" w:rsidP="00446980">
      <w:pPr>
        <w:jc w:val="both"/>
      </w:pPr>
    </w:p>
    <w:p w14:paraId="0689A8A0" w14:textId="77777777" w:rsidR="00526224" w:rsidRPr="00D35794" w:rsidRDefault="00526224" w:rsidP="00526224">
      <w:pPr>
        <w:jc w:val="center"/>
        <w:rPr>
          <w:b/>
          <w:bCs/>
        </w:rPr>
      </w:pPr>
      <w:r w:rsidRPr="00D35794">
        <w:rPr>
          <w:b/>
          <w:bCs/>
        </w:rPr>
        <w:t>ANEXO I</w:t>
      </w:r>
      <w:r>
        <w:rPr>
          <w:b/>
          <w:bCs/>
        </w:rPr>
        <w:t>V</w:t>
      </w:r>
    </w:p>
    <w:p w14:paraId="6A16A989" w14:textId="77777777" w:rsidR="00526224" w:rsidRPr="00D35794" w:rsidRDefault="00526224" w:rsidP="00526224">
      <w:pPr>
        <w:jc w:val="center"/>
        <w:rPr>
          <w:b/>
          <w:bCs/>
        </w:rPr>
      </w:pPr>
      <w:r w:rsidRPr="00D35794">
        <w:rPr>
          <w:b/>
          <w:bCs/>
        </w:rPr>
        <w:t xml:space="preserve">FORMULÁRIO </w:t>
      </w:r>
      <w:r>
        <w:rPr>
          <w:b/>
          <w:bCs/>
        </w:rPr>
        <w:t>D</w:t>
      </w:r>
      <w:r w:rsidRPr="00D35794">
        <w:rPr>
          <w:b/>
          <w:bCs/>
        </w:rPr>
        <w:t xml:space="preserve"> – ÁREA: </w:t>
      </w:r>
      <w:r>
        <w:rPr>
          <w:b/>
          <w:bCs/>
        </w:rPr>
        <w:t>PREVIDÊNCIA SOCIAL</w:t>
      </w:r>
    </w:p>
    <w:p w14:paraId="0B593C65" w14:textId="77777777" w:rsidR="00526224" w:rsidRDefault="00526224" w:rsidP="0052622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2"/>
        <w:gridCol w:w="1874"/>
        <w:gridCol w:w="661"/>
        <w:gridCol w:w="2276"/>
        <w:gridCol w:w="1395"/>
        <w:gridCol w:w="1178"/>
        <w:gridCol w:w="1611"/>
        <w:gridCol w:w="1961"/>
        <w:gridCol w:w="1374"/>
      </w:tblGrid>
      <w:tr w:rsidR="00526224" w14:paraId="3468DA25" w14:textId="77777777" w:rsidTr="002F6ED8">
        <w:trPr>
          <w:trHeight w:val="661"/>
        </w:trPr>
        <w:tc>
          <w:tcPr>
            <w:tcW w:w="1662" w:type="dxa"/>
            <w:shd w:val="clear" w:color="auto" w:fill="5B9BD5" w:themeFill="accent5"/>
          </w:tcPr>
          <w:p w14:paraId="796EA6F6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5082C03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58D34FF" w14:textId="77777777" w:rsidR="00526224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Questão de Avaliação</w:t>
            </w:r>
          </w:p>
          <w:p w14:paraId="55370688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5B9BD5" w:themeFill="accent5"/>
          </w:tcPr>
          <w:p w14:paraId="3B027ED3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9C8424F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2A4D2DA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Item de Verificação</w:t>
            </w:r>
          </w:p>
        </w:tc>
        <w:tc>
          <w:tcPr>
            <w:tcW w:w="2938" w:type="dxa"/>
            <w:gridSpan w:val="2"/>
            <w:shd w:val="clear" w:color="auto" w:fill="5B9BD5" w:themeFill="accent5"/>
          </w:tcPr>
          <w:p w14:paraId="4839BC3A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9F6DE66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EBEED62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Questão Auxiliar</w:t>
            </w:r>
          </w:p>
        </w:tc>
        <w:tc>
          <w:tcPr>
            <w:tcW w:w="1395" w:type="dxa"/>
            <w:shd w:val="clear" w:color="auto" w:fill="5B9BD5" w:themeFill="accent5"/>
          </w:tcPr>
          <w:p w14:paraId="3DA5ABE2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7BFCA6E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3C5A2D2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Opções de resposta?</w:t>
            </w:r>
          </w:p>
        </w:tc>
        <w:tc>
          <w:tcPr>
            <w:tcW w:w="1178" w:type="dxa"/>
            <w:shd w:val="clear" w:color="auto" w:fill="5B9BD5" w:themeFill="accent5"/>
          </w:tcPr>
          <w:p w14:paraId="4004295B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AB36471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F2141D4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Compõe nota?</w:t>
            </w:r>
          </w:p>
        </w:tc>
        <w:tc>
          <w:tcPr>
            <w:tcW w:w="1611" w:type="dxa"/>
            <w:shd w:val="clear" w:color="auto" w:fill="5B9BD5" w:themeFill="accent5"/>
          </w:tcPr>
          <w:p w14:paraId="49E748BE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8DE7BFC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A476005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Dependência</w:t>
            </w:r>
          </w:p>
        </w:tc>
        <w:tc>
          <w:tcPr>
            <w:tcW w:w="1962" w:type="dxa"/>
            <w:shd w:val="clear" w:color="auto" w:fill="5B9BD5" w:themeFill="accent5"/>
          </w:tcPr>
          <w:p w14:paraId="4B3AAB62" w14:textId="77777777" w:rsidR="007652CB" w:rsidRDefault="007652CB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F3B61C1" w14:textId="69CBD1C0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Resultado de </w:t>
            </w:r>
            <w:proofErr w:type="spellStart"/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IQs</w:t>
            </w:r>
            <w:proofErr w:type="spellEnd"/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dependentes cuja condição não for satisfeita</w:t>
            </w:r>
          </w:p>
        </w:tc>
        <w:tc>
          <w:tcPr>
            <w:tcW w:w="1374" w:type="dxa"/>
            <w:shd w:val="clear" w:color="auto" w:fill="5B9BD5" w:themeFill="accent5"/>
          </w:tcPr>
          <w:p w14:paraId="6421FCF5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6F226AA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2C1EB34" w14:textId="77777777" w:rsidR="00526224" w:rsidRPr="00E635DB" w:rsidRDefault="00526224" w:rsidP="00F976D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635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Interlocutor</w:t>
            </w:r>
          </w:p>
        </w:tc>
      </w:tr>
      <w:tr w:rsidR="00092839" w14:paraId="71F65D20" w14:textId="77777777" w:rsidTr="002F6ED8">
        <w:tc>
          <w:tcPr>
            <w:tcW w:w="1662" w:type="dxa"/>
            <w:vAlign w:val="center"/>
          </w:tcPr>
          <w:p w14:paraId="35859662" w14:textId="210A590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Q01. Déficit atuarial</w:t>
            </w:r>
          </w:p>
        </w:tc>
        <w:tc>
          <w:tcPr>
            <w:tcW w:w="1874" w:type="dxa"/>
            <w:vAlign w:val="center"/>
          </w:tcPr>
          <w:p w14:paraId="60E6F861" w14:textId="2506D03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IV01. Déficit atuarial</w:t>
            </w:r>
          </w:p>
        </w:tc>
        <w:tc>
          <w:tcPr>
            <w:tcW w:w="661" w:type="dxa"/>
            <w:vAlign w:val="center"/>
          </w:tcPr>
          <w:p w14:paraId="17D385B8" w14:textId="116DAF6F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6815</w:t>
            </w:r>
          </w:p>
        </w:tc>
        <w:tc>
          <w:tcPr>
            <w:tcW w:w="2277" w:type="dxa"/>
            <w:vAlign w:val="center"/>
          </w:tcPr>
          <w:p w14:paraId="28BDAD93" w14:textId="37F001A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De acordo com o cálculo atuarial relativo ao exercício de 2022, o RPPS possui déficit atuarial?</w:t>
            </w:r>
          </w:p>
        </w:tc>
        <w:tc>
          <w:tcPr>
            <w:tcW w:w="1395" w:type="dxa"/>
            <w:vAlign w:val="center"/>
          </w:tcPr>
          <w:p w14:paraId="0FB8B00E" w14:textId="0D7D2736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3B46BFC9" w14:textId="1556028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24384C6D" w14:textId="1FABF2E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6813 (se a resposta for "não")</w:t>
            </w:r>
          </w:p>
        </w:tc>
        <w:tc>
          <w:tcPr>
            <w:tcW w:w="1962" w:type="dxa"/>
            <w:vAlign w:val="center"/>
          </w:tcPr>
          <w:p w14:paraId="1ED8B33D" w14:textId="3ECF7B1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7A60E321" w14:textId="0261CBB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356F77B2" w14:textId="77777777" w:rsidTr="002F6ED8">
        <w:tc>
          <w:tcPr>
            <w:tcW w:w="1662" w:type="dxa"/>
            <w:vAlign w:val="center"/>
          </w:tcPr>
          <w:p w14:paraId="135F8372" w14:textId="7CD1878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Q02. Regime de Previdência Complementar</w:t>
            </w:r>
          </w:p>
        </w:tc>
        <w:tc>
          <w:tcPr>
            <w:tcW w:w="1874" w:type="dxa"/>
            <w:vAlign w:val="center"/>
          </w:tcPr>
          <w:p w14:paraId="524278C4" w14:textId="0D49CBB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IV03. Implementação do RPC</w:t>
            </w:r>
          </w:p>
        </w:tc>
        <w:tc>
          <w:tcPr>
            <w:tcW w:w="661" w:type="dxa"/>
            <w:vAlign w:val="center"/>
          </w:tcPr>
          <w:p w14:paraId="5B1FD490" w14:textId="6318414E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6822</w:t>
            </w:r>
          </w:p>
        </w:tc>
        <w:tc>
          <w:tcPr>
            <w:tcW w:w="2277" w:type="dxa"/>
            <w:vAlign w:val="center"/>
          </w:tcPr>
          <w:p w14:paraId="6F2A7E96" w14:textId="348E3EC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Houve a elaboração de estudo de viabilidade que comprovou a adesão de, no mínimo, dez mil participantes ao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RPC ou equilíbrio técnico entre receitas e despesas administrativas da EFPC?</w:t>
            </w:r>
          </w:p>
        </w:tc>
        <w:tc>
          <w:tcPr>
            <w:tcW w:w="1395" w:type="dxa"/>
            <w:vAlign w:val="center"/>
          </w:tcPr>
          <w:p w14:paraId="4C473E5F" w14:textId="500B324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Sim/não</w:t>
            </w:r>
          </w:p>
        </w:tc>
        <w:tc>
          <w:tcPr>
            <w:tcW w:w="1178" w:type="dxa"/>
            <w:vAlign w:val="center"/>
          </w:tcPr>
          <w:p w14:paraId="6430A258" w14:textId="5894D3C3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38D0F006" w14:textId="608CD75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 xml:space="preserve">6821 (se a resposta for "a) Criação de nova Entidade Fechada de </w:t>
            </w: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Previdência Complementar.' )</w:t>
            </w:r>
          </w:p>
        </w:tc>
        <w:tc>
          <w:tcPr>
            <w:tcW w:w="1962" w:type="dxa"/>
            <w:vAlign w:val="center"/>
          </w:tcPr>
          <w:p w14:paraId="4294D8CB" w14:textId="415DEBE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Não se aplica</w:t>
            </w:r>
          </w:p>
        </w:tc>
        <w:tc>
          <w:tcPr>
            <w:tcW w:w="1374" w:type="dxa"/>
            <w:vAlign w:val="center"/>
          </w:tcPr>
          <w:p w14:paraId="634DA994" w14:textId="0D25993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7E256C51" w14:textId="77777777" w:rsidTr="002F6ED8">
        <w:tc>
          <w:tcPr>
            <w:tcW w:w="1662" w:type="dxa"/>
            <w:vAlign w:val="center"/>
          </w:tcPr>
          <w:p w14:paraId="104FB4D8" w14:textId="7672DC4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Q02. Regime de Previdência Complementar</w:t>
            </w:r>
          </w:p>
        </w:tc>
        <w:tc>
          <w:tcPr>
            <w:tcW w:w="1874" w:type="dxa"/>
            <w:vAlign w:val="center"/>
          </w:tcPr>
          <w:p w14:paraId="5CD97964" w14:textId="2F7A0DE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IV03. Implementação do RPC</w:t>
            </w:r>
          </w:p>
        </w:tc>
        <w:tc>
          <w:tcPr>
            <w:tcW w:w="661" w:type="dxa"/>
            <w:vAlign w:val="center"/>
          </w:tcPr>
          <w:p w14:paraId="1E12D0A4" w14:textId="7873221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6824</w:t>
            </w:r>
          </w:p>
        </w:tc>
        <w:tc>
          <w:tcPr>
            <w:tcW w:w="2277" w:type="dxa"/>
            <w:vAlign w:val="center"/>
          </w:tcPr>
          <w:p w14:paraId="52DAD8DA" w14:textId="73F0A74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Houve (i) a elaboração de estudo de viabilidade que tenha comprovado a adesão de quantidade participantes que assegure o equilíbrio técnico entre receitas e despesas administrativas do plano; e, para a contratação da EFPC, a instauração de (</w:t>
            </w:r>
            <w:proofErr w:type="spellStart"/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proofErr w:type="spellEnd"/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) processo de seleção público, com instrução processual diligente e observância dos princípios da impessoalidade e publicidade?</w:t>
            </w:r>
          </w:p>
        </w:tc>
        <w:tc>
          <w:tcPr>
            <w:tcW w:w="1395" w:type="dxa"/>
            <w:vAlign w:val="center"/>
          </w:tcPr>
          <w:p w14:paraId="30BE02A8" w14:textId="724E024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0478AA3F" w14:textId="35B9E2D0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2427E3BE" w14:textId="373F25F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6821 (se a resposta for 'b) Criação de novo Plano de Benefícios em Entidade Fechada de Previdência Complementar já existente.')</w:t>
            </w:r>
          </w:p>
        </w:tc>
        <w:tc>
          <w:tcPr>
            <w:tcW w:w="1962" w:type="dxa"/>
            <w:vAlign w:val="center"/>
          </w:tcPr>
          <w:p w14:paraId="2958B3FC" w14:textId="0E702BD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4AFD9AB8" w14:textId="29A0A62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72337FCA" w14:textId="77777777" w:rsidTr="002F6ED8">
        <w:tc>
          <w:tcPr>
            <w:tcW w:w="1662" w:type="dxa"/>
            <w:vAlign w:val="center"/>
          </w:tcPr>
          <w:p w14:paraId="7CB959B5" w14:textId="1311E27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Q02. Regime de Previdência Complementar</w:t>
            </w:r>
          </w:p>
        </w:tc>
        <w:tc>
          <w:tcPr>
            <w:tcW w:w="1874" w:type="dxa"/>
            <w:vAlign w:val="center"/>
          </w:tcPr>
          <w:p w14:paraId="6DB35F60" w14:textId="30296B4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IV03. Implementação do RPC</w:t>
            </w:r>
          </w:p>
        </w:tc>
        <w:tc>
          <w:tcPr>
            <w:tcW w:w="661" w:type="dxa"/>
            <w:vAlign w:val="center"/>
          </w:tcPr>
          <w:p w14:paraId="155ED200" w14:textId="4004AB2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6826</w:t>
            </w:r>
          </w:p>
        </w:tc>
        <w:tc>
          <w:tcPr>
            <w:tcW w:w="2277" w:type="dxa"/>
            <w:vAlign w:val="center"/>
          </w:tcPr>
          <w:p w14:paraId="71AB01AB" w14:textId="0E25D6E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Houve a elaboração de processo de seleção público, com instrução processual diligente e observância dos princípios da impessoalidade e publicidade, para a contratação da EFPC?</w:t>
            </w:r>
          </w:p>
        </w:tc>
        <w:tc>
          <w:tcPr>
            <w:tcW w:w="1395" w:type="dxa"/>
            <w:vAlign w:val="center"/>
          </w:tcPr>
          <w:p w14:paraId="486BFBC0" w14:textId="5CB1FB16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71A5CDB0" w14:textId="32FA6A6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00D0CA15" w14:textId="4BD11BC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6821 (se a resposta for 'c) Adesão de Plano de Benefícios em funcionamento em Entidade Fechada de Previdência Complementar já existente')</w:t>
            </w:r>
          </w:p>
        </w:tc>
        <w:tc>
          <w:tcPr>
            <w:tcW w:w="1962" w:type="dxa"/>
            <w:vAlign w:val="center"/>
          </w:tcPr>
          <w:p w14:paraId="64E545E4" w14:textId="3ABB764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4AB739DC" w14:textId="04C0862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602E3A0B" w14:textId="77777777" w:rsidTr="002F6ED8">
        <w:tc>
          <w:tcPr>
            <w:tcW w:w="1662" w:type="dxa"/>
            <w:vAlign w:val="center"/>
          </w:tcPr>
          <w:p w14:paraId="3CBA648A" w14:textId="68E78DD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Q03. Legislação Previdenciária</w:t>
            </w:r>
          </w:p>
        </w:tc>
        <w:tc>
          <w:tcPr>
            <w:tcW w:w="1874" w:type="dxa"/>
            <w:vAlign w:val="center"/>
          </w:tcPr>
          <w:p w14:paraId="55AFDB39" w14:textId="163A2F4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IV06. Adequação da legislação previdenciária</w:t>
            </w:r>
          </w:p>
        </w:tc>
        <w:tc>
          <w:tcPr>
            <w:tcW w:w="661" w:type="dxa"/>
            <w:vAlign w:val="center"/>
          </w:tcPr>
          <w:p w14:paraId="5679F26C" w14:textId="51338D8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6838</w:t>
            </w:r>
          </w:p>
        </w:tc>
        <w:tc>
          <w:tcPr>
            <w:tcW w:w="2277" w:type="dxa"/>
            <w:vAlign w:val="center"/>
          </w:tcPr>
          <w:p w14:paraId="1F55F579" w14:textId="41C967B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Qual tipo de alíquota de contribuição previdenciária dos servidores públicos efetivos é adotada pelo Município?</w:t>
            </w:r>
          </w:p>
        </w:tc>
        <w:tc>
          <w:tcPr>
            <w:tcW w:w="1395" w:type="dxa"/>
            <w:vAlign w:val="center"/>
          </w:tcPr>
          <w:p w14:paraId="3FB6ED70" w14:textId="669D5C2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Lista</w:t>
            </w:r>
          </w:p>
        </w:tc>
        <w:tc>
          <w:tcPr>
            <w:tcW w:w="1178" w:type="dxa"/>
            <w:vAlign w:val="center"/>
          </w:tcPr>
          <w:p w14:paraId="67BFAA4A" w14:textId="3DE5419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3EF4D976" w14:textId="1F1266F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6813 ou 6815 e 6836</w:t>
            </w:r>
          </w:p>
        </w:tc>
        <w:tc>
          <w:tcPr>
            <w:tcW w:w="1962" w:type="dxa"/>
            <w:vAlign w:val="center"/>
          </w:tcPr>
          <w:p w14:paraId="52475204" w14:textId="20051083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15224E9B" w14:textId="7D5731F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7DA0723A" w14:textId="77777777" w:rsidTr="002F6ED8">
        <w:tc>
          <w:tcPr>
            <w:tcW w:w="1662" w:type="dxa"/>
            <w:vAlign w:val="center"/>
          </w:tcPr>
          <w:p w14:paraId="0126482A" w14:textId="1524389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Q03. Legislação Previdenciária</w:t>
            </w:r>
          </w:p>
        </w:tc>
        <w:tc>
          <w:tcPr>
            <w:tcW w:w="1874" w:type="dxa"/>
            <w:vAlign w:val="center"/>
          </w:tcPr>
          <w:p w14:paraId="34AB1D4B" w14:textId="299C599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IV06. Adequação da legislação previdenciária</w:t>
            </w:r>
          </w:p>
        </w:tc>
        <w:tc>
          <w:tcPr>
            <w:tcW w:w="661" w:type="dxa"/>
            <w:vAlign w:val="center"/>
          </w:tcPr>
          <w:p w14:paraId="238F9C44" w14:textId="6E24DF8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6839</w:t>
            </w:r>
          </w:p>
        </w:tc>
        <w:tc>
          <w:tcPr>
            <w:tcW w:w="2277" w:type="dxa"/>
            <w:vAlign w:val="center"/>
          </w:tcPr>
          <w:p w14:paraId="576AAFC3" w14:textId="17A0EFD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 alíquota de contribuição previdenciária dos servidores públicos titulares de cargos efetivos é igual ou superior a 14%?</w:t>
            </w:r>
          </w:p>
        </w:tc>
        <w:tc>
          <w:tcPr>
            <w:tcW w:w="1395" w:type="dxa"/>
            <w:vAlign w:val="center"/>
          </w:tcPr>
          <w:p w14:paraId="32E59FDF" w14:textId="141D5622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2E330FDF" w14:textId="447E2015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77F49A07" w14:textId="35A1954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6838 (se a resposta for 'a) Alíquota fixa.')</w:t>
            </w:r>
          </w:p>
        </w:tc>
        <w:tc>
          <w:tcPr>
            <w:tcW w:w="1962" w:type="dxa"/>
            <w:vAlign w:val="center"/>
          </w:tcPr>
          <w:p w14:paraId="7DC5EB56" w14:textId="12E8A1D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2CE2388E" w14:textId="019618F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37E7FA8D" w14:textId="77777777" w:rsidTr="002F6ED8">
        <w:tc>
          <w:tcPr>
            <w:tcW w:w="1662" w:type="dxa"/>
            <w:vAlign w:val="center"/>
          </w:tcPr>
          <w:p w14:paraId="0F4B28B0" w14:textId="76487D5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Q03. Legislação Previdenciária</w:t>
            </w:r>
          </w:p>
        </w:tc>
        <w:tc>
          <w:tcPr>
            <w:tcW w:w="1874" w:type="dxa"/>
            <w:vAlign w:val="center"/>
          </w:tcPr>
          <w:p w14:paraId="5164A71A" w14:textId="55FE5D7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IV06. Adequação da legislação previdenciária</w:t>
            </w:r>
          </w:p>
        </w:tc>
        <w:tc>
          <w:tcPr>
            <w:tcW w:w="661" w:type="dxa"/>
            <w:vAlign w:val="center"/>
          </w:tcPr>
          <w:p w14:paraId="1D6B6F02" w14:textId="1A55377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6840</w:t>
            </w:r>
          </w:p>
        </w:tc>
        <w:tc>
          <w:tcPr>
            <w:tcW w:w="2277" w:type="dxa"/>
            <w:vAlign w:val="center"/>
          </w:tcPr>
          <w:p w14:paraId="3D8E5C0B" w14:textId="523C91E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 possibilidade de instituição de alíquotas progressivas está prevista (referendada) na legislação do Município?</w:t>
            </w:r>
          </w:p>
        </w:tc>
        <w:tc>
          <w:tcPr>
            <w:tcW w:w="1395" w:type="dxa"/>
            <w:vAlign w:val="center"/>
          </w:tcPr>
          <w:p w14:paraId="196DF44E" w14:textId="78B689C2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2A4213CD" w14:textId="0DCFC9D2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43FE738B" w14:textId="777E37F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6838 (se a resposta for 'b) Alíquota progressiva.')</w:t>
            </w:r>
          </w:p>
        </w:tc>
        <w:tc>
          <w:tcPr>
            <w:tcW w:w="1962" w:type="dxa"/>
            <w:vAlign w:val="center"/>
          </w:tcPr>
          <w:p w14:paraId="13A36DB2" w14:textId="40359476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7FB4031A" w14:textId="628D406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7B489785" w14:textId="77777777" w:rsidTr="002F6ED8">
        <w:tc>
          <w:tcPr>
            <w:tcW w:w="1662" w:type="dxa"/>
            <w:vAlign w:val="center"/>
          </w:tcPr>
          <w:p w14:paraId="5983C1AC" w14:textId="5FED22A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Q03. Legislação Previdenciária</w:t>
            </w:r>
          </w:p>
        </w:tc>
        <w:tc>
          <w:tcPr>
            <w:tcW w:w="1874" w:type="dxa"/>
            <w:vAlign w:val="center"/>
          </w:tcPr>
          <w:p w14:paraId="2EA9C425" w14:textId="275691E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IV06. Adequação da legislação previdenciária</w:t>
            </w:r>
          </w:p>
        </w:tc>
        <w:tc>
          <w:tcPr>
            <w:tcW w:w="661" w:type="dxa"/>
            <w:vAlign w:val="center"/>
          </w:tcPr>
          <w:p w14:paraId="41D67F0E" w14:textId="3F28C1E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6841</w:t>
            </w:r>
          </w:p>
        </w:tc>
        <w:tc>
          <w:tcPr>
            <w:tcW w:w="2277" w:type="dxa"/>
            <w:vAlign w:val="center"/>
          </w:tcPr>
          <w:p w14:paraId="5CD51E17" w14:textId="19A2C8F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 Município elaborou estudos atuariais que demonstraram que a instituição de alíquotas progressivas contribuiria para o equilíbrio financeiro e atuarial do RPPS?</w:t>
            </w:r>
          </w:p>
        </w:tc>
        <w:tc>
          <w:tcPr>
            <w:tcW w:w="1395" w:type="dxa"/>
            <w:vAlign w:val="center"/>
          </w:tcPr>
          <w:p w14:paraId="76F048AC" w14:textId="150407E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7B20D309" w14:textId="56B07C9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354CF77B" w14:textId="4BA88BD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6838 (se a resposta for 'b) Alíquota progressiva.')</w:t>
            </w:r>
          </w:p>
        </w:tc>
        <w:tc>
          <w:tcPr>
            <w:tcW w:w="1962" w:type="dxa"/>
            <w:vAlign w:val="center"/>
          </w:tcPr>
          <w:p w14:paraId="64BF0339" w14:textId="1C0A836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0EEB7DDF" w14:textId="5A60431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5822EB6B" w14:textId="77777777" w:rsidTr="002F6ED8">
        <w:tc>
          <w:tcPr>
            <w:tcW w:w="1662" w:type="dxa"/>
            <w:vAlign w:val="center"/>
          </w:tcPr>
          <w:p w14:paraId="2AE9BC68" w14:textId="39FA8B1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Q03. Legislação Previdenciária</w:t>
            </w:r>
          </w:p>
        </w:tc>
        <w:tc>
          <w:tcPr>
            <w:tcW w:w="1874" w:type="dxa"/>
            <w:vAlign w:val="center"/>
          </w:tcPr>
          <w:p w14:paraId="63EDBB9E" w14:textId="5BB5F07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IV06. Adequação da legislação previdenciária</w:t>
            </w:r>
          </w:p>
        </w:tc>
        <w:tc>
          <w:tcPr>
            <w:tcW w:w="661" w:type="dxa"/>
            <w:vAlign w:val="center"/>
          </w:tcPr>
          <w:p w14:paraId="3243946F" w14:textId="6DD7685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6842</w:t>
            </w:r>
          </w:p>
        </w:tc>
        <w:tc>
          <w:tcPr>
            <w:tcW w:w="2277" w:type="dxa"/>
            <w:vAlign w:val="center"/>
          </w:tcPr>
          <w:p w14:paraId="65A23FB6" w14:textId="7BCA9A4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As alíquotas progressivas de contribuição correspondem, no mínimo, àquelas previstas no §1º do art. 11 da Emenda Constitucional nº 103, de 2019 (7,5% a 22%,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conforme a remuneração)?</w:t>
            </w:r>
          </w:p>
        </w:tc>
        <w:tc>
          <w:tcPr>
            <w:tcW w:w="1395" w:type="dxa"/>
            <w:vAlign w:val="center"/>
          </w:tcPr>
          <w:p w14:paraId="1C731DB5" w14:textId="268DC3D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Sim/não</w:t>
            </w:r>
          </w:p>
        </w:tc>
        <w:tc>
          <w:tcPr>
            <w:tcW w:w="1178" w:type="dxa"/>
            <w:vAlign w:val="center"/>
          </w:tcPr>
          <w:p w14:paraId="07477483" w14:textId="279F5A3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5B4D6B34" w14:textId="27559A0C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6838 (se a resposta for 'b) Alíquota progressiva.')</w:t>
            </w:r>
          </w:p>
        </w:tc>
        <w:tc>
          <w:tcPr>
            <w:tcW w:w="1962" w:type="dxa"/>
            <w:vAlign w:val="center"/>
          </w:tcPr>
          <w:p w14:paraId="44168AC6" w14:textId="1A03879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2FD6A273" w14:textId="14748AE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50FF1472" w14:textId="77777777" w:rsidTr="002F6ED8">
        <w:tc>
          <w:tcPr>
            <w:tcW w:w="1662" w:type="dxa"/>
            <w:vAlign w:val="center"/>
          </w:tcPr>
          <w:p w14:paraId="4EAE5950" w14:textId="5601E03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Q04. Órgãos de governança</w:t>
            </w:r>
          </w:p>
        </w:tc>
        <w:tc>
          <w:tcPr>
            <w:tcW w:w="1874" w:type="dxa"/>
            <w:vAlign w:val="center"/>
          </w:tcPr>
          <w:p w14:paraId="11A52C0E" w14:textId="21027F9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IV07. Conselho fiscal do RPPS</w:t>
            </w:r>
          </w:p>
        </w:tc>
        <w:tc>
          <w:tcPr>
            <w:tcW w:w="661" w:type="dxa"/>
            <w:vAlign w:val="center"/>
          </w:tcPr>
          <w:p w14:paraId="0897CE56" w14:textId="77E5516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6868</w:t>
            </w:r>
          </w:p>
        </w:tc>
        <w:tc>
          <w:tcPr>
            <w:tcW w:w="2277" w:type="dxa"/>
            <w:vAlign w:val="center"/>
          </w:tcPr>
          <w:p w14:paraId="42D36407" w14:textId="33714AFE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 Conselho Fiscal (ou conselho equivalente) opina conclusivamente sobre a regularidade dos aportes para cobertura do déficit atuarial?</w:t>
            </w:r>
          </w:p>
        </w:tc>
        <w:tc>
          <w:tcPr>
            <w:tcW w:w="1395" w:type="dxa"/>
            <w:vAlign w:val="center"/>
          </w:tcPr>
          <w:p w14:paraId="42B12F84" w14:textId="1C56B2F0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2278C607" w14:textId="451B71A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0E51C3AD" w14:textId="48E43D6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71CC821C" w14:textId="77139C0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4DA86A33" w14:textId="4655F16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5E4DEC55" w14:textId="77777777" w:rsidTr="002F6ED8">
        <w:tc>
          <w:tcPr>
            <w:tcW w:w="1662" w:type="dxa"/>
            <w:vAlign w:val="center"/>
          </w:tcPr>
          <w:p w14:paraId="1624E48B" w14:textId="6A1A675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Q05. Transparência e processos de trabalho</w:t>
            </w:r>
          </w:p>
        </w:tc>
        <w:tc>
          <w:tcPr>
            <w:tcW w:w="1874" w:type="dxa"/>
            <w:vAlign w:val="center"/>
          </w:tcPr>
          <w:p w14:paraId="20605827" w14:textId="11FC330E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IV13. Processos de controle de repasses de recursos</w:t>
            </w:r>
          </w:p>
        </w:tc>
        <w:tc>
          <w:tcPr>
            <w:tcW w:w="661" w:type="dxa"/>
            <w:vAlign w:val="center"/>
          </w:tcPr>
          <w:p w14:paraId="2B2297BA" w14:textId="133F528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6918</w:t>
            </w:r>
          </w:p>
        </w:tc>
        <w:tc>
          <w:tcPr>
            <w:tcW w:w="2277" w:type="dxa"/>
            <w:vAlign w:val="center"/>
          </w:tcPr>
          <w:p w14:paraId="69237FF4" w14:textId="7F4D4EC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 processo de trabalho relativo ao controle de repasse de aportes para cobertura do déficit atuarial está mapeado com o auxílio de fluxograma atualizado?</w:t>
            </w:r>
          </w:p>
        </w:tc>
        <w:tc>
          <w:tcPr>
            <w:tcW w:w="1395" w:type="dxa"/>
            <w:vAlign w:val="center"/>
          </w:tcPr>
          <w:p w14:paraId="11F09520" w14:textId="53D4AE7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5595AC2A" w14:textId="2135FAA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69FAA24B" w14:textId="2EDD8FF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4F310BAF" w14:textId="04E8D286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279A1CC1" w14:textId="72E0FF5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4D9F9085" w14:textId="77777777" w:rsidTr="002F6ED8">
        <w:tc>
          <w:tcPr>
            <w:tcW w:w="1662" w:type="dxa"/>
            <w:vAlign w:val="center"/>
          </w:tcPr>
          <w:p w14:paraId="6E705902" w14:textId="3CB0DAA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6713A3A6" w14:textId="67C183C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IV18. Plano de amortização do déficit atuarial</w:t>
            </w:r>
          </w:p>
        </w:tc>
        <w:tc>
          <w:tcPr>
            <w:tcW w:w="661" w:type="dxa"/>
            <w:vAlign w:val="center"/>
          </w:tcPr>
          <w:p w14:paraId="777A164E" w14:textId="05EA135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6946</w:t>
            </w:r>
          </w:p>
        </w:tc>
        <w:tc>
          <w:tcPr>
            <w:tcW w:w="2277" w:type="dxa"/>
            <w:vAlign w:val="center"/>
          </w:tcPr>
          <w:p w14:paraId="21B6A9F8" w14:textId="7FF579A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Os Planos de Amortização do Déficit Atuarial são aprovados por lei municipal?</w:t>
            </w:r>
          </w:p>
        </w:tc>
        <w:tc>
          <w:tcPr>
            <w:tcW w:w="1395" w:type="dxa"/>
            <w:vAlign w:val="center"/>
          </w:tcPr>
          <w:p w14:paraId="77A35DD7" w14:textId="0747DAB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5153FDA3" w14:textId="6A9EBEC0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1E362BDC" w14:textId="6708B9E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1F3D6201" w14:textId="54D0607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10E573FE" w14:textId="591223C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78FDAF0D" w14:textId="77777777" w:rsidTr="002F6ED8">
        <w:tc>
          <w:tcPr>
            <w:tcW w:w="1662" w:type="dxa"/>
            <w:vAlign w:val="center"/>
          </w:tcPr>
          <w:p w14:paraId="7D780F76" w14:textId="27F4568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01F61736" w14:textId="63A73CF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IV18. Plano de amortização do déficit atuarial</w:t>
            </w:r>
          </w:p>
        </w:tc>
        <w:tc>
          <w:tcPr>
            <w:tcW w:w="661" w:type="dxa"/>
            <w:vAlign w:val="center"/>
          </w:tcPr>
          <w:p w14:paraId="58E5111D" w14:textId="21DAF97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6948</w:t>
            </w:r>
          </w:p>
        </w:tc>
        <w:tc>
          <w:tcPr>
            <w:tcW w:w="2277" w:type="dxa"/>
            <w:vAlign w:val="center"/>
          </w:tcPr>
          <w:p w14:paraId="66CE5C9A" w14:textId="68A04DD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Os Planos de Amortização do Déficit Atuarial estão de acordo com os planos propostos no Relatório de Avaliação Atuarial?</w:t>
            </w:r>
          </w:p>
        </w:tc>
        <w:tc>
          <w:tcPr>
            <w:tcW w:w="1395" w:type="dxa"/>
            <w:vAlign w:val="center"/>
          </w:tcPr>
          <w:p w14:paraId="15C37356" w14:textId="68D769F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062C7998" w14:textId="2B08939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73417D67" w14:textId="03134C3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3274D9AC" w14:textId="1660C370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47CF5BB3" w14:textId="19365C2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00485FA0" w14:textId="77777777" w:rsidTr="002F6ED8">
        <w:tc>
          <w:tcPr>
            <w:tcW w:w="1662" w:type="dxa"/>
            <w:vAlign w:val="center"/>
          </w:tcPr>
          <w:p w14:paraId="37317B70" w14:textId="557A4B6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005938F4" w14:textId="4FABF60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IV18. Plano de amortização do déficit atuarial</w:t>
            </w:r>
          </w:p>
        </w:tc>
        <w:tc>
          <w:tcPr>
            <w:tcW w:w="661" w:type="dxa"/>
            <w:vAlign w:val="center"/>
          </w:tcPr>
          <w:p w14:paraId="79EAA421" w14:textId="130A403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6949</w:t>
            </w:r>
          </w:p>
        </w:tc>
        <w:tc>
          <w:tcPr>
            <w:tcW w:w="2277" w:type="dxa"/>
            <w:vAlign w:val="center"/>
          </w:tcPr>
          <w:p w14:paraId="39A78EBC" w14:textId="0B4D3C8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Os Planos de Amortização do Déficit Atuarial implementados em Lei respeitam os prazos máximos previstos na legislação (35 anos ou o resultado obtido a partir da aplicação do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previsto nos incisos II e III do art. 43 da Portaria MPT nº 1.467, de 2022)?</w:t>
            </w:r>
          </w:p>
        </w:tc>
        <w:tc>
          <w:tcPr>
            <w:tcW w:w="1395" w:type="dxa"/>
            <w:vAlign w:val="center"/>
          </w:tcPr>
          <w:p w14:paraId="6C1B9730" w14:textId="2D176DF2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Sim/não</w:t>
            </w:r>
          </w:p>
        </w:tc>
        <w:tc>
          <w:tcPr>
            <w:tcW w:w="1178" w:type="dxa"/>
            <w:vAlign w:val="center"/>
          </w:tcPr>
          <w:p w14:paraId="798404EB" w14:textId="76E1962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58BDAE92" w14:textId="474A740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7FDEF2F9" w14:textId="0E52990C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271C35CA" w14:textId="11C62D0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43590743" w14:textId="77777777" w:rsidTr="002F6ED8">
        <w:tc>
          <w:tcPr>
            <w:tcW w:w="1662" w:type="dxa"/>
            <w:vAlign w:val="center"/>
          </w:tcPr>
          <w:p w14:paraId="73893D69" w14:textId="7ABA9DA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7305DF80" w14:textId="643E819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IV18. Plano de amortização do déficit atuarial</w:t>
            </w:r>
          </w:p>
        </w:tc>
        <w:tc>
          <w:tcPr>
            <w:tcW w:w="661" w:type="dxa"/>
            <w:vAlign w:val="center"/>
          </w:tcPr>
          <w:p w14:paraId="435C318D" w14:textId="4CFE054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6950</w:t>
            </w:r>
          </w:p>
        </w:tc>
        <w:tc>
          <w:tcPr>
            <w:tcW w:w="2277" w:type="dxa"/>
            <w:vAlign w:val="center"/>
          </w:tcPr>
          <w:p w14:paraId="42E5D865" w14:textId="481D279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As revisões dos Planos de Amortização do Déficit Atuarial (quando verificada sua necessidade pelo Município) são realizadas mediante aprovação de nova lei municipal?</w:t>
            </w:r>
          </w:p>
        </w:tc>
        <w:tc>
          <w:tcPr>
            <w:tcW w:w="1395" w:type="dxa"/>
            <w:vAlign w:val="center"/>
          </w:tcPr>
          <w:p w14:paraId="06AB834C" w14:textId="2184D1E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Sim/não/N.A.</w:t>
            </w:r>
          </w:p>
        </w:tc>
        <w:tc>
          <w:tcPr>
            <w:tcW w:w="1178" w:type="dxa"/>
            <w:vAlign w:val="center"/>
          </w:tcPr>
          <w:p w14:paraId="7CD89D99" w14:textId="7F75630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1D22F01E" w14:textId="55651B1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60627A59" w14:textId="22CE5FC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3CFCA52A" w14:textId="623D6E9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76B93B4E" w14:textId="77777777" w:rsidTr="002F6ED8">
        <w:tc>
          <w:tcPr>
            <w:tcW w:w="1662" w:type="dxa"/>
            <w:vAlign w:val="center"/>
          </w:tcPr>
          <w:p w14:paraId="4978685C" w14:textId="69C8AF7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2B487527" w14:textId="530101F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IV18. Plano de amortização do déficit atuarial</w:t>
            </w:r>
          </w:p>
        </w:tc>
        <w:tc>
          <w:tcPr>
            <w:tcW w:w="661" w:type="dxa"/>
            <w:vAlign w:val="center"/>
          </w:tcPr>
          <w:p w14:paraId="15C329F2" w14:textId="68B5130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6951</w:t>
            </w:r>
          </w:p>
        </w:tc>
        <w:tc>
          <w:tcPr>
            <w:tcW w:w="2277" w:type="dxa"/>
            <w:vAlign w:val="center"/>
          </w:tcPr>
          <w:p w14:paraId="7B2CD50B" w14:textId="05A7090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 RPPS elabora estudo de viabilidade financeira, orçamentária e fiscal do Plano de Custeio do RPPS?</w:t>
            </w:r>
          </w:p>
        </w:tc>
        <w:tc>
          <w:tcPr>
            <w:tcW w:w="1395" w:type="dxa"/>
            <w:vAlign w:val="center"/>
          </w:tcPr>
          <w:p w14:paraId="01F606AE" w14:textId="7410ED3C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566AE21A" w14:textId="486A056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5D70F5AF" w14:textId="265DAB1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518E1D2E" w14:textId="7278679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5402490C" w14:textId="102A0EF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725C1205" w14:textId="77777777" w:rsidTr="002F6ED8">
        <w:tc>
          <w:tcPr>
            <w:tcW w:w="1662" w:type="dxa"/>
            <w:vAlign w:val="center"/>
          </w:tcPr>
          <w:p w14:paraId="3B251965" w14:textId="388C620F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194C0D7D" w14:textId="7C9AB4D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IV18. Plano de amortização do déficit atuarial</w:t>
            </w:r>
          </w:p>
        </w:tc>
        <w:tc>
          <w:tcPr>
            <w:tcW w:w="661" w:type="dxa"/>
            <w:vAlign w:val="center"/>
          </w:tcPr>
          <w:p w14:paraId="15AE2711" w14:textId="56194CD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6953</w:t>
            </w:r>
          </w:p>
        </w:tc>
        <w:tc>
          <w:tcPr>
            <w:tcW w:w="2277" w:type="dxa"/>
            <w:vAlign w:val="center"/>
          </w:tcPr>
          <w:p w14:paraId="551D628F" w14:textId="23A5A3C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 estudo de viabilidade financeira, orçamentária e fiscal do Plano de Custeio do RPPS demonstra que o Poder Executivo manterá suas despesas com pessoal abaixo do limite prudencial*, durante toda a duração do Plano de Amortização?</w:t>
            </w:r>
          </w:p>
        </w:tc>
        <w:tc>
          <w:tcPr>
            <w:tcW w:w="1395" w:type="dxa"/>
            <w:vAlign w:val="center"/>
          </w:tcPr>
          <w:p w14:paraId="635AE84E" w14:textId="2488002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318EE8CE" w14:textId="107B88C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5285F2F6" w14:textId="6E3A15B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77C6B62F" w14:textId="45614516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1D481BB8" w14:textId="3FA42AD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60CCD2E4" w14:textId="77777777" w:rsidTr="002F6ED8">
        <w:tc>
          <w:tcPr>
            <w:tcW w:w="1662" w:type="dxa"/>
            <w:vAlign w:val="center"/>
          </w:tcPr>
          <w:p w14:paraId="35EA749D" w14:textId="180C6FBF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7E888399" w14:textId="3027AC9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IV18. Plano de amortização do déficit atuarial</w:t>
            </w:r>
          </w:p>
        </w:tc>
        <w:tc>
          <w:tcPr>
            <w:tcW w:w="661" w:type="dxa"/>
            <w:vAlign w:val="center"/>
          </w:tcPr>
          <w:p w14:paraId="562D793F" w14:textId="7D15955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6954</w:t>
            </w:r>
          </w:p>
        </w:tc>
        <w:tc>
          <w:tcPr>
            <w:tcW w:w="2277" w:type="dxa"/>
            <w:vAlign w:val="center"/>
          </w:tcPr>
          <w:p w14:paraId="299138AF" w14:textId="400E2A8E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O estudo de viabilidade financeira, orçamentária e fiscal do Plano de Custeio do RPPS demonstra que o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Município atende o limite máximo de endividamento* após inclusão do resultado atuarial na dívida?</w:t>
            </w:r>
          </w:p>
        </w:tc>
        <w:tc>
          <w:tcPr>
            <w:tcW w:w="1395" w:type="dxa"/>
            <w:vAlign w:val="center"/>
          </w:tcPr>
          <w:p w14:paraId="43386066" w14:textId="7A83533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Sim/não</w:t>
            </w:r>
          </w:p>
        </w:tc>
        <w:tc>
          <w:tcPr>
            <w:tcW w:w="1178" w:type="dxa"/>
            <w:vAlign w:val="center"/>
          </w:tcPr>
          <w:p w14:paraId="64D70630" w14:textId="1B1D3A35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2815572D" w14:textId="4B4EBE3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55BE16DD" w14:textId="26E468A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787FFAFE" w14:textId="239071C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04397814" w14:textId="77777777" w:rsidTr="002F6ED8">
        <w:tc>
          <w:tcPr>
            <w:tcW w:w="1662" w:type="dxa"/>
            <w:vAlign w:val="center"/>
          </w:tcPr>
          <w:p w14:paraId="2CC34EF8" w14:textId="7769398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5BB94746" w14:textId="1AD0DB4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IV19. Repasses de recursos do RPPS</w:t>
            </w:r>
          </w:p>
        </w:tc>
        <w:tc>
          <w:tcPr>
            <w:tcW w:w="661" w:type="dxa"/>
            <w:vAlign w:val="center"/>
          </w:tcPr>
          <w:p w14:paraId="6DF037B2" w14:textId="597896D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6956</w:t>
            </w:r>
          </w:p>
        </w:tc>
        <w:tc>
          <w:tcPr>
            <w:tcW w:w="2277" w:type="dxa"/>
            <w:vAlign w:val="center"/>
          </w:tcPr>
          <w:p w14:paraId="33959DC1" w14:textId="023FBFD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 RPPS verifica regularmente se o Poder Executivo realiza os aportes para cobertura do déficit atuarial do regime?</w:t>
            </w:r>
          </w:p>
        </w:tc>
        <w:tc>
          <w:tcPr>
            <w:tcW w:w="1395" w:type="dxa"/>
            <w:vAlign w:val="center"/>
          </w:tcPr>
          <w:p w14:paraId="0DD1B2C8" w14:textId="62AED5F2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40C468F0" w14:textId="68528C0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611" w:type="dxa"/>
            <w:vAlign w:val="center"/>
          </w:tcPr>
          <w:p w14:paraId="49FAA790" w14:textId="41D263E6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2FFB1A20" w14:textId="3F4F3E5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4F261D28" w14:textId="5E17EDB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2EC7C0AA" w14:textId="77777777" w:rsidTr="002F6ED8">
        <w:tc>
          <w:tcPr>
            <w:tcW w:w="1662" w:type="dxa"/>
            <w:vAlign w:val="center"/>
          </w:tcPr>
          <w:p w14:paraId="2BC04400" w14:textId="570687D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09FD7857" w14:textId="3095926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IV19. Repasses de recursos do RPPS</w:t>
            </w:r>
          </w:p>
        </w:tc>
        <w:tc>
          <w:tcPr>
            <w:tcW w:w="661" w:type="dxa"/>
            <w:vAlign w:val="center"/>
          </w:tcPr>
          <w:p w14:paraId="5BFE47E4" w14:textId="751E50B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6958</w:t>
            </w:r>
          </w:p>
        </w:tc>
        <w:tc>
          <w:tcPr>
            <w:tcW w:w="2277" w:type="dxa"/>
            <w:vAlign w:val="center"/>
          </w:tcPr>
          <w:p w14:paraId="4518EF10" w14:textId="270B210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O Poder Executivo aportou bens imóveis ao RPPS a fim de cobrir déficit atuarial do regime?</w:t>
            </w:r>
          </w:p>
        </w:tc>
        <w:tc>
          <w:tcPr>
            <w:tcW w:w="1395" w:type="dxa"/>
            <w:vAlign w:val="center"/>
          </w:tcPr>
          <w:p w14:paraId="68980E9A" w14:textId="70FF956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Sim/não</w:t>
            </w:r>
          </w:p>
        </w:tc>
        <w:tc>
          <w:tcPr>
            <w:tcW w:w="1178" w:type="dxa"/>
            <w:vAlign w:val="center"/>
          </w:tcPr>
          <w:p w14:paraId="2C752953" w14:textId="1813C4F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25BF26E7" w14:textId="49793B2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6851 ou 6852</w:t>
            </w:r>
          </w:p>
        </w:tc>
        <w:tc>
          <w:tcPr>
            <w:tcW w:w="1962" w:type="dxa"/>
            <w:vAlign w:val="center"/>
          </w:tcPr>
          <w:p w14:paraId="314425EA" w14:textId="4AE05E0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1E6F4C1D" w14:textId="1C84183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5F684774" w14:textId="77777777" w:rsidTr="002F6ED8">
        <w:tc>
          <w:tcPr>
            <w:tcW w:w="1662" w:type="dxa"/>
            <w:vAlign w:val="center"/>
          </w:tcPr>
          <w:p w14:paraId="40370237" w14:textId="12A208D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Q02. Regime de Previdência Complementar</w:t>
            </w:r>
          </w:p>
        </w:tc>
        <w:tc>
          <w:tcPr>
            <w:tcW w:w="1874" w:type="dxa"/>
            <w:vAlign w:val="center"/>
          </w:tcPr>
          <w:p w14:paraId="195CC443" w14:textId="6D39FA8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IV02. Instituição do Regime de Prev. Complementar (RPC)</w:t>
            </w:r>
          </w:p>
        </w:tc>
        <w:tc>
          <w:tcPr>
            <w:tcW w:w="661" w:type="dxa"/>
            <w:vAlign w:val="center"/>
          </w:tcPr>
          <w:p w14:paraId="16E1EE5F" w14:textId="644D898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6975</w:t>
            </w:r>
          </w:p>
        </w:tc>
        <w:tc>
          <w:tcPr>
            <w:tcW w:w="2277" w:type="dxa"/>
            <w:vAlign w:val="center"/>
          </w:tcPr>
          <w:p w14:paraId="7482768B" w14:textId="0DA2C52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Carregue o comprovante que demonstre o envio até 31 de março de 2022, via GESCON-RPPS, da lei de municipal que instituiu o RPC. </w:t>
            </w:r>
          </w:p>
        </w:tc>
        <w:tc>
          <w:tcPr>
            <w:tcW w:w="1395" w:type="dxa"/>
            <w:vAlign w:val="center"/>
          </w:tcPr>
          <w:p w14:paraId="4C0AB000" w14:textId="38726EB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510ED36E" w14:textId="190D4A0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40D1FE39" w14:textId="2DDCC9B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6969</w:t>
            </w:r>
          </w:p>
        </w:tc>
        <w:tc>
          <w:tcPr>
            <w:tcW w:w="1962" w:type="dxa"/>
            <w:vAlign w:val="center"/>
          </w:tcPr>
          <w:p w14:paraId="5312B3B0" w14:textId="0A32C0D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0F843EC2" w14:textId="581D497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1BC07475" w14:textId="77777777" w:rsidTr="002F6ED8">
        <w:tc>
          <w:tcPr>
            <w:tcW w:w="1662" w:type="dxa"/>
            <w:vAlign w:val="center"/>
          </w:tcPr>
          <w:p w14:paraId="3E8A2913" w14:textId="7697D44F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Q02. Regime de Previdência Complementar</w:t>
            </w:r>
          </w:p>
        </w:tc>
        <w:tc>
          <w:tcPr>
            <w:tcW w:w="1874" w:type="dxa"/>
            <w:vAlign w:val="center"/>
          </w:tcPr>
          <w:p w14:paraId="55568203" w14:textId="39B8CD7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IV03. Implementação do RPC</w:t>
            </w:r>
          </w:p>
        </w:tc>
        <w:tc>
          <w:tcPr>
            <w:tcW w:w="661" w:type="dxa"/>
            <w:vAlign w:val="center"/>
          </w:tcPr>
          <w:p w14:paraId="72C68B32" w14:textId="01B018BE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6979</w:t>
            </w:r>
          </w:p>
        </w:tc>
        <w:tc>
          <w:tcPr>
            <w:tcW w:w="2277" w:type="dxa"/>
            <w:vAlign w:val="center"/>
          </w:tcPr>
          <w:p w14:paraId="45D702C3" w14:textId="5BB1ECD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demonstra que o ente federativo adota medidas para a conscientização e a devida inclusão dos novos servidores no RPC, disponibilizando de forma permanente e tempestiva informações sobre sua proteção previdenciária.</w:t>
            </w:r>
          </w:p>
        </w:tc>
        <w:tc>
          <w:tcPr>
            <w:tcW w:w="1395" w:type="dxa"/>
            <w:vAlign w:val="center"/>
          </w:tcPr>
          <w:p w14:paraId="6491C795" w14:textId="53D6E5D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47A289AD" w14:textId="763B763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418896ED" w14:textId="6233F0E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1962" w:type="dxa"/>
            <w:vAlign w:val="center"/>
          </w:tcPr>
          <w:p w14:paraId="3012DD36" w14:textId="7DADB9B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5EBD35A9" w14:textId="0CBB701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6D5DFFE9" w14:textId="77777777" w:rsidTr="002F6ED8">
        <w:tc>
          <w:tcPr>
            <w:tcW w:w="1662" w:type="dxa"/>
            <w:vAlign w:val="center"/>
          </w:tcPr>
          <w:p w14:paraId="41405ABC" w14:textId="0DC8C41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Q02. Regime de Previdência Complementar</w:t>
            </w:r>
          </w:p>
        </w:tc>
        <w:tc>
          <w:tcPr>
            <w:tcW w:w="1874" w:type="dxa"/>
            <w:vAlign w:val="center"/>
          </w:tcPr>
          <w:p w14:paraId="5CE5BAE8" w14:textId="6A1802C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IV05. Comitê de Assessoramento da Prev. Comp. (CAPC)</w:t>
            </w:r>
          </w:p>
        </w:tc>
        <w:tc>
          <w:tcPr>
            <w:tcW w:w="661" w:type="dxa"/>
            <w:vAlign w:val="center"/>
          </w:tcPr>
          <w:p w14:paraId="74404399" w14:textId="36300E6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6983</w:t>
            </w:r>
          </w:p>
        </w:tc>
        <w:tc>
          <w:tcPr>
            <w:tcW w:w="2277" w:type="dxa"/>
            <w:vAlign w:val="center"/>
          </w:tcPr>
          <w:p w14:paraId="606E454F" w14:textId="6CA6158E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comprova a formação superior completa dos membros do CAPC e o atendimento aos requisitos técnicos mínimos e experiência profissional definidos em regulamento pelo ente federativo.</w:t>
            </w:r>
          </w:p>
        </w:tc>
        <w:tc>
          <w:tcPr>
            <w:tcW w:w="1395" w:type="dxa"/>
            <w:vAlign w:val="center"/>
          </w:tcPr>
          <w:p w14:paraId="0165C3F1" w14:textId="3A95DE00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381A98AB" w14:textId="227271C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6F5FA0BA" w14:textId="1B82C51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6982</w:t>
            </w:r>
          </w:p>
        </w:tc>
        <w:tc>
          <w:tcPr>
            <w:tcW w:w="1962" w:type="dxa"/>
            <w:vAlign w:val="center"/>
          </w:tcPr>
          <w:p w14:paraId="42A5E540" w14:textId="02CFE43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71588E75" w14:textId="7C73CCA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3B32B3A4" w14:textId="77777777" w:rsidTr="002F6ED8">
        <w:tc>
          <w:tcPr>
            <w:tcW w:w="1662" w:type="dxa"/>
            <w:vAlign w:val="center"/>
          </w:tcPr>
          <w:p w14:paraId="4A2F6C94" w14:textId="018004D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Q02. Regime de Previdência Complementar</w:t>
            </w:r>
          </w:p>
        </w:tc>
        <w:tc>
          <w:tcPr>
            <w:tcW w:w="1874" w:type="dxa"/>
            <w:vAlign w:val="center"/>
          </w:tcPr>
          <w:p w14:paraId="18654901" w14:textId="274727A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IV05. Comitê de Assessoramento da Prev. Comp. (CAPC)</w:t>
            </w:r>
          </w:p>
        </w:tc>
        <w:tc>
          <w:tcPr>
            <w:tcW w:w="661" w:type="dxa"/>
            <w:vAlign w:val="center"/>
          </w:tcPr>
          <w:p w14:paraId="00AE59AC" w14:textId="6FC88F8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6985</w:t>
            </w:r>
          </w:p>
        </w:tc>
        <w:tc>
          <w:tcPr>
            <w:tcW w:w="2277" w:type="dxa"/>
            <w:vAlign w:val="center"/>
          </w:tcPr>
          <w:p w14:paraId="3BB2D8B4" w14:textId="7C360D6E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demonstra o acompanhamento da adesão dos novos servidores ao RPC por parte do CAPC.</w:t>
            </w:r>
          </w:p>
        </w:tc>
        <w:tc>
          <w:tcPr>
            <w:tcW w:w="1395" w:type="dxa"/>
            <w:vAlign w:val="center"/>
          </w:tcPr>
          <w:p w14:paraId="5730343A" w14:textId="40AE3B2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6F507B45" w14:textId="772053A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7D95FCF9" w14:textId="2E3643F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6984</w:t>
            </w:r>
          </w:p>
        </w:tc>
        <w:tc>
          <w:tcPr>
            <w:tcW w:w="1962" w:type="dxa"/>
            <w:vAlign w:val="center"/>
          </w:tcPr>
          <w:p w14:paraId="7E16E6D9" w14:textId="72DA8FA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4FA2FF8D" w14:textId="45C6F97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  <w:tr w:rsidR="00092839" w14:paraId="13B3712C" w14:textId="77777777" w:rsidTr="002F6ED8">
        <w:tc>
          <w:tcPr>
            <w:tcW w:w="1662" w:type="dxa"/>
            <w:vAlign w:val="center"/>
          </w:tcPr>
          <w:p w14:paraId="2322783E" w14:textId="7D5C98B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Q04. Órgãos de governança</w:t>
            </w:r>
          </w:p>
        </w:tc>
        <w:tc>
          <w:tcPr>
            <w:tcW w:w="1874" w:type="dxa"/>
            <w:vAlign w:val="center"/>
          </w:tcPr>
          <w:p w14:paraId="7C6B97F2" w14:textId="645B08C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IV07. Conselho fiscal do RPPS</w:t>
            </w:r>
          </w:p>
        </w:tc>
        <w:tc>
          <w:tcPr>
            <w:tcW w:w="661" w:type="dxa"/>
            <w:vAlign w:val="center"/>
          </w:tcPr>
          <w:p w14:paraId="46B10C4F" w14:textId="136BCC8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6987</w:t>
            </w:r>
          </w:p>
        </w:tc>
        <w:tc>
          <w:tcPr>
            <w:tcW w:w="2277" w:type="dxa"/>
            <w:vAlign w:val="center"/>
          </w:tcPr>
          <w:p w14:paraId="11321409" w14:textId="2992068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comprova a certificação obtida por meio de processo realizado por entidade certificadora reconhecida.</w:t>
            </w:r>
          </w:p>
        </w:tc>
        <w:tc>
          <w:tcPr>
            <w:tcW w:w="1395" w:type="dxa"/>
            <w:vAlign w:val="center"/>
          </w:tcPr>
          <w:p w14:paraId="49374EDF" w14:textId="621208D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69D9A44A" w14:textId="68EA141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5D809E92" w14:textId="7711BD73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6986</w:t>
            </w:r>
          </w:p>
        </w:tc>
        <w:tc>
          <w:tcPr>
            <w:tcW w:w="1962" w:type="dxa"/>
            <w:vAlign w:val="center"/>
          </w:tcPr>
          <w:p w14:paraId="2A503243" w14:textId="7E9DD1B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61A50B68" w14:textId="0783843F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17DCAC2B" w14:textId="77777777" w:rsidTr="002F6ED8">
        <w:tc>
          <w:tcPr>
            <w:tcW w:w="1662" w:type="dxa"/>
            <w:vAlign w:val="center"/>
          </w:tcPr>
          <w:p w14:paraId="66095709" w14:textId="5B7516D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Q04. Órgãos de governança</w:t>
            </w:r>
          </w:p>
        </w:tc>
        <w:tc>
          <w:tcPr>
            <w:tcW w:w="1874" w:type="dxa"/>
            <w:vAlign w:val="center"/>
          </w:tcPr>
          <w:p w14:paraId="0F5CDB00" w14:textId="35FAFC0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IV08. Conselho deliberativo do RPPS</w:t>
            </w:r>
          </w:p>
        </w:tc>
        <w:tc>
          <w:tcPr>
            <w:tcW w:w="661" w:type="dxa"/>
            <w:vAlign w:val="center"/>
          </w:tcPr>
          <w:p w14:paraId="784A4399" w14:textId="78A4111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6989</w:t>
            </w:r>
          </w:p>
        </w:tc>
        <w:tc>
          <w:tcPr>
            <w:tcW w:w="2277" w:type="dxa"/>
            <w:vAlign w:val="center"/>
          </w:tcPr>
          <w:p w14:paraId="5410320D" w14:textId="4930195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comprova a certificação obtida por meio de processo realizado por entidade certificadora reconhecida.</w:t>
            </w:r>
          </w:p>
        </w:tc>
        <w:tc>
          <w:tcPr>
            <w:tcW w:w="1395" w:type="dxa"/>
            <w:vAlign w:val="center"/>
          </w:tcPr>
          <w:p w14:paraId="0C5D051A" w14:textId="5549CA3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67996AE5" w14:textId="0AE094F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03A6B2BB" w14:textId="64BFF63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6988</w:t>
            </w:r>
          </w:p>
        </w:tc>
        <w:tc>
          <w:tcPr>
            <w:tcW w:w="1962" w:type="dxa"/>
            <w:vAlign w:val="center"/>
          </w:tcPr>
          <w:p w14:paraId="2D2353C0" w14:textId="33565D93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3F50BFD9" w14:textId="13509AF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3194359F" w14:textId="77777777" w:rsidTr="002F6ED8">
        <w:tc>
          <w:tcPr>
            <w:tcW w:w="1662" w:type="dxa"/>
            <w:vAlign w:val="center"/>
          </w:tcPr>
          <w:p w14:paraId="07C5BA47" w14:textId="1655789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Q04. Órgãos de governança</w:t>
            </w:r>
          </w:p>
        </w:tc>
        <w:tc>
          <w:tcPr>
            <w:tcW w:w="1874" w:type="dxa"/>
            <w:vAlign w:val="center"/>
          </w:tcPr>
          <w:p w14:paraId="4787E24D" w14:textId="67FF9BD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IV09. Comitê de investimentos do RPPS</w:t>
            </w:r>
          </w:p>
        </w:tc>
        <w:tc>
          <w:tcPr>
            <w:tcW w:w="661" w:type="dxa"/>
            <w:vAlign w:val="center"/>
          </w:tcPr>
          <w:p w14:paraId="430179C4" w14:textId="540B157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6991</w:t>
            </w:r>
          </w:p>
        </w:tc>
        <w:tc>
          <w:tcPr>
            <w:tcW w:w="2277" w:type="dxa"/>
            <w:vAlign w:val="center"/>
          </w:tcPr>
          <w:p w14:paraId="2AA92D38" w14:textId="48429E0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Carregue o documento que demonstre que a certificação do responsável pela gestão das aplicações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dos recursos do RPPS e dos membros titulares do comitê de investimentos deve ser obtida previamente ao exercício dessas funções.</w:t>
            </w:r>
          </w:p>
        </w:tc>
        <w:tc>
          <w:tcPr>
            <w:tcW w:w="1395" w:type="dxa"/>
            <w:vAlign w:val="center"/>
          </w:tcPr>
          <w:p w14:paraId="37388F17" w14:textId="3EB5C77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Anexo</w:t>
            </w:r>
          </w:p>
        </w:tc>
        <w:tc>
          <w:tcPr>
            <w:tcW w:w="1178" w:type="dxa"/>
            <w:vAlign w:val="center"/>
          </w:tcPr>
          <w:p w14:paraId="0FD645B7" w14:textId="5EB2E8C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2A3D4796" w14:textId="10997A2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6990</w:t>
            </w:r>
          </w:p>
        </w:tc>
        <w:tc>
          <w:tcPr>
            <w:tcW w:w="1962" w:type="dxa"/>
            <w:vAlign w:val="center"/>
          </w:tcPr>
          <w:p w14:paraId="0BF0119F" w14:textId="6AF106A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13E0C938" w14:textId="3B9953F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3A735F86" w14:textId="77777777" w:rsidTr="002F6ED8">
        <w:tc>
          <w:tcPr>
            <w:tcW w:w="1662" w:type="dxa"/>
            <w:vAlign w:val="center"/>
          </w:tcPr>
          <w:p w14:paraId="1DD9EB28" w14:textId="04370B2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Q04. Órgãos de governança</w:t>
            </w:r>
          </w:p>
        </w:tc>
        <w:tc>
          <w:tcPr>
            <w:tcW w:w="1874" w:type="dxa"/>
            <w:vAlign w:val="center"/>
          </w:tcPr>
          <w:p w14:paraId="4C1F2191" w14:textId="4EB41B5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IV09. Comitê de investimentos do RPPS</w:t>
            </w:r>
          </w:p>
        </w:tc>
        <w:tc>
          <w:tcPr>
            <w:tcW w:w="661" w:type="dxa"/>
            <w:vAlign w:val="center"/>
          </w:tcPr>
          <w:p w14:paraId="61578ED1" w14:textId="6E8953E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6993</w:t>
            </w:r>
          </w:p>
        </w:tc>
        <w:tc>
          <w:tcPr>
            <w:tcW w:w="2277" w:type="dxa"/>
            <w:vAlign w:val="center"/>
          </w:tcPr>
          <w:p w14:paraId="770ECB47" w14:textId="2563F44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comprova a certificação obtida por meio de processo realizado por entidade certificadora reconhecida</w:t>
            </w:r>
          </w:p>
        </w:tc>
        <w:tc>
          <w:tcPr>
            <w:tcW w:w="1395" w:type="dxa"/>
            <w:vAlign w:val="center"/>
          </w:tcPr>
          <w:p w14:paraId="0D995D74" w14:textId="069FD05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4FA2EBF4" w14:textId="3C0967F0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3842CE0D" w14:textId="4FE5281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6992</w:t>
            </w:r>
          </w:p>
        </w:tc>
        <w:tc>
          <w:tcPr>
            <w:tcW w:w="1962" w:type="dxa"/>
            <w:vAlign w:val="center"/>
          </w:tcPr>
          <w:p w14:paraId="75E79D77" w14:textId="25400C9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5190C8C7" w14:textId="2530D27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05B743CB" w14:textId="77777777" w:rsidTr="002F6ED8">
        <w:tc>
          <w:tcPr>
            <w:tcW w:w="1662" w:type="dxa"/>
            <w:vAlign w:val="center"/>
          </w:tcPr>
          <w:p w14:paraId="77245A5D" w14:textId="5D0689C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Q04. Órgãos de governança</w:t>
            </w:r>
          </w:p>
        </w:tc>
        <w:tc>
          <w:tcPr>
            <w:tcW w:w="1874" w:type="dxa"/>
            <w:vAlign w:val="center"/>
          </w:tcPr>
          <w:p w14:paraId="48AB94F3" w14:textId="5EE1594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IV09. Comitê de investimentos do RPPS</w:t>
            </w:r>
          </w:p>
        </w:tc>
        <w:tc>
          <w:tcPr>
            <w:tcW w:w="661" w:type="dxa"/>
            <w:vAlign w:val="center"/>
          </w:tcPr>
          <w:p w14:paraId="797E0F28" w14:textId="062A266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6995</w:t>
            </w:r>
          </w:p>
        </w:tc>
        <w:tc>
          <w:tcPr>
            <w:tcW w:w="2277" w:type="dxa"/>
            <w:vAlign w:val="center"/>
          </w:tcPr>
          <w:p w14:paraId="74186C69" w14:textId="1A0EEBD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demonstra a análise realizada antes da efetivação dos investimentos pelo RPPS.</w:t>
            </w:r>
          </w:p>
        </w:tc>
        <w:tc>
          <w:tcPr>
            <w:tcW w:w="1395" w:type="dxa"/>
            <w:vAlign w:val="center"/>
          </w:tcPr>
          <w:p w14:paraId="6803F426" w14:textId="497A956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7ABA4751" w14:textId="7EC3A69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574EF5BF" w14:textId="32DB55A3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6994</w:t>
            </w:r>
          </w:p>
        </w:tc>
        <w:tc>
          <w:tcPr>
            <w:tcW w:w="1962" w:type="dxa"/>
            <w:vAlign w:val="center"/>
          </w:tcPr>
          <w:p w14:paraId="0B367C07" w14:textId="23711313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4440D1A3" w14:textId="43F596F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2D9FF1DF" w14:textId="77777777" w:rsidTr="002F6ED8">
        <w:tc>
          <w:tcPr>
            <w:tcW w:w="1662" w:type="dxa"/>
            <w:vAlign w:val="center"/>
          </w:tcPr>
          <w:p w14:paraId="62B07399" w14:textId="3FAD847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Q05. Transparência e processos de trabalho</w:t>
            </w:r>
          </w:p>
        </w:tc>
        <w:tc>
          <w:tcPr>
            <w:tcW w:w="1874" w:type="dxa"/>
            <w:vAlign w:val="center"/>
          </w:tcPr>
          <w:p w14:paraId="264F9EE8" w14:textId="7EC03B1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IV11. Processos de concessão e revisão de benefícios</w:t>
            </w:r>
          </w:p>
        </w:tc>
        <w:tc>
          <w:tcPr>
            <w:tcW w:w="661" w:type="dxa"/>
            <w:vAlign w:val="center"/>
          </w:tcPr>
          <w:p w14:paraId="578FFA74" w14:textId="2FA814CF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6997</w:t>
            </w:r>
          </w:p>
        </w:tc>
        <w:tc>
          <w:tcPr>
            <w:tcW w:w="2277" w:type="dxa"/>
            <w:vAlign w:val="center"/>
          </w:tcPr>
          <w:p w14:paraId="49881B9E" w14:textId="5E33243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fluxograma atualizado do processo de trabalho relativo à concessão de aposentadoria especial do policial civil, do policial científico, do agente penitenciário, do agente da polícia científica e do agente de segurança socioeducativo.</w:t>
            </w:r>
          </w:p>
        </w:tc>
        <w:tc>
          <w:tcPr>
            <w:tcW w:w="1395" w:type="dxa"/>
            <w:vAlign w:val="center"/>
          </w:tcPr>
          <w:p w14:paraId="05985052" w14:textId="6B02063C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3F4E1E0D" w14:textId="47B60FF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32E39E68" w14:textId="2E8FBE1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6996</w:t>
            </w:r>
          </w:p>
        </w:tc>
        <w:tc>
          <w:tcPr>
            <w:tcW w:w="1962" w:type="dxa"/>
            <w:vAlign w:val="center"/>
          </w:tcPr>
          <w:p w14:paraId="6140D2C5" w14:textId="5B7D45A3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0EE2CB5A" w14:textId="6FE555A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27AB5908" w14:textId="77777777" w:rsidTr="002F6ED8">
        <w:tc>
          <w:tcPr>
            <w:tcW w:w="1662" w:type="dxa"/>
            <w:vAlign w:val="center"/>
          </w:tcPr>
          <w:p w14:paraId="6C0EB800" w14:textId="4C13E6E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Q05. Transparência e processos de trabalho</w:t>
            </w:r>
          </w:p>
        </w:tc>
        <w:tc>
          <w:tcPr>
            <w:tcW w:w="1874" w:type="dxa"/>
            <w:vAlign w:val="center"/>
          </w:tcPr>
          <w:p w14:paraId="0BB5B67D" w14:textId="328DC98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IV11. Processos de concessão e revisão de benefícios</w:t>
            </w:r>
          </w:p>
        </w:tc>
        <w:tc>
          <w:tcPr>
            <w:tcW w:w="661" w:type="dxa"/>
            <w:vAlign w:val="center"/>
          </w:tcPr>
          <w:p w14:paraId="55268ED5" w14:textId="04789D2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6999</w:t>
            </w:r>
          </w:p>
        </w:tc>
        <w:tc>
          <w:tcPr>
            <w:tcW w:w="2277" w:type="dxa"/>
            <w:vAlign w:val="center"/>
          </w:tcPr>
          <w:p w14:paraId="43426EC6" w14:textId="2230BC1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Carregue o fluxograma atualizado do processo de trabalho relativo à concessão de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aposentadoria especial do servidor público cujas atividades sejam exercidas com efetiva exposição a agentes nocivos químicos, físicos e biológicos prejudiciais à saúde, ou associação destes agentes.</w:t>
            </w:r>
          </w:p>
        </w:tc>
        <w:tc>
          <w:tcPr>
            <w:tcW w:w="1395" w:type="dxa"/>
            <w:vAlign w:val="center"/>
          </w:tcPr>
          <w:p w14:paraId="66A08342" w14:textId="42AD055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Anexo</w:t>
            </w:r>
          </w:p>
        </w:tc>
        <w:tc>
          <w:tcPr>
            <w:tcW w:w="1178" w:type="dxa"/>
            <w:vAlign w:val="center"/>
          </w:tcPr>
          <w:p w14:paraId="36D8794E" w14:textId="02B3AB6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29B2889E" w14:textId="41C3A0D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6998</w:t>
            </w:r>
          </w:p>
        </w:tc>
        <w:tc>
          <w:tcPr>
            <w:tcW w:w="1962" w:type="dxa"/>
            <w:vAlign w:val="center"/>
          </w:tcPr>
          <w:p w14:paraId="412FE2BA" w14:textId="08FDBC03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6519BE6D" w14:textId="0922852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2C5BABB1" w14:textId="77777777" w:rsidTr="002F6ED8">
        <w:tc>
          <w:tcPr>
            <w:tcW w:w="1662" w:type="dxa"/>
            <w:vAlign w:val="center"/>
          </w:tcPr>
          <w:p w14:paraId="73833DED" w14:textId="0C5AD64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Q05. Transparência e processos de trabalho</w:t>
            </w:r>
          </w:p>
        </w:tc>
        <w:tc>
          <w:tcPr>
            <w:tcW w:w="1874" w:type="dxa"/>
            <w:vAlign w:val="center"/>
          </w:tcPr>
          <w:p w14:paraId="0CEBABE1" w14:textId="13DB229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IV11. Processos de concessão e revisão de benefícios</w:t>
            </w:r>
          </w:p>
        </w:tc>
        <w:tc>
          <w:tcPr>
            <w:tcW w:w="661" w:type="dxa"/>
            <w:vAlign w:val="center"/>
          </w:tcPr>
          <w:p w14:paraId="482D971A" w14:textId="58CB72B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7001</w:t>
            </w:r>
          </w:p>
        </w:tc>
        <w:tc>
          <w:tcPr>
            <w:tcW w:w="2277" w:type="dxa"/>
            <w:vAlign w:val="center"/>
          </w:tcPr>
          <w:p w14:paraId="180A9B69" w14:textId="0FFCD19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fluxograma atualizado do processo de trabalho relativo à concessão de aposentadoria especial do titular do cargo de professor com ao menos 25 (vinte e cinco) anos de contribuição exclusivamente em efetivo exercício nas funções de magistério na educação infantil e no ensino fundamental e médio.</w:t>
            </w:r>
          </w:p>
        </w:tc>
        <w:tc>
          <w:tcPr>
            <w:tcW w:w="1395" w:type="dxa"/>
            <w:vAlign w:val="center"/>
          </w:tcPr>
          <w:p w14:paraId="69F8D240" w14:textId="7101520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09A6C98E" w14:textId="5AB52EB6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5E8EFA11" w14:textId="73CDD74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962" w:type="dxa"/>
            <w:vAlign w:val="center"/>
          </w:tcPr>
          <w:p w14:paraId="2E1C41D5" w14:textId="3AC9A75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0D165230" w14:textId="6525DD4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2096338D" w14:textId="77777777" w:rsidTr="002F6ED8">
        <w:tc>
          <w:tcPr>
            <w:tcW w:w="1662" w:type="dxa"/>
            <w:vAlign w:val="center"/>
          </w:tcPr>
          <w:p w14:paraId="53D67E3D" w14:textId="78A6750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Q05. Transparência e processos de trabalho</w:t>
            </w:r>
          </w:p>
        </w:tc>
        <w:tc>
          <w:tcPr>
            <w:tcW w:w="1874" w:type="dxa"/>
            <w:vAlign w:val="center"/>
          </w:tcPr>
          <w:p w14:paraId="66B5DB4D" w14:textId="24E4B35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IV11. Processos de concessão e revisão de benefícios</w:t>
            </w:r>
          </w:p>
        </w:tc>
        <w:tc>
          <w:tcPr>
            <w:tcW w:w="661" w:type="dxa"/>
            <w:vAlign w:val="center"/>
          </w:tcPr>
          <w:p w14:paraId="69AAFD73" w14:textId="74C1A93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7003</w:t>
            </w:r>
          </w:p>
        </w:tc>
        <w:tc>
          <w:tcPr>
            <w:tcW w:w="2277" w:type="dxa"/>
            <w:vAlign w:val="center"/>
          </w:tcPr>
          <w:p w14:paraId="5FCA14DE" w14:textId="44855FD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fluxograma atualizado do processo de trabalho relativo à concessão de aposentadoria especial do servidor público com deficiência.</w:t>
            </w:r>
          </w:p>
        </w:tc>
        <w:tc>
          <w:tcPr>
            <w:tcW w:w="1395" w:type="dxa"/>
            <w:vAlign w:val="center"/>
          </w:tcPr>
          <w:p w14:paraId="668F7EA9" w14:textId="4BB9E802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29FAF675" w14:textId="36068412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1BCDB0E9" w14:textId="33057D3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7002</w:t>
            </w:r>
          </w:p>
        </w:tc>
        <w:tc>
          <w:tcPr>
            <w:tcW w:w="1962" w:type="dxa"/>
            <w:vAlign w:val="center"/>
          </w:tcPr>
          <w:p w14:paraId="3D089C48" w14:textId="74A22057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0E60547F" w14:textId="0ABF96A1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3B7F96E4" w14:textId="77777777" w:rsidTr="002F6ED8">
        <w:tc>
          <w:tcPr>
            <w:tcW w:w="1662" w:type="dxa"/>
            <w:vAlign w:val="center"/>
          </w:tcPr>
          <w:p w14:paraId="3D447087" w14:textId="73025D0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Q05. Transparência e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processos de trabalho</w:t>
            </w:r>
          </w:p>
        </w:tc>
        <w:tc>
          <w:tcPr>
            <w:tcW w:w="1874" w:type="dxa"/>
            <w:vAlign w:val="center"/>
          </w:tcPr>
          <w:p w14:paraId="059DCFC0" w14:textId="3CB8AF4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IV11. Processos de concessão e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revisão de benefícios</w:t>
            </w:r>
          </w:p>
        </w:tc>
        <w:tc>
          <w:tcPr>
            <w:tcW w:w="661" w:type="dxa"/>
            <w:vAlign w:val="center"/>
          </w:tcPr>
          <w:p w14:paraId="1237B106" w14:textId="14287AC7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7005</w:t>
            </w:r>
          </w:p>
        </w:tc>
        <w:tc>
          <w:tcPr>
            <w:tcW w:w="2277" w:type="dxa"/>
            <w:vAlign w:val="center"/>
          </w:tcPr>
          <w:p w14:paraId="7D8EF676" w14:textId="6FFAEB2C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Carregue o documento que estabelece a segregação de funções </w:t>
            </w: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 processo de concessão e revisão de benefícios.</w:t>
            </w:r>
          </w:p>
        </w:tc>
        <w:tc>
          <w:tcPr>
            <w:tcW w:w="1395" w:type="dxa"/>
            <w:vAlign w:val="center"/>
          </w:tcPr>
          <w:p w14:paraId="7092116A" w14:textId="081CF0B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Anexo</w:t>
            </w:r>
          </w:p>
        </w:tc>
        <w:tc>
          <w:tcPr>
            <w:tcW w:w="1178" w:type="dxa"/>
            <w:vAlign w:val="center"/>
          </w:tcPr>
          <w:p w14:paraId="2EB2F5C9" w14:textId="594C894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228BF79D" w14:textId="683C5ED5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7004</w:t>
            </w:r>
          </w:p>
        </w:tc>
        <w:tc>
          <w:tcPr>
            <w:tcW w:w="1962" w:type="dxa"/>
            <w:vAlign w:val="center"/>
          </w:tcPr>
          <w:p w14:paraId="6EA70279" w14:textId="6F0F07F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1816BDE4" w14:textId="2EB2635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43C83294" w14:textId="77777777" w:rsidTr="002F6ED8">
        <w:tc>
          <w:tcPr>
            <w:tcW w:w="1662" w:type="dxa"/>
            <w:vAlign w:val="center"/>
          </w:tcPr>
          <w:p w14:paraId="512C4227" w14:textId="0C9A6A0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Q05. Transparência e processos de trabalho</w:t>
            </w:r>
          </w:p>
        </w:tc>
        <w:tc>
          <w:tcPr>
            <w:tcW w:w="1874" w:type="dxa"/>
            <w:vAlign w:val="center"/>
          </w:tcPr>
          <w:p w14:paraId="29F2A138" w14:textId="1AE1A14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IV12. Processos de investimentos</w:t>
            </w:r>
          </w:p>
        </w:tc>
        <w:tc>
          <w:tcPr>
            <w:tcW w:w="661" w:type="dxa"/>
            <w:vAlign w:val="center"/>
          </w:tcPr>
          <w:p w14:paraId="5C1FAD05" w14:textId="5CF5C0E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7007</w:t>
            </w:r>
          </w:p>
        </w:tc>
        <w:tc>
          <w:tcPr>
            <w:tcW w:w="2277" w:type="dxa"/>
            <w:vAlign w:val="center"/>
          </w:tcPr>
          <w:p w14:paraId="463D8430" w14:textId="5AF5D45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estabelece a segregação de funções no processo de investimentos.</w:t>
            </w:r>
          </w:p>
        </w:tc>
        <w:tc>
          <w:tcPr>
            <w:tcW w:w="1395" w:type="dxa"/>
            <w:vAlign w:val="center"/>
          </w:tcPr>
          <w:p w14:paraId="41050A71" w14:textId="23DF6AC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796E6531" w14:textId="4D0FA949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1B2D0855" w14:textId="6CDE255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7006</w:t>
            </w:r>
          </w:p>
        </w:tc>
        <w:tc>
          <w:tcPr>
            <w:tcW w:w="1962" w:type="dxa"/>
            <w:vAlign w:val="center"/>
          </w:tcPr>
          <w:p w14:paraId="29A55E5A" w14:textId="214A7F6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48216262" w14:textId="42073AC2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28F32856" w14:textId="77777777" w:rsidTr="002F6ED8">
        <w:tc>
          <w:tcPr>
            <w:tcW w:w="1662" w:type="dxa"/>
            <w:vAlign w:val="center"/>
          </w:tcPr>
          <w:p w14:paraId="72491D99" w14:textId="2A660D3A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Q05. Transparência e processos de trabalho</w:t>
            </w:r>
          </w:p>
        </w:tc>
        <w:tc>
          <w:tcPr>
            <w:tcW w:w="1874" w:type="dxa"/>
            <w:vAlign w:val="center"/>
          </w:tcPr>
          <w:p w14:paraId="7A015B82" w14:textId="2816415D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IV13. Processos de controle de repasses de recursos</w:t>
            </w:r>
          </w:p>
        </w:tc>
        <w:tc>
          <w:tcPr>
            <w:tcW w:w="661" w:type="dxa"/>
            <w:vAlign w:val="center"/>
          </w:tcPr>
          <w:p w14:paraId="21207DD8" w14:textId="78D657B6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7009</w:t>
            </w:r>
          </w:p>
        </w:tc>
        <w:tc>
          <w:tcPr>
            <w:tcW w:w="2277" w:type="dxa"/>
            <w:vAlign w:val="center"/>
          </w:tcPr>
          <w:p w14:paraId="7688856E" w14:textId="51EFD38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fluxograma atualizado do processo de trabalho relativo ao controle do recolhimento das contribuições dos segurados cedidos, afastados e licenciados.</w:t>
            </w:r>
          </w:p>
        </w:tc>
        <w:tc>
          <w:tcPr>
            <w:tcW w:w="1395" w:type="dxa"/>
            <w:vAlign w:val="center"/>
          </w:tcPr>
          <w:p w14:paraId="6E73D57A" w14:textId="7892F054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6CD1A7B9" w14:textId="381AC43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421C4E88" w14:textId="75E776EE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7008</w:t>
            </w:r>
          </w:p>
        </w:tc>
        <w:tc>
          <w:tcPr>
            <w:tcW w:w="1962" w:type="dxa"/>
            <w:vAlign w:val="center"/>
          </w:tcPr>
          <w:p w14:paraId="52FD87A7" w14:textId="4BCA84B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634A001C" w14:textId="33515A6F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7E2E37E2" w14:textId="77777777" w:rsidTr="002F6ED8">
        <w:tc>
          <w:tcPr>
            <w:tcW w:w="1662" w:type="dxa"/>
            <w:vAlign w:val="center"/>
          </w:tcPr>
          <w:p w14:paraId="612EB888" w14:textId="53072FE3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Q06. Investimentos</w:t>
            </w:r>
          </w:p>
        </w:tc>
        <w:tc>
          <w:tcPr>
            <w:tcW w:w="1874" w:type="dxa"/>
            <w:vAlign w:val="center"/>
          </w:tcPr>
          <w:p w14:paraId="586A157E" w14:textId="55C4EFF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 xml:space="preserve">IV14. Política de </w:t>
            </w:r>
            <w:proofErr w:type="spellStart"/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investim</w:t>
            </w:r>
            <w:proofErr w:type="spellEnd"/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. e órgãos de governança do RPPS</w:t>
            </w:r>
          </w:p>
        </w:tc>
        <w:tc>
          <w:tcPr>
            <w:tcW w:w="661" w:type="dxa"/>
            <w:vAlign w:val="center"/>
          </w:tcPr>
          <w:p w14:paraId="78C765AD" w14:textId="7F36515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7011</w:t>
            </w:r>
          </w:p>
        </w:tc>
        <w:tc>
          <w:tcPr>
            <w:tcW w:w="2277" w:type="dxa"/>
            <w:vAlign w:val="center"/>
          </w:tcPr>
          <w:p w14:paraId="14949510" w14:textId="61DB2715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o documento que compra o envio da Política de Investimentos à Secretaria de Previdência dentro do prazo legal.</w:t>
            </w:r>
          </w:p>
        </w:tc>
        <w:tc>
          <w:tcPr>
            <w:tcW w:w="1395" w:type="dxa"/>
            <w:vAlign w:val="center"/>
          </w:tcPr>
          <w:p w14:paraId="232739FE" w14:textId="2F773E8D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32E87B13" w14:textId="0CA76C9C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1BC64B6A" w14:textId="0DFE57CB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7010</w:t>
            </w:r>
          </w:p>
        </w:tc>
        <w:tc>
          <w:tcPr>
            <w:tcW w:w="1962" w:type="dxa"/>
            <w:vAlign w:val="center"/>
          </w:tcPr>
          <w:p w14:paraId="2147EE3D" w14:textId="717AC648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5F8B4DA2" w14:textId="0E15B990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Gestor do RPPS</w:t>
            </w:r>
          </w:p>
        </w:tc>
      </w:tr>
      <w:tr w:rsidR="00092839" w14:paraId="453D7DC3" w14:textId="77777777" w:rsidTr="002F6ED8">
        <w:tc>
          <w:tcPr>
            <w:tcW w:w="1662" w:type="dxa"/>
            <w:vAlign w:val="center"/>
          </w:tcPr>
          <w:p w14:paraId="4E22D8DB" w14:textId="727C7119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Q07. Gestão atuarial e arrecadação</w:t>
            </w:r>
          </w:p>
        </w:tc>
        <w:tc>
          <w:tcPr>
            <w:tcW w:w="1874" w:type="dxa"/>
            <w:vAlign w:val="center"/>
          </w:tcPr>
          <w:p w14:paraId="29E617DC" w14:textId="2B0BB73B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IV17. Elaboração do laudo atuarial</w:t>
            </w:r>
          </w:p>
        </w:tc>
        <w:tc>
          <w:tcPr>
            <w:tcW w:w="661" w:type="dxa"/>
            <w:vAlign w:val="center"/>
          </w:tcPr>
          <w:p w14:paraId="7B2E25A4" w14:textId="7B8122AE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7013</w:t>
            </w:r>
          </w:p>
        </w:tc>
        <w:tc>
          <w:tcPr>
            <w:tcW w:w="2277" w:type="dxa"/>
            <w:vAlign w:val="center"/>
          </w:tcPr>
          <w:p w14:paraId="3466F2CC" w14:textId="241C5BA8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Carregue a Política de Recenseamento de servidores ativos.</w:t>
            </w:r>
          </w:p>
        </w:tc>
        <w:tc>
          <w:tcPr>
            <w:tcW w:w="1395" w:type="dxa"/>
            <w:vAlign w:val="center"/>
          </w:tcPr>
          <w:p w14:paraId="6C7D5D70" w14:textId="6EF50BFA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Anexo</w:t>
            </w:r>
          </w:p>
        </w:tc>
        <w:tc>
          <w:tcPr>
            <w:tcW w:w="1178" w:type="dxa"/>
            <w:vAlign w:val="center"/>
          </w:tcPr>
          <w:p w14:paraId="20769005" w14:textId="49D96EC1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1611" w:type="dxa"/>
            <w:vAlign w:val="center"/>
          </w:tcPr>
          <w:p w14:paraId="7F7FCCE1" w14:textId="357AC28C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7012</w:t>
            </w:r>
          </w:p>
        </w:tc>
        <w:tc>
          <w:tcPr>
            <w:tcW w:w="1962" w:type="dxa"/>
            <w:vAlign w:val="center"/>
          </w:tcPr>
          <w:p w14:paraId="64E3D55D" w14:textId="418645EF" w:rsidR="00092839" w:rsidRPr="00D272F4" w:rsidRDefault="00092839" w:rsidP="00092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FF0000"/>
                <w:sz w:val="20"/>
                <w:szCs w:val="20"/>
              </w:rPr>
              <w:t>Não se aplica</w:t>
            </w:r>
          </w:p>
        </w:tc>
        <w:tc>
          <w:tcPr>
            <w:tcW w:w="1374" w:type="dxa"/>
            <w:vAlign w:val="center"/>
          </w:tcPr>
          <w:p w14:paraId="137D33EB" w14:textId="5735A9D4" w:rsidR="00092839" w:rsidRPr="00D272F4" w:rsidRDefault="00092839" w:rsidP="000928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2F4">
              <w:rPr>
                <w:rFonts w:ascii="Arial" w:hAnsi="Arial" w:cs="Arial"/>
                <w:color w:val="000000"/>
                <w:sz w:val="20"/>
                <w:szCs w:val="20"/>
              </w:rPr>
              <w:t>Secretário Municipal ou equivalente</w:t>
            </w:r>
          </w:p>
        </w:tc>
      </w:tr>
    </w:tbl>
    <w:p w14:paraId="68759880" w14:textId="77777777" w:rsidR="00526224" w:rsidRDefault="00526224" w:rsidP="00526224">
      <w:pPr>
        <w:jc w:val="both"/>
      </w:pPr>
    </w:p>
    <w:p w14:paraId="672E9572" w14:textId="77777777" w:rsidR="009E22C2" w:rsidRDefault="009E22C2" w:rsidP="00446980">
      <w:pPr>
        <w:jc w:val="both"/>
      </w:pPr>
    </w:p>
    <w:p w14:paraId="12FB6AC6" w14:textId="77777777" w:rsidR="007652CB" w:rsidRDefault="007652CB" w:rsidP="00446980">
      <w:pPr>
        <w:jc w:val="both"/>
      </w:pPr>
    </w:p>
    <w:p w14:paraId="6B389C74" w14:textId="77777777" w:rsidR="00283298" w:rsidRDefault="00283298" w:rsidP="00446980">
      <w:pPr>
        <w:jc w:val="both"/>
      </w:pPr>
    </w:p>
    <w:p w14:paraId="51A24D84" w14:textId="77777777" w:rsidR="00283298" w:rsidRDefault="00283298" w:rsidP="00446980">
      <w:pPr>
        <w:jc w:val="both"/>
      </w:pPr>
    </w:p>
    <w:p w14:paraId="3B57DAD3" w14:textId="0AC4AAF7" w:rsidR="009E22C2" w:rsidRPr="00D35794" w:rsidRDefault="009E22C2" w:rsidP="009E22C2">
      <w:pPr>
        <w:jc w:val="center"/>
        <w:rPr>
          <w:b/>
          <w:bCs/>
        </w:rPr>
      </w:pPr>
      <w:bookmarkStart w:id="1" w:name="_Hlk158989486"/>
      <w:bookmarkEnd w:id="0"/>
      <w:r w:rsidRPr="00D35794">
        <w:rPr>
          <w:b/>
          <w:bCs/>
        </w:rPr>
        <w:lastRenderedPageBreak/>
        <w:t xml:space="preserve">ANEXO </w:t>
      </w:r>
      <w:r>
        <w:rPr>
          <w:b/>
          <w:bCs/>
        </w:rPr>
        <w:t>VI</w:t>
      </w:r>
    </w:p>
    <w:p w14:paraId="3472A972" w14:textId="263C0E63" w:rsidR="009E22C2" w:rsidRPr="00D35794" w:rsidRDefault="009E22C2" w:rsidP="009E22C2">
      <w:pPr>
        <w:jc w:val="center"/>
        <w:rPr>
          <w:b/>
          <w:bCs/>
        </w:rPr>
      </w:pPr>
      <w:r w:rsidRPr="00D35794">
        <w:rPr>
          <w:b/>
          <w:bCs/>
        </w:rPr>
        <w:t xml:space="preserve">FORMULÁRIO </w:t>
      </w:r>
      <w:r>
        <w:rPr>
          <w:b/>
          <w:bCs/>
        </w:rPr>
        <w:t>F</w:t>
      </w:r>
      <w:r w:rsidRPr="00D35794">
        <w:rPr>
          <w:b/>
          <w:bCs/>
        </w:rPr>
        <w:t xml:space="preserve"> – ÁREA: </w:t>
      </w:r>
      <w:r>
        <w:rPr>
          <w:b/>
          <w:bCs/>
        </w:rPr>
        <w:t>TRANSPARÊNCIA E RELACIONAMENTO</w:t>
      </w:r>
    </w:p>
    <w:p w14:paraId="7B490528" w14:textId="77777777" w:rsidR="009E22C2" w:rsidRDefault="009E22C2" w:rsidP="00446980">
      <w:pPr>
        <w:jc w:val="both"/>
      </w:pPr>
    </w:p>
    <w:p w14:paraId="7B8633FD" w14:textId="77777777" w:rsidR="00F56573" w:rsidRDefault="00F56573" w:rsidP="00F5657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9"/>
        <w:gridCol w:w="1763"/>
        <w:gridCol w:w="774"/>
        <w:gridCol w:w="2341"/>
        <w:gridCol w:w="1274"/>
        <w:gridCol w:w="1202"/>
        <w:gridCol w:w="1558"/>
        <w:gridCol w:w="1970"/>
        <w:gridCol w:w="1381"/>
      </w:tblGrid>
      <w:tr w:rsidR="00977F8E" w14:paraId="5EF365E9" w14:textId="77777777" w:rsidTr="00977F8E">
        <w:trPr>
          <w:trHeight w:val="661"/>
        </w:trPr>
        <w:tc>
          <w:tcPr>
            <w:tcW w:w="1729" w:type="dxa"/>
            <w:shd w:val="clear" w:color="auto" w:fill="5B9BD5" w:themeFill="accent5"/>
          </w:tcPr>
          <w:p w14:paraId="66857DA0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A3141C3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EB49920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Questão de Avaliação</w:t>
            </w:r>
          </w:p>
          <w:p w14:paraId="31633ED0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5B9BD5" w:themeFill="accent5"/>
          </w:tcPr>
          <w:p w14:paraId="476D7167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CA44CF7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62983AF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Item de Verificação</w:t>
            </w:r>
          </w:p>
        </w:tc>
        <w:tc>
          <w:tcPr>
            <w:tcW w:w="3116" w:type="dxa"/>
            <w:gridSpan w:val="2"/>
            <w:shd w:val="clear" w:color="auto" w:fill="5B9BD5" w:themeFill="accent5"/>
          </w:tcPr>
          <w:p w14:paraId="11ADB641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035A1BF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48AF6D4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Questão Auxiliar</w:t>
            </w:r>
          </w:p>
        </w:tc>
        <w:tc>
          <w:tcPr>
            <w:tcW w:w="1274" w:type="dxa"/>
            <w:shd w:val="clear" w:color="auto" w:fill="5B9BD5" w:themeFill="accent5"/>
          </w:tcPr>
          <w:p w14:paraId="522BDFB5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8320189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171DC5B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Opções de resposta?</w:t>
            </w:r>
          </w:p>
        </w:tc>
        <w:tc>
          <w:tcPr>
            <w:tcW w:w="1202" w:type="dxa"/>
            <w:shd w:val="clear" w:color="auto" w:fill="5B9BD5" w:themeFill="accent5"/>
          </w:tcPr>
          <w:p w14:paraId="781F6500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77297F3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23C354C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Compõe nota?</w:t>
            </w:r>
          </w:p>
        </w:tc>
        <w:tc>
          <w:tcPr>
            <w:tcW w:w="1558" w:type="dxa"/>
            <w:shd w:val="clear" w:color="auto" w:fill="5B9BD5" w:themeFill="accent5"/>
          </w:tcPr>
          <w:p w14:paraId="4AD56D4A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8CE9110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7A00335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Dependência</w:t>
            </w:r>
          </w:p>
        </w:tc>
        <w:tc>
          <w:tcPr>
            <w:tcW w:w="1971" w:type="dxa"/>
            <w:shd w:val="clear" w:color="auto" w:fill="5B9BD5" w:themeFill="accent5"/>
          </w:tcPr>
          <w:p w14:paraId="40A7CD6A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Resultado de </w:t>
            </w:r>
            <w:proofErr w:type="spellStart"/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IQs</w:t>
            </w:r>
            <w:proofErr w:type="spellEnd"/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dependentes cuja condição não for satisfeita</w:t>
            </w:r>
          </w:p>
        </w:tc>
        <w:tc>
          <w:tcPr>
            <w:tcW w:w="1381" w:type="dxa"/>
            <w:shd w:val="clear" w:color="auto" w:fill="5B9BD5" w:themeFill="accent5"/>
          </w:tcPr>
          <w:p w14:paraId="00802817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F8E9FE5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D98EE1C" w14:textId="77777777" w:rsidR="00F56573" w:rsidRPr="00977F8E" w:rsidRDefault="00F56573" w:rsidP="009A014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77F8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Interlocutor</w:t>
            </w:r>
          </w:p>
        </w:tc>
      </w:tr>
      <w:tr w:rsidR="002F60CB" w14:paraId="40AAC0EA" w14:textId="77777777" w:rsidTr="00977F8E">
        <w:tc>
          <w:tcPr>
            <w:tcW w:w="1729" w:type="dxa"/>
          </w:tcPr>
          <w:p w14:paraId="3A998F42" w14:textId="3B6772D0" w:rsidR="00F56573" w:rsidRPr="00977F8E" w:rsidRDefault="0095016F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Q04. Regulamentação do canal de comunicação</w:t>
            </w:r>
          </w:p>
        </w:tc>
        <w:tc>
          <w:tcPr>
            <w:tcW w:w="1763" w:type="dxa"/>
          </w:tcPr>
          <w:p w14:paraId="3019BB3B" w14:textId="4D709F2C" w:rsidR="00F56573" w:rsidRPr="00977F8E" w:rsidRDefault="00E06C98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IV 11. Procedimentos para o funcionamento do canal de com.</w:t>
            </w:r>
          </w:p>
        </w:tc>
        <w:tc>
          <w:tcPr>
            <w:tcW w:w="774" w:type="dxa"/>
          </w:tcPr>
          <w:p w14:paraId="6630A19F" w14:textId="2F26141A" w:rsidR="00F56573" w:rsidRPr="00977F8E" w:rsidRDefault="00E06C98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11598</w:t>
            </w:r>
          </w:p>
        </w:tc>
        <w:tc>
          <w:tcPr>
            <w:tcW w:w="2342" w:type="dxa"/>
          </w:tcPr>
          <w:p w14:paraId="72B52CC5" w14:textId="0591387A" w:rsidR="00F56573" w:rsidRPr="00977F8E" w:rsidRDefault="00E06C98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O ato normativo que regulamenta o canal de comunicação ou ouvidoria, ou que estabeleça os processos de trabalho, procedimentos ou fluxos, identifica o responsável por realizar a recepção, triagem, encaminhamento e oferecimento de resposta conclusiva às manifestações dos usuários de serviços públicos?</w:t>
            </w:r>
          </w:p>
        </w:tc>
        <w:tc>
          <w:tcPr>
            <w:tcW w:w="1274" w:type="dxa"/>
          </w:tcPr>
          <w:p w14:paraId="2B8383DE" w14:textId="6ECD002B" w:rsidR="00F56573" w:rsidRPr="00977F8E" w:rsidRDefault="00E06C98" w:rsidP="00A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Sim/não</w:t>
            </w:r>
          </w:p>
        </w:tc>
        <w:tc>
          <w:tcPr>
            <w:tcW w:w="1202" w:type="dxa"/>
          </w:tcPr>
          <w:p w14:paraId="6F66B0B1" w14:textId="46A748E8" w:rsidR="00F56573" w:rsidRPr="00977F8E" w:rsidRDefault="00E06C98" w:rsidP="00A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58" w:type="dxa"/>
          </w:tcPr>
          <w:p w14:paraId="5195565C" w14:textId="340BDEED" w:rsidR="00F56573" w:rsidRPr="00977F8E" w:rsidRDefault="00B25514" w:rsidP="00A521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F8E">
              <w:rPr>
                <w:rFonts w:ascii="Arial" w:hAnsi="Arial" w:cs="Arial"/>
                <w:color w:val="FF0000"/>
                <w:sz w:val="20"/>
                <w:szCs w:val="20"/>
              </w:rPr>
              <w:t>11584</w:t>
            </w:r>
            <w:r w:rsidR="002F3446">
              <w:rPr>
                <w:rFonts w:ascii="Arial" w:hAnsi="Arial" w:cs="Arial"/>
                <w:color w:val="FF0000"/>
                <w:sz w:val="20"/>
                <w:szCs w:val="20"/>
              </w:rPr>
              <w:t xml:space="preserve"> ou </w:t>
            </w:r>
            <w:r w:rsidR="00BA7125">
              <w:rPr>
                <w:rFonts w:ascii="Arial" w:hAnsi="Arial" w:cs="Arial"/>
                <w:color w:val="FF0000"/>
                <w:sz w:val="20"/>
                <w:szCs w:val="20"/>
              </w:rPr>
              <w:t xml:space="preserve">11592 ou </w:t>
            </w:r>
            <w:r w:rsidR="00196A44">
              <w:rPr>
                <w:rFonts w:ascii="Arial" w:hAnsi="Arial" w:cs="Arial"/>
                <w:color w:val="FF0000"/>
                <w:sz w:val="20"/>
                <w:szCs w:val="20"/>
              </w:rPr>
              <w:t>11595</w:t>
            </w:r>
          </w:p>
        </w:tc>
        <w:tc>
          <w:tcPr>
            <w:tcW w:w="1971" w:type="dxa"/>
          </w:tcPr>
          <w:p w14:paraId="691EDC2A" w14:textId="6866F8B2" w:rsidR="00F56573" w:rsidRPr="00977F8E" w:rsidRDefault="0009050E" w:rsidP="00A521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F8E">
              <w:rPr>
                <w:rFonts w:ascii="Arial" w:hAnsi="Arial" w:cs="Arial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381" w:type="dxa"/>
          </w:tcPr>
          <w:p w14:paraId="5FF121CE" w14:textId="13F9BD0F" w:rsidR="00F56573" w:rsidRPr="00977F8E" w:rsidRDefault="0009050E" w:rsidP="009A0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Secretário Municipal ou equivalente</w:t>
            </w:r>
          </w:p>
        </w:tc>
      </w:tr>
      <w:tr w:rsidR="00F01A92" w14:paraId="39F8D9A3" w14:textId="77777777" w:rsidTr="00977F8E">
        <w:tc>
          <w:tcPr>
            <w:tcW w:w="1729" w:type="dxa"/>
          </w:tcPr>
          <w:p w14:paraId="71B7AC1E" w14:textId="77770CD5" w:rsidR="002F60CB" w:rsidRPr="00977F8E" w:rsidRDefault="002F60CB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Q04. Regulamentação do canal de comunicação</w:t>
            </w:r>
          </w:p>
        </w:tc>
        <w:tc>
          <w:tcPr>
            <w:tcW w:w="1763" w:type="dxa"/>
          </w:tcPr>
          <w:p w14:paraId="2E52F64F" w14:textId="1D7667A3" w:rsidR="002F60CB" w:rsidRPr="00977F8E" w:rsidRDefault="00615AE5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IV 11. Procedimentos para o funcionamento do canal de com.</w:t>
            </w:r>
          </w:p>
        </w:tc>
        <w:tc>
          <w:tcPr>
            <w:tcW w:w="774" w:type="dxa"/>
          </w:tcPr>
          <w:p w14:paraId="3FBFEE78" w14:textId="52FEB6CC" w:rsidR="002F60CB" w:rsidRPr="00977F8E" w:rsidRDefault="00615AE5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11599</w:t>
            </w:r>
          </w:p>
        </w:tc>
        <w:tc>
          <w:tcPr>
            <w:tcW w:w="2342" w:type="dxa"/>
          </w:tcPr>
          <w:p w14:paraId="412C4D28" w14:textId="0506B6FD" w:rsidR="002F60CB" w:rsidRPr="00977F8E" w:rsidRDefault="00615AE5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 xml:space="preserve">O ato normativo que regulamenta o canal de comunicação ou ouvidoria estabelece os prazos para encaminhamento de decisão administrativa </w:t>
            </w:r>
            <w:r w:rsidRPr="00977F8E">
              <w:rPr>
                <w:rFonts w:ascii="Arial" w:hAnsi="Arial" w:cs="Arial"/>
                <w:sz w:val="20"/>
                <w:szCs w:val="20"/>
              </w:rPr>
              <w:lastRenderedPageBreak/>
              <w:t>final ao usuário, observado o limite de trinta dias, prorrogável de forma justificada uma única vez, por igual período?</w:t>
            </w:r>
          </w:p>
        </w:tc>
        <w:tc>
          <w:tcPr>
            <w:tcW w:w="1274" w:type="dxa"/>
          </w:tcPr>
          <w:p w14:paraId="5B98D005" w14:textId="36335F87" w:rsidR="002F60CB" w:rsidRPr="00977F8E" w:rsidRDefault="00615AE5" w:rsidP="00A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lastRenderedPageBreak/>
              <w:t>Sim/não</w:t>
            </w:r>
          </w:p>
        </w:tc>
        <w:tc>
          <w:tcPr>
            <w:tcW w:w="1202" w:type="dxa"/>
          </w:tcPr>
          <w:p w14:paraId="10713D84" w14:textId="6D05D4D6" w:rsidR="002F60CB" w:rsidRPr="00977F8E" w:rsidRDefault="00615AE5" w:rsidP="00A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58" w:type="dxa"/>
          </w:tcPr>
          <w:p w14:paraId="6351A16E" w14:textId="5B206C0A" w:rsidR="002F60CB" w:rsidRPr="00977F8E" w:rsidRDefault="00106E50" w:rsidP="00A521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F8E">
              <w:rPr>
                <w:rFonts w:ascii="Arial" w:hAnsi="Arial" w:cs="Arial"/>
                <w:color w:val="FF0000"/>
                <w:sz w:val="20"/>
                <w:szCs w:val="20"/>
              </w:rPr>
              <w:t>11584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ou 11592 ou 11595</w:t>
            </w:r>
          </w:p>
        </w:tc>
        <w:tc>
          <w:tcPr>
            <w:tcW w:w="1971" w:type="dxa"/>
          </w:tcPr>
          <w:p w14:paraId="4DAAE6CE" w14:textId="74EF3E3E" w:rsidR="002F60CB" w:rsidRPr="00977F8E" w:rsidRDefault="00615AE5" w:rsidP="00A521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F8E">
              <w:rPr>
                <w:rFonts w:ascii="Arial" w:hAnsi="Arial" w:cs="Arial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381" w:type="dxa"/>
          </w:tcPr>
          <w:p w14:paraId="3065519E" w14:textId="32291C9D" w:rsidR="002F60CB" w:rsidRPr="00977F8E" w:rsidRDefault="002F60CB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Secretário Municipal ou equivalente</w:t>
            </w:r>
          </w:p>
        </w:tc>
      </w:tr>
      <w:tr w:rsidR="00F01A92" w14:paraId="2B77FC20" w14:textId="77777777" w:rsidTr="00977F8E">
        <w:tc>
          <w:tcPr>
            <w:tcW w:w="1729" w:type="dxa"/>
          </w:tcPr>
          <w:p w14:paraId="1AC227BF" w14:textId="4B8419D9" w:rsidR="002F60CB" w:rsidRPr="00977F8E" w:rsidRDefault="002F60CB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Q04. Regulamentação do canal de comunicação</w:t>
            </w:r>
          </w:p>
        </w:tc>
        <w:tc>
          <w:tcPr>
            <w:tcW w:w="1763" w:type="dxa"/>
          </w:tcPr>
          <w:p w14:paraId="257B8296" w14:textId="55ECD4E2" w:rsidR="002F60CB" w:rsidRPr="00977F8E" w:rsidRDefault="00615AE5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IV 11. Procedimentos para o funcionamento do canal de com.</w:t>
            </w:r>
          </w:p>
        </w:tc>
        <w:tc>
          <w:tcPr>
            <w:tcW w:w="774" w:type="dxa"/>
          </w:tcPr>
          <w:p w14:paraId="0E4D70D0" w14:textId="4D47664D" w:rsidR="002F60CB" w:rsidRPr="00977F8E" w:rsidRDefault="005E61A7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11600</w:t>
            </w:r>
          </w:p>
        </w:tc>
        <w:tc>
          <w:tcPr>
            <w:tcW w:w="2342" w:type="dxa"/>
          </w:tcPr>
          <w:p w14:paraId="4BED9781" w14:textId="6C5EC73A" w:rsidR="002F60CB" w:rsidRPr="00977F8E" w:rsidRDefault="005E61A7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O ato normativo que regulamenta o canal de comunicação ou ouvidoria prevê a possibilidade de complementação da manifestação por parte do usuário do serviço público e fixa prazo para tanto?</w:t>
            </w:r>
          </w:p>
        </w:tc>
        <w:tc>
          <w:tcPr>
            <w:tcW w:w="1274" w:type="dxa"/>
          </w:tcPr>
          <w:p w14:paraId="74DA15B0" w14:textId="5EF8C1E7" w:rsidR="002F60CB" w:rsidRPr="00977F8E" w:rsidRDefault="00F01A92" w:rsidP="00A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Sim/não</w:t>
            </w:r>
          </w:p>
        </w:tc>
        <w:tc>
          <w:tcPr>
            <w:tcW w:w="1202" w:type="dxa"/>
          </w:tcPr>
          <w:p w14:paraId="6D7EFB5E" w14:textId="56F3386A" w:rsidR="002F60CB" w:rsidRPr="00977F8E" w:rsidRDefault="00F01A92" w:rsidP="00A52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558" w:type="dxa"/>
          </w:tcPr>
          <w:p w14:paraId="3B7E3DDC" w14:textId="2500637D" w:rsidR="002F60CB" w:rsidRPr="00977F8E" w:rsidRDefault="00106E50" w:rsidP="00A521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F8E">
              <w:rPr>
                <w:rFonts w:ascii="Arial" w:hAnsi="Arial" w:cs="Arial"/>
                <w:color w:val="FF0000"/>
                <w:sz w:val="20"/>
                <w:szCs w:val="20"/>
              </w:rPr>
              <w:t>11584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ou 11592 ou 11595</w:t>
            </w:r>
          </w:p>
        </w:tc>
        <w:tc>
          <w:tcPr>
            <w:tcW w:w="1971" w:type="dxa"/>
          </w:tcPr>
          <w:p w14:paraId="7517EC5F" w14:textId="47A3B726" w:rsidR="002F60CB" w:rsidRPr="00977F8E" w:rsidRDefault="00F01A92" w:rsidP="00A5213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F8E">
              <w:rPr>
                <w:rFonts w:ascii="Arial" w:hAnsi="Arial" w:cs="Arial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381" w:type="dxa"/>
          </w:tcPr>
          <w:p w14:paraId="31D3F558" w14:textId="465FE539" w:rsidR="002F60CB" w:rsidRPr="00977F8E" w:rsidRDefault="002F60CB" w:rsidP="002F6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F8E">
              <w:rPr>
                <w:rFonts w:ascii="Arial" w:hAnsi="Arial" w:cs="Arial"/>
                <w:sz w:val="20"/>
                <w:szCs w:val="20"/>
              </w:rPr>
              <w:t>Secretário Municipal ou equivalente</w:t>
            </w:r>
          </w:p>
        </w:tc>
      </w:tr>
    </w:tbl>
    <w:p w14:paraId="069CC22A" w14:textId="77777777" w:rsidR="00DE5A8F" w:rsidRDefault="00DE5A8F" w:rsidP="00DE5A8F">
      <w:pPr>
        <w:tabs>
          <w:tab w:val="left" w:pos="3737"/>
        </w:tabs>
        <w:jc w:val="both"/>
        <w:rPr>
          <w:rFonts w:ascii="Arial" w:hAnsi="Arial" w:cs="Arial"/>
          <w:sz w:val="24"/>
          <w:szCs w:val="24"/>
        </w:rPr>
      </w:pPr>
    </w:p>
    <w:p w14:paraId="5787740C" w14:textId="77777777" w:rsidR="00F56573" w:rsidRDefault="00F56573" w:rsidP="00DE5A8F">
      <w:pPr>
        <w:tabs>
          <w:tab w:val="left" w:pos="3737"/>
        </w:tabs>
        <w:jc w:val="both"/>
        <w:rPr>
          <w:rFonts w:ascii="Arial" w:hAnsi="Arial" w:cs="Arial"/>
          <w:sz w:val="24"/>
          <w:szCs w:val="24"/>
        </w:rPr>
      </w:pPr>
    </w:p>
    <w:p w14:paraId="612002AC" w14:textId="77777777" w:rsidR="00F56573" w:rsidRDefault="00F56573" w:rsidP="00DE5A8F">
      <w:pPr>
        <w:tabs>
          <w:tab w:val="left" w:pos="3737"/>
        </w:tabs>
        <w:jc w:val="both"/>
        <w:rPr>
          <w:rFonts w:ascii="Arial" w:hAnsi="Arial" w:cs="Arial"/>
          <w:sz w:val="24"/>
          <w:szCs w:val="24"/>
        </w:rPr>
      </w:pPr>
    </w:p>
    <w:bookmarkEnd w:id="1"/>
    <w:p w14:paraId="73428E02" w14:textId="77777777" w:rsidR="00293C22" w:rsidRDefault="00293C22">
      <w:pPr>
        <w:rPr>
          <w:rFonts w:ascii="Arial" w:hAnsi="Arial" w:cs="Arial"/>
          <w:sz w:val="24"/>
          <w:szCs w:val="24"/>
        </w:rPr>
        <w:sectPr w:rsidR="00293C22" w:rsidSect="00116461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DEB8C38" w14:textId="58BCA6B4" w:rsidR="00283298" w:rsidRDefault="00283298" w:rsidP="000C4AAA">
      <w:pPr>
        <w:spacing w:before="120"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bookmarkStart w:id="2" w:name="_Hlk158990182"/>
      <w:r>
        <w:rPr>
          <w:rFonts w:ascii="Arial" w:hAnsi="Arial" w:cs="Arial"/>
          <w:sz w:val="24"/>
          <w:szCs w:val="24"/>
        </w:rPr>
        <w:lastRenderedPageBreak/>
        <w:t xml:space="preserve">Essas alterações valem para as </w:t>
      </w:r>
      <w:r w:rsidRPr="00283298">
        <w:rPr>
          <w:rFonts w:ascii="Arial" w:hAnsi="Arial" w:cs="Arial"/>
          <w:sz w:val="24"/>
          <w:szCs w:val="24"/>
        </w:rPr>
        <w:t>Prestaç</w:t>
      </w:r>
      <w:r>
        <w:rPr>
          <w:rFonts w:ascii="Arial" w:hAnsi="Arial" w:cs="Arial"/>
          <w:sz w:val="24"/>
          <w:szCs w:val="24"/>
        </w:rPr>
        <w:t>ões</w:t>
      </w:r>
      <w:r w:rsidRPr="00283298">
        <w:rPr>
          <w:rFonts w:ascii="Arial" w:hAnsi="Arial" w:cs="Arial"/>
          <w:sz w:val="24"/>
          <w:szCs w:val="24"/>
        </w:rPr>
        <w:t xml:space="preserve"> de Contas de Prefeito Municipal referente</w:t>
      </w:r>
      <w:r>
        <w:rPr>
          <w:rFonts w:ascii="Arial" w:hAnsi="Arial" w:cs="Arial"/>
          <w:sz w:val="24"/>
          <w:szCs w:val="24"/>
        </w:rPr>
        <w:t>s</w:t>
      </w:r>
      <w:r w:rsidRPr="00283298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>s</w:t>
      </w:r>
      <w:r w:rsidRPr="00283298">
        <w:rPr>
          <w:rFonts w:ascii="Arial" w:hAnsi="Arial" w:cs="Arial"/>
          <w:sz w:val="24"/>
          <w:szCs w:val="24"/>
        </w:rPr>
        <w:t xml:space="preserve"> exercício</w:t>
      </w:r>
      <w:r>
        <w:rPr>
          <w:rFonts w:ascii="Arial" w:hAnsi="Arial" w:cs="Arial"/>
          <w:sz w:val="24"/>
          <w:szCs w:val="24"/>
        </w:rPr>
        <w:t>s</w:t>
      </w:r>
      <w:r w:rsidRPr="00283298">
        <w:rPr>
          <w:rFonts w:ascii="Arial" w:hAnsi="Arial" w:cs="Arial"/>
          <w:sz w:val="24"/>
          <w:szCs w:val="24"/>
        </w:rPr>
        <w:t xml:space="preserve"> financeiro</w:t>
      </w:r>
      <w:r>
        <w:rPr>
          <w:rFonts w:ascii="Arial" w:hAnsi="Arial" w:cs="Arial"/>
          <w:sz w:val="24"/>
          <w:szCs w:val="24"/>
        </w:rPr>
        <w:t>s</w:t>
      </w:r>
      <w:r w:rsidRPr="00283298">
        <w:rPr>
          <w:rFonts w:ascii="Arial" w:hAnsi="Arial" w:cs="Arial"/>
          <w:sz w:val="24"/>
          <w:szCs w:val="24"/>
        </w:rPr>
        <w:t xml:space="preserve"> de 2023 e seguintes</w:t>
      </w:r>
      <w:r>
        <w:rPr>
          <w:rFonts w:ascii="Arial" w:hAnsi="Arial" w:cs="Arial"/>
          <w:sz w:val="24"/>
          <w:szCs w:val="24"/>
        </w:rPr>
        <w:t>.</w:t>
      </w:r>
    </w:p>
    <w:p w14:paraId="072AC949" w14:textId="5E58C0DB" w:rsidR="004134EA" w:rsidRDefault="00D32B2F" w:rsidP="000C4AAA">
      <w:pPr>
        <w:spacing w:before="120"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F3D6B" w:rsidRPr="004237B2">
        <w:rPr>
          <w:rFonts w:ascii="Arial" w:hAnsi="Arial" w:cs="Arial"/>
          <w:sz w:val="24"/>
          <w:szCs w:val="24"/>
        </w:rPr>
        <w:t>ermanecem inalterado</w:t>
      </w:r>
      <w:r w:rsidR="004134EA" w:rsidRPr="004237B2">
        <w:rPr>
          <w:rFonts w:ascii="Arial" w:hAnsi="Arial" w:cs="Arial"/>
          <w:sz w:val="24"/>
          <w:szCs w:val="24"/>
        </w:rPr>
        <w:t>s</w:t>
      </w:r>
      <w:r w:rsidR="00BF3D6B" w:rsidRPr="004237B2">
        <w:rPr>
          <w:rFonts w:ascii="Arial" w:hAnsi="Arial" w:cs="Arial"/>
          <w:sz w:val="24"/>
          <w:szCs w:val="24"/>
        </w:rPr>
        <w:t xml:space="preserve"> os demais pontos da Nota Técnica nº </w:t>
      </w:r>
      <w:r w:rsidR="004134EA" w:rsidRPr="004237B2">
        <w:rPr>
          <w:rFonts w:ascii="Arial" w:hAnsi="Arial" w:cs="Arial"/>
          <w:sz w:val="24"/>
          <w:szCs w:val="24"/>
        </w:rPr>
        <w:t>23/2023 – CGF/TCEPR</w:t>
      </w:r>
      <w:r w:rsidR="007E2E8F">
        <w:rPr>
          <w:rFonts w:ascii="Arial" w:hAnsi="Arial" w:cs="Arial"/>
          <w:sz w:val="24"/>
          <w:szCs w:val="24"/>
        </w:rPr>
        <w:t xml:space="preserve"> e dos seus anexos</w:t>
      </w:r>
      <w:r w:rsidR="000C4AAA">
        <w:rPr>
          <w:rFonts w:ascii="Arial" w:hAnsi="Arial" w:cs="Arial"/>
          <w:sz w:val="24"/>
          <w:szCs w:val="24"/>
        </w:rPr>
        <w:t>.</w:t>
      </w:r>
      <w:r w:rsidR="004134EA" w:rsidRPr="004237B2">
        <w:rPr>
          <w:rFonts w:ascii="Arial" w:hAnsi="Arial" w:cs="Arial"/>
          <w:sz w:val="24"/>
          <w:szCs w:val="24"/>
        </w:rPr>
        <w:t xml:space="preserve"> </w:t>
      </w:r>
    </w:p>
    <w:p w14:paraId="6C87C78F" w14:textId="4700B3E8" w:rsidR="005D21EB" w:rsidRDefault="005D21EB" w:rsidP="005D21EB">
      <w:pPr>
        <w:spacing w:before="120"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os </w:t>
      </w:r>
      <w:r w:rsidRPr="00695B1B">
        <w:rPr>
          <w:rFonts w:ascii="Arial" w:hAnsi="Arial" w:cs="Arial"/>
          <w:sz w:val="24"/>
          <w:szCs w:val="24"/>
        </w:rPr>
        <w:t>Anexos II, III, IV e VI da Nota Técnica nº 23/2023 – CGF/TCEPR</w:t>
      </w:r>
      <w:r w:rsidR="004149B5">
        <w:rPr>
          <w:rFonts w:ascii="Arial" w:hAnsi="Arial" w:cs="Arial"/>
          <w:sz w:val="24"/>
          <w:szCs w:val="24"/>
        </w:rPr>
        <w:t xml:space="preserve"> atualizados serão publicados em conjunto com esta Nota. </w:t>
      </w:r>
    </w:p>
    <w:p w14:paraId="420778C4" w14:textId="2EF8C64D" w:rsidR="005D21EB" w:rsidRDefault="005D21EB" w:rsidP="005D21EB">
      <w:pPr>
        <w:spacing w:before="120"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33B0D3F8" w14:textId="77777777" w:rsidR="005D21EB" w:rsidRDefault="005D21EB" w:rsidP="005D21EB">
      <w:pPr>
        <w:spacing w:before="120"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2FBB4571" w14:textId="77777777" w:rsidR="005D21EB" w:rsidRDefault="005D21EB" w:rsidP="000C4AAA">
      <w:pPr>
        <w:spacing w:before="120"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2B6438BB" w14:textId="67345975" w:rsidR="00283298" w:rsidRPr="004237B2" w:rsidRDefault="00283298" w:rsidP="000C4AAA">
      <w:pPr>
        <w:spacing w:before="120" w:after="0" w:line="360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2581B315" w14:textId="52CA7DAD" w:rsidR="004134EA" w:rsidRPr="004237B2" w:rsidRDefault="004134EA" w:rsidP="004237B2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7BEC0459" w14:textId="18035185" w:rsidR="004134EA" w:rsidRPr="004237B2" w:rsidRDefault="004134EA" w:rsidP="004237B2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4237B2">
        <w:rPr>
          <w:rFonts w:ascii="Arial" w:hAnsi="Arial" w:cs="Arial"/>
          <w:sz w:val="24"/>
          <w:szCs w:val="24"/>
        </w:rPr>
        <w:t xml:space="preserve">CGF, </w:t>
      </w:r>
      <w:r w:rsidR="00FA72FD">
        <w:rPr>
          <w:rFonts w:ascii="Arial" w:hAnsi="Arial" w:cs="Arial"/>
          <w:sz w:val="24"/>
          <w:szCs w:val="24"/>
        </w:rPr>
        <w:t>16 de fevereiro de 2024.</w:t>
      </w:r>
    </w:p>
    <w:p w14:paraId="58B6C0BD" w14:textId="77777777" w:rsidR="004134EA" w:rsidRPr="004237B2" w:rsidRDefault="004134EA" w:rsidP="004237B2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CFCA2D6" w14:textId="362E3A44" w:rsidR="004237B2" w:rsidRPr="004237B2" w:rsidRDefault="004237B2" w:rsidP="004B6C12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4237B2">
        <w:rPr>
          <w:rFonts w:ascii="Arial" w:hAnsi="Arial" w:cs="Arial"/>
          <w:sz w:val="24"/>
          <w:szCs w:val="24"/>
        </w:rPr>
        <w:t>- assinatura digital -</w:t>
      </w:r>
    </w:p>
    <w:p w14:paraId="4C56B1FB" w14:textId="3D3D4510" w:rsidR="004237B2" w:rsidRPr="004237B2" w:rsidRDefault="004237B2" w:rsidP="004B6C12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37B2">
        <w:rPr>
          <w:rFonts w:ascii="Arial" w:hAnsi="Arial" w:cs="Arial"/>
          <w:b/>
          <w:bCs/>
          <w:sz w:val="24"/>
          <w:szCs w:val="24"/>
        </w:rPr>
        <w:t>DJALMA RIESEMBERG JUNIOR</w:t>
      </w:r>
    </w:p>
    <w:p w14:paraId="6835E38B" w14:textId="267E0A1D" w:rsidR="004134EA" w:rsidRPr="004237B2" w:rsidRDefault="004237B2" w:rsidP="004B6C12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4237B2">
        <w:rPr>
          <w:rFonts w:ascii="Arial" w:hAnsi="Arial" w:cs="Arial"/>
          <w:sz w:val="24"/>
          <w:szCs w:val="24"/>
        </w:rPr>
        <w:t>Coordenador-Geral de Fiscalização</w:t>
      </w:r>
      <w:bookmarkEnd w:id="2"/>
    </w:p>
    <w:sectPr w:rsidR="004134EA" w:rsidRPr="004237B2" w:rsidSect="00116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DB78" w14:textId="77777777" w:rsidR="00116461" w:rsidRDefault="00116461" w:rsidP="00AB2D51">
      <w:pPr>
        <w:spacing w:after="0" w:line="240" w:lineRule="auto"/>
      </w:pPr>
      <w:r>
        <w:separator/>
      </w:r>
    </w:p>
  </w:endnote>
  <w:endnote w:type="continuationSeparator" w:id="0">
    <w:p w14:paraId="62B233C3" w14:textId="77777777" w:rsidR="00116461" w:rsidRDefault="00116461" w:rsidP="00AB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E29D" w14:textId="77777777" w:rsidR="00116461" w:rsidRDefault="00116461" w:rsidP="00AB2D51">
      <w:pPr>
        <w:spacing w:after="0" w:line="240" w:lineRule="auto"/>
      </w:pPr>
      <w:r>
        <w:separator/>
      </w:r>
    </w:p>
  </w:footnote>
  <w:footnote w:type="continuationSeparator" w:id="0">
    <w:p w14:paraId="49C6A367" w14:textId="77777777" w:rsidR="00116461" w:rsidRDefault="00116461" w:rsidP="00AB2D51">
      <w:pPr>
        <w:spacing w:after="0" w:line="240" w:lineRule="auto"/>
      </w:pPr>
      <w:r>
        <w:continuationSeparator/>
      </w:r>
    </w:p>
  </w:footnote>
  <w:footnote w:id="1">
    <w:p w14:paraId="379DB2DB" w14:textId="2628BEE9" w:rsidR="00F64186" w:rsidRDefault="00F64186">
      <w:pPr>
        <w:pStyle w:val="Textodenotaderodap"/>
        <w:rPr>
          <w:b/>
          <w:bCs/>
        </w:rPr>
      </w:pPr>
      <w:r w:rsidRPr="00F64186">
        <w:rPr>
          <w:rStyle w:val="Refdenotaderodap"/>
          <w:b/>
          <w:bCs/>
        </w:rPr>
        <w:sym w:font="Symbol" w:char="F02A"/>
      </w:r>
      <w:r w:rsidRPr="00F64186">
        <w:rPr>
          <w:b/>
          <w:bCs/>
        </w:rPr>
        <w:t xml:space="preserve"> Notas da Biblioteca:</w:t>
      </w:r>
    </w:p>
    <w:p w14:paraId="5D8757B8" w14:textId="1B7A85A5" w:rsidR="00F64186" w:rsidRPr="00F64186" w:rsidRDefault="00F64186" w:rsidP="00F64186">
      <w:pPr>
        <w:pStyle w:val="Textodenotaderodap"/>
        <w:rPr>
          <w:rFonts w:cstheme="minorHAnsi"/>
        </w:rPr>
      </w:pPr>
      <w:r w:rsidRPr="00F64186">
        <w:t>a</w:t>
      </w:r>
      <w:r w:rsidRPr="00F64186">
        <w:rPr>
          <w:rFonts w:cstheme="minorHAnsi"/>
        </w:rPr>
        <w:t xml:space="preserve">) Este texto não substitui o publicado no periódico: </w:t>
      </w:r>
      <w:hyperlink r:id="rId1" w:history="1">
        <w:r w:rsidRPr="00F64186">
          <w:rPr>
            <w:rStyle w:val="Hyperlink"/>
            <w:rFonts w:cstheme="minorHAnsi"/>
            <w:b/>
            <w:bCs/>
            <w:color w:val="004C78"/>
          </w:rPr>
          <w:t>Diário Eletrônico do Tribunal de Contas do Estado do Paraná</w:t>
        </w:r>
        <w:r w:rsidRPr="00F64186">
          <w:rPr>
            <w:rStyle w:val="Hyperlink"/>
            <w:rFonts w:cstheme="minorHAnsi"/>
            <w:color w:val="004C78"/>
          </w:rPr>
          <w:t>, Curitiba, PR, ano 19, n. 3153, 20 fev. 2024, p. 60-69.</w:t>
        </w:r>
      </w:hyperlink>
    </w:p>
    <w:p w14:paraId="47F22715" w14:textId="77777777" w:rsidR="00F64186" w:rsidRPr="00F64186" w:rsidRDefault="00F64186" w:rsidP="00F64186">
      <w:pPr>
        <w:pStyle w:val="NormalWeb"/>
        <w:spacing w:before="0" w:beforeAutospacing="0" w:after="180" w:afterAutospacing="0" w:line="300" w:lineRule="atLeast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F64186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b) </w:t>
      </w:r>
      <w:r w:rsidRPr="00F64186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Republicação (por erro formal) em:</w:t>
      </w:r>
    </w:p>
    <w:p w14:paraId="2DDF078D" w14:textId="3E22610E" w:rsidR="00F64186" w:rsidRPr="00F64186" w:rsidRDefault="00F64186" w:rsidP="00F64186">
      <w:pPr>
        <w:pStyle w:val="NormalWeb"/>
        <w:spacing w:before="0" w:beforeAutospacing="0" w:after="180" w:afterAutospacing="0" w:line="300" w:lineRule="atLeast"/>
        <w:rPr>
          <w:rFonts w:asciiTheme="minorHAnsi" w:hAnsiTheme="minorHAnsi" w:cstheme="minorHAnsi"/>
          <w:color w:val="545454"/>
          <w:sz w:val="20"/>
          <w:szCs w:val="20"/>
        </w:rPr>
      </w:pPr>
      <w:hyperlink r:id="rId2" w:tgtFrame="_blank" w:history="1">
        <w:r w:rsidRPr="00F64186">
          <w:rPr>
            <w:rStyle w:val="Hyperlink"/>
            <w:rFonts w:asciiTheme="minorHAnsi" w:hAnsiTheme="minorHAnsi" w:cstheme="minorHAnsi"/>
            <w:b/>
            <w:bCs/>
            <w:color w:val="004C78"/>
            <w:sz w:val="20"/>
            <w:szCs w:val="20"/>
          </w:rPr>
          <w:t>Diário Eletrônico do Tribunal de Contas do Estado do Paraná</w:t>
        </w:r>
      </w:hyperlink>
      <w:hyperlink r:id="rId3" w:tgtFrame="_blank" w:history="1">
        <w:r w:rsidRPr="00F64186">
          <w:rPr>
            <w:rStyle w:val="Hyperlink"/>
            <w:rFonts w:asciiTheme="minorHAnsi" w:hAnsiTheme="minorHAnsi" w:cstheme="minorHAnsi"/>
            <w:color w:val="004C78"/>
            <w:sz w:val="20"/>
            <w:szCs w:val="20"/>
          </w:rPr>
          <w:t>, Curitiba, PR, ano 19, n. 3153, 20 fev. 2024, p. 4-54. Suplemento.</w:t>
        </w:r>
      </w:hyperlink>
    </w:p>
    <w:p w14:paraId="60317042" w14:textId="77777777" w:rsidR="00F64186" w:rsidRDefault="00F64186" w:rsidP="00F64186">
      <w:pPr>
        <w:pStyle w:val="NormalWeb"/>
        <w:spacing w:before="0" w:beforeAutospacing="0" w:after="180" w:afterAutospacing="0" w:line="300" w:lineRule="atLeast"/>
        <w:rPr>
          <w:rStyle w:val="Hyperlink"/>
          <w:rFonts w:asciiTheme="minorHAnsi" w:hAnsiTheme="minorHAnsi" w:cstheme="minorHAnsi"/>
          <w:color w:val="004C78"/>
          <w:sz w:val="20"/>
          <w:szCs w:val="20"/>
        </w:rPr>
      </w:pPr>
      <w:hyperlink r:id="rId4" w:history="1">
        <w:r w:rsidRPr="00F64186">
          <w:rPr>
            <w:rStyle w:val="Hyperlink"/>
            <w:rFonts w:asciiTheme="minorHAnsi" w:hAnsiTheme="minorHAnsi" w:cstheme="minorHAnsi"/>
            <w:b/>
            <w:bCs/>
            <w:color w:val="004C78"/>
            <w:sz w:val="20"/>
            <w:szCs w:val="20"/>
          </w:rPr>
          <w:t>Diário Eletrônico do Tribunal de Contas do Estado do Paraná</w:t>
        </w:r>
      </w:hyperlink>
      <w:r w:rsidRPr="00F64186">
        <w:rPr>
          <w:rStyle w:val="Hyperlink"/>
          <w:rFonts w:asciiTheme="minorHAnsi" w:hAnsiTheme="minorHAnsi" w:cstheme="minorHAnsi"/>
          <w:color w:val="004C78"/>
          <w:sz w:val="20"/>
          <w:szCs w:val="20"/>
        </w:rPr>
        <w:t>, Curitiba, PR, ano 19, n. 3163, 5 mar. 2024, p.</w:t>
      </w:r>
      <w:hyperlink r:id="rId5" w:history="1">
        <w:r w:rsidRPr="00F64186">
          <w:rPr>
            <w:rStyle w:val="Hyperlink"/>
            <w:rFonts w:asciiTheme="minorHAnsi" w:hAnsiTheme="minorHAnsi" w:cstheme="minorHAnsi"/>
            <w:color w:val="004C78"/>
            <w:sz w:val="20"/>
            <w:szCs w:val="20"/>
          </w:rPr>
          <w:t> 75-127.</w:t>
        </w:r>
      </w:hyperlink>
    </w:p>
    <w:p w14:paraId="62ACC109" w14:textId="0C95D4D9" w:rsidR="00F64186" w:rsidRPr="00F64186" w:rsidRDefault="00F64186" w:rsidP="00F64186">
      <w:pPr>
        <w:pStyle w:val="NormalWeb"/>
        <w:spacing w:before="0" w:beforeAutospacing="0" w:after="0" w:afterAutospacing="0" w:line="300" w:lineRule="atLeast"/>
        <w:rPr>
          <w:rFonts w:asciiTheme="minorHAnsi" w:hAnsiTheme="minorHAnsi" w:cstheme="minorHAnsi"/>
          <w:color w:val="545454"/>
          <w:sz w:val="20"/>
          <w:szCs w:val="20"/>
        </w:rPr>
      </w:pPr>
      <w:r w:rsidRPr="00F64186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c) </w:t>
      </w:r>
      <w:r w:rsidRPr="00F64186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Retifica:</w:t>
      </w:r>
      <w:r w:rsidRPr="00F64186">
        <w:rPr>
          <w:rStyle w:val="Forte"/>
          <w:rFonts w:asciiTheme="minorHAnsi" w:hAnsiTheme="minorHAnsi" w:cstheme="minorHAnsi"/>
          <w:color w:val="545454"/>
          <w:sz w:val="20"/>
          <w:szCs w:val="20"/>
        </w:rPr>
        <w:t> </w:t>
      </w:r>
      <w:hyperlink r:id="rId6" w:history="1">
        <w:r w:rsidRPr="00F64186">
          <w:rPr>
            <w:rStyle w:val="Hyperlink"/>
            <w:rFonts w:asciiTheme="minorHAnsi" w:hAnsiTheme="minorHAnsi" w:cstheme="minorHAnsi"/>
            <w:color w:val="004C78"/>
            <w:sz w:val="20"/>
            <w:szCs w:val="20"/>
          </w:rPr>
          <w:t>Nota Técnica n. 23, de 10 de outubro de 2023 (Anexos II, III, IV e VI)</w:t>
        </w:r>
      </w:hyperlink>
    </w:p>
    <w:p w14:paraId="59E227F0" w14:textId="5D4DE8A9" w:rsidR="00F64186" w:rsidRPr="00F64186" w:rsidRDefault="00F64186" w:rsidP="00F64186">
      <w:pPr>
        <w:pStyle w:val="NormalWeb"/>
        <w:spacing w:before="0" w:beforeAutospacing="0" w:after="180" w:afterAutospacing="0" w:line="300" w:lineRule="atLeast"/>
        <w:rPr>
          <w:rStyle w:val="Hyperlink"/>
          <w:rFonts w:asciiTheme="minorHAnsi" w:hAnsiTheme="minorHAnsi" w:cstheme="minorHAnsi"/>
          <w:color w:val="004C78"/>
          <w:sz w:val="20"/>
          <w:szCs w:val="20"/>
        </w:rPr>
      </w:pPr>
    </w:p>
    <w:p w14:paraId="32A743CF" w14:textId="63AC6B1E" w:rsidR="00F64186" w:rsidRPr="00F64186" w:rsidRDefault="00F64186" w:rsidP="00F64186">
      <w:pPr>
        <w:pStyle w:val="Textodenotaderodap"/>
      </w:pPr>
    </w:p>
  </w:footnote>
  <w:footnote w:id="2">
    <w:p w14:paraId="2F75CDEC" w14:textId="0BEAECDA" w:rsidR="00AB2D51" w:rsidRPr="00FD434B" w:rsidRDefault="00AB2D51" w:rsidP="00FD434B">
      <w:pPr>
        <w:pStyle w:val="Textodenotaderodap"/>
        <w:jc w:val="both"/>
        <w:rPr>
          <w:rFonts w:ascii="Arial" w:hAnsi="Arial" w:cs="Arial"/>
        </w:rPr>
      </w:pPr>
      <w:r w:rsidRPr="00FD434B">
        <w:rPr>
          <w:rStyle w:val="Refdenotaderodap"/>
          <w:rFonts w:ascii="Arial" w:hAnsi="Arial" w:cs="Arial"/>
        </w:rPr>
        <w:footnoteRef/>
      </w:r>
      <w:r w:rsidRPr="00FD434B">
        <w:rPr>
          <w:rFonts w:ascii="Arial" w:hAnsi="Arial" w:cs="Arial"/>
        </w:rPr>
        <w:t xml:space="preserve"> </w:t>
      </w:r>
      <w:r w:rsidR="0043220B" w:rsidRPr="00FD434B">
        <w:rPr>
          <w:rFonts w:ascii="Arial" w:hAnsi="Arial" w:cs="Arial"/>
          <w:b/>
          <w:bCs/>
        </w:rPr>
        <w:t>Art. 151-A.</w:t>
      </w:r>
      <w:r w:rsidR="0043220B" w:rsidRPr="00FD434B">
        <w:rPr>
          <w:rFonts w:ascii="Arial" w:hAnsi="Arial" w:cs="Arial"/>
        </w:rPr>
        <w:t xml:space="preserve"> São atribuições da Coordenadoria-Geral de Fiscalização, com relação às Coordenadorias: (Incluído pela Resolução n° 64/2018)</w:t>
      </w:r>
    </w:p>
    <w:p w14:paraId="2B75A912" w14:textId="4B999282" w:rsidR="0043220B" w:rsidRPr="00FD434B" w:rsidRDefault="0043220B" w:rsidP="00FD434B">
      <w:pPr>
        <w:pStyle w:val="Textodenotaderodap"/>
        <w:jc w:val="both"/>
        <w:rPr>
          <w:rFonts w:ascii="Arial" w:hAnsi="Arial" w:cs="Arial"/>
        </w:rPr>
      </w:pPr>
      <w:r w:rsidRPr="00FD434B">
        <w:rPr>
          <w:rFonts w:ascii="Arial" w:hAnsi="Arial" w:cs="Arial"/>
        </w:rPr>
        <w:t>(...)</w:t>
      </w:r>
    </w:p>
    <w:p w14:paraId="6EFD477F" w14:textId="4182338C" w:rsidR="0043220B" w:rsidRPr="00FD434B" w:rsidRDefault="0043220B" w:rsidP="00FD434B">
      <w:pPr>
        <w:pStyle w:val="Textodenotaderodap"/>
        <w:jc w:val="both"/>
        <w:rPr>
          <w:rFonts w:ascii="Arial" w:hAnsi="Arial" w:cs="Arial"/>
        </w:rPr>
      </w:pPr>
      <w:r w:rsidRPr="00FD434B">
        <w:rPr>
          <w:rFonts w:ascii="Arial" w:hAnsi="Arial" w:cs="Arial"/>
        </w:rPr>
        <w:t>IX – expedir notas técnicas para o público externo, acerca da fiscalização, e instruções de serviços, acerca da forma de realização das fiscalizações; (Redação dada pela Resolução nº 73/2019)</w:t>
      </w:r>
      <w:r w:rsidRPr="00FD434B">
        <w:rPr>
          <w:rFonts w:ascii="Arial" w:hAnsi="Arial" w:cs="Arial"/>
        </w:rPr>
        <w:cr/>
      </w:r>
    </w:p>
    <w:p w14:paraId="56E2CFBD" w14:textId="34AB9CE6" w:rsidR="00C92B22" w:rsidRDefault="00C92B22" w:rsidP="00FD434B">
      <w:pPr>
        <w:pStyle w:val="Textodenotaderodap"/>
        <w:jc w:val="both"/>
        <w:rPr>
          <w:rFonts w:ascii="Arial" w:hAnsi="Arial" w:cs="Arial"/>
        </w:rPr>
      </w:pPr>
      <w:r w:rsidRPr="00FD434B">
        <w:rPr>
          <w:rFonts w:ascii="Arial" w:hAnsi="Arial" w:cs="Arial"/>
          <w:b/>
          <w:bCs/>
        </w:rPr>
        <w:t>Art. 217-A.</w:t>
      </w:r>
      <w:r w:rsidRPr="00FD434B">
        <w:rPr>
          <w:rFonts w:ascii="Arial" w:hAnsi="Arial" w:cs="Arial"/>
        </w:rPr>
        <w:t xml:space="preserve"> O parecer prévio conterá, além do relatório e da apreciação dos aspectos orçamentários, contábeis, financeiros e patrimoniais, com a indicação da recomendação de regularidade, regularidade com ressalvas ou irregularidade das contas, a avaliação objetiva e sistemática das políticas públicas que compuserem a instrução dos autos, nos termos do escopo previsto na instrução normativa vigente. (Redação dada pela Resolução 95/2022, sendo aplicável, apenas, aos processos de prestação de contas anuais dos Chefes de Poder Executivo referentes aos exercícios financeiros de 2022 e seguintes)</w:t>
      </w:r>
    </w:p>
    <w:p w14:paraId="6F1CC150" w14:textId="77777777" w:rsidR="00FD434B" w:rsidRPr="00FD434B" w:rsidRDefault="00FD434B" w:rsidP="00FD434B">
      <w:pPr>
        <w:pStyle w:val="Textodenotaderodap"/>
        <w:jc w:val="both"/>
        <w:rPr>
          <w:rFonts w:ascii="Arial" w:hAnsi="Arial" w:cs="Arial"/>
        </w:rPr>
      </w:pPr>
    </w:p>
  </w:footnote>
  <w:footnote w:id="3">
    <w:p w14:paraId="43C19C1C" w14:textId="21D3A399" w:rsidR="00307571" w:rsidRPr="00FD434B" w:rsidRDefault="00307571" w:rsidP="00FD434B">
      <w:pPr>
        <w:pStyle w:val="Textodenotaderodap"/>
        <w:jc w:val="both"/>
        <w:rPr>
          <w:rFonts w:ascii="Arial" w:hAnsi="Arial" w:cs="Arial"/>
        </w:rPr>
      </w:pPr>
      <w:r w:rsidRPr="00FD434B">
        <w:rPr>
          <w:rStyle w:val="Refdenotaderodap"/>
          <w:rFonts w:ascii="Arial" w:hAnsi="Arial" w:cs="Arial"/>
        </w:rPr>
        <w:footnoteRef/>
      </w:r>
      <w:r w:rsidRPr="00FD434B">
        <w:rPr>
          <w:rFonts w:ascii="Arial" w:hAnsi="Arial" w:cs="Arial"/>
        </w:rPr>
        <w:t xml:space="preserve">  </w:t>
      </w:r>
      <w:r w:rsidRPr="00FD434B">
        <w:rPr>
          <w:rFonts w:ascii="Arial" w:hAnsi="Arial" w:cs="Arial"/>
          <w:b/>
          <w:bCs/>
        </w:rPr>
        <w:t>Art. 7º</w:t>
      </w:r>
      <w:r w:rsidRPr="00FD434B">
        <w:rPr>
          <w:rFonts w:ascii="Arial" w:hAnsi="Arial" w:cs="Arial"/>
        </w:rPr>
        <w:t xml:space="preserve"> Os formulários previstos no inciso II do art. 5º subsidiarão a avaliação do grau de implementação</w:t>
      </w:r>
      <w:r w:rsidR="00537ECB" w:rsidRPr="00FD434B">
        <w:rPr>
          <w:rFonts w:ascii="Arial" w:hAnsi="Arial" w:cs="Arial"/>
        </w:rPr>
        <w:t xml:space="preserve"> </w:t>
      </w:r>
      <w:r w:rsidRPr="00FD434B">
        <w:rPr>
          <w:rFonts w:ascii="Arial" w:hAnsi="Arial" w:cs="Arial"/>
        </w:rPr>
        <w:t>de políticas públicas.</w:t>
      </w:r>
    </w:p>
    <w:p w14:paraId="758EB78F" w14:textId="77777777" w:rsidR="00307571" w:rsidRPr="00FD434B" w:rsidRDefault="00307571" w:rsidP="00FD434B">
      <w:pPr>
        <w:pStyle w:val="Textodenotaderodap"/>
        <w:jc w:val="both"/>
        <w:rPr>
          <w:rFonts w:ascii="Arial" w:hAnsi="Arial" w:cs="Arial"/>
        </w:rPr>
      </w:pPr>
      <w:r w:rsidRPr="00FD434B">
        <w:rPr>
          <w:rFonts w:ascii="Arial" w:hAnsi="Arial" w:cs="Arial"/>
        </w:rPr>
        <w:t>§ 1º As áreas que serão objeto de avaliação, bem como os demais elementos que compõem os</w:t>
      </w:r>
    </w:p>
    <w:p w14:paraId="117197F4" w14:textId="715A7C43" w:rsidR="00307571" w:rsidRDefault="00307571" w:rsidP="00FD434B">
      <w:pPr>
        <w:pStyle w:val="Textodenotaderodap"/>
        <w:jc w:val="both"/>
      </w:pPr>
      <w:r w:rsidRPr="00FD434B">
        <w:rPr>
          <w:rFonts w:ascii="Arial" w:hAnsi="Arial" w:cs="Arial"/>
        </w:rPr>
        <w:t>formulários de que trata este artigo, serão definidos em nota técnica, a ser emitida nos termos do inciso</w:t>
      </w:r>
      <w:r w:rsidR="00FD434B">
        <w:rPr>
          <w:rFonts w:ascii="Arial" w:hAnsi="Arial" w:cs="Arial"/>
        </w:rPr>
        <w:t xml:space="preserve"> </w:t>
      </w:r>
      <w:r w:rsidRPr="00FD434B">
        <w:rPr>
          <w:rFonts w:ascii="Arial" w:hAnsi="Arial" w:cs="Arial"/>
        </w:rPr>
        <w:t>IX do art. 151-A do Regimento Interno.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F5752"/>
    <w:multiLevelType w:val="hybridMultilevel"/>
    <w:tmpl w:val="A1FE38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62"/>
    <w:rsid w:val="0000434A"/>
    <w:rsid w:val="00015A71"/>
    <w:rsid w:val="000175F0"/>
    <w:rsid w:val="00023FAB"/>
    <w:rsid w:val="00026998"/>
    <w:rsid w:val="0004119A"/>
    <w:rsid w:val="000503E4"/>
    <w:rsid w:val="00075C41"/>
    <w:rsid w:val="00082100"/>
    <w:rsid w:val="0009050E"/>
    <w:rsid w:val="00092839"/>
    <w:rsid w:val="00094DB1"/>
    <w:rsid w:val="000C4AAA"/>
    <w:rsid w:val="000F3BA3"/>
    <w:rsid w:val="00106E50"/>
    <w:rsid w:val="00107198"/>
    <w:rsid w:val="00116461"/>
    <w:rsid w:val="00137A97"/>
    <w:rsid w:val="0014795C"/>
    <w:rsid w:val="0016243A"/>
    <w:rsid w:val="001674EB"/>
    <w:rsid w:val="001915CF"/>
    <w:rsid w:val="0019216A"/>
    <w:rsid w:val="00196A44"/>
    <w:rsid w:val="001B39FE"/>
    <w:rsid w:val="001C3341"/>
    <w:rsid w:val="00205959"/>
    <w:rsid w:val="002210D9"/>
    <w:rsid w:val="0022173B"/>
    <w:rsid w:val="002408D2"/>
    <w:rsid w:val="00243292"/>
    <w:rsid w:val="00244A4B"/>
    <w:rsid w:val="002707FB"/>
    <w:rsid w:val="00277ADD"/>
    <w:rsid w:val="00283298"/>
    <w:rsid w:val="00293C22"/>
    <w:rsid w:val="002D50DA"/>
    <w:rsid w:val="002E0957"/>
    <w:rsid w:val="002E7196"/>
    <w:rsid w:val="002F331B"/>
    <w:rsid w:val="002F3446"/>
    <w:rsid w:val="002F60C5"/>
    <w:rsid w:val="002F60CB"/>
    <w:rsid w:val="002F6ED8"/>
    <w:rsid w:val="00307571"/>
    <w:rsid w:val="003220A1"/>
    <w:rsid w:val="00322A38"/>
    <w:rsid w:val="003631D9"/>
    <w:rsid w:val="00366183"/>
    <w:rsid w:val="003A723C"/>
    <w:rsid w:val="003D182B"/>
    <w:rsid w:val="003D18F7"/>
    <w:rsid w:val="003D3752"/>
    <w:rsid w:val="003E626B"/>
    <w:rsid w:val="003E7EDF"/>
    <w:rsid w:val="003F485A"/>
    <w:rsid w:val="004005C5"/>
    <w:rsid w:val="004134EA"/>
    <w:rsid w:val="004149B5"/>
    <w:rsid w:val="004237B2"/>
    <w:rsid w:val="0043220B"/>
    <w:rsid w:val="00441D2D"/>
    <w:rsid w:val="00442F6A"/>
    <w:rsid w:val="00446980"/>
    <w:rsid w:val="004522F8"/>
    <w:rsid w:val="004675C0"/>
    <w:rsid w:val="00476821"/>
    <w:rsid w:val="00485E1A"/>
    <w:rsid w:val="004A1371"/>
    <w:rsid w:val="004B6C12"/>
    <w:rsid w:val="00526224"/>
    <w:rsid w:val="00537ECB"/>
    <w:rsid w:val="00540BAC"/>
    <w:rsid w:val="00582257"/>
    <w:rsid w:val="005A3950"/>
    <w:rsid w:val="005B760E"/>
    <w:rsid w:val="005D21EB"/>
    <w:rsid w:val="005D4BAF"/>
    <w:rsid w:val="005E61A7"/>
    <w:rsid w:val="005F3BA8"/>
    <w:rsid w:val="006159EF"/>
    <w:rsid w:val="00615AE5"/>
    <w:rsid w:val="00666D05"/>
    <w:rsid w:val="00675175"/>
    <w:rsid w:val="006804B9"/>
    <w:rsid w:val="00695B1B"/>
    <w:rsid w:val="006E56B5"/>
    <w:rsid w:val="006F2AB7"/>
    <w:rsid w:val="00713528"/>
    <w:rsid w:val="0072142C"/>
    <w:rsid w:val="007451F6"/>
    <w:rsid w:val="0075621B"/>
    <w:rsid w:val="007652CB"/>
    <w:rsid w:val="00793791"/>
    <w:rsid w:val="00793B77"/>
    <w:rsid w:val="007B28D1"/>
    <w:rsid w:val="007D409F"/>
    <w:rsid w:val="007E2E8F"/>
    <w:rsid w:val="007F062F"/>
    <w:rsid w:val="00801BA6"/>
    <w:rsid w:val="00816645"/>
    <w:rsid w:val="00820952"/>
    <w:rsid w:val="008742A8"/>
    <w:rsid w:val="008D06B8"/>
    <w:rsid w:val="0092406F"/>
    <w:rsid w:val="009376CD"/>
    <w:rsid w:val="0095016F"/>
    <w:rsid w:val="00964D62"/>
    <w:rsid w:val="00977F8E"/>
    <w:rsid w:val="009B56C7"/>
    <w:rsid w:val="009B6BD4"/>
    <w:rsid w:val="009D451A"/>
    <w:rsid w:val="009E22C2"/>
    <w:rsid w:val="009F5F58"/>
    <w:rsid w:val="00A16B1C"/>
    <w:rsid w:val="00A17C28"/>
    <w:rsid w:val="00A45366"/>
    <w:rsid w:val="00A52130"/>
    <w:rsid w:val="00A6185A"/>
    <w:rsid w:val="00A66B92"/>
    <w:rsid w:val="00AB2D51"/>
    <w:rsid w:val="00AC5FC9"/>
    <w:rsid w:val="00AE561D"/>
    <w:rsid w:val="00B03066"/>
    <w:rsid w:val="00B25514"/>
    <w:rsid w:val="00B443E7"/>
    <w:rsid w:val="00B822AD"/>
    <w:rsid w:val="00BA7125"/>
    <w:rsid w:val="00BE66FA"/>
    <w:rsid w:val="00BF3D6B"/>
    <w:rsid w:val="00BF5F30"/>
    <w:rsid w:val="00C01A4F"/>
    <w:rsid w:val="00C100A8"/>
    <w:rsid w:val="00C123F5"/>
    <w:rsid w:val="00C22D54"/>
    <w:rsid w:val="00C37BEB"/>
    <w:rsid w:val="00C431C2"/>
    <w:rsid w:val="00C508CF"/>
    <w:rsid w:val="00C8468F"/>
    <w:rsid w:val="00C90AE1"/>
    <w:rsid w:val="00C92B22"/>
    <w:rsid w:val="00CA3610"/>
    <w:rsid w:val="00CA6CAE"/>
    <w:rsid w:val="00CB5831"/>
    <w:rsid w:val="00CD777C"/>
    <w:rsid w:val="00D02C38"/>
    <w:rsid w:val="00D05FA2"/>
    <w:rsid w:val="00D12DEE"/>
    <w:rsid w:val="00D272F4"/>
    <w:rsid w:val="00D32B2F"/>
    <w:rsid w:val="00D35794"/>
    <w:rsid w:val="00DB16C0"/>
    <w:rsid w:val="00DB1F32"/>
    <w:rsid w:val="00DB51A9"/>
    <w:rsid w:val="00DE5A8F"/>
    <w:rsid w:val="00E04BF2"/>
    <w:rsid w:val="00E06C98"/>
    <w:rsid w:val="00E20F06"/>
    <w:rsid w:val="00E265E8"/>
    <w:rsid w:val="00E635DB"/>
    <w:rsid w:val="00E65F6F"/>
    <w:rsid w:val="00E8757F"/>
    <w:rsid w:val="00EA13AF"/>
    <w:rsid w:val="00ED58FC"/>
    <w:rsid w:val="00ED777D"/>
    <w:rsid w:val="00EE70AA"/>
    <w:rsid w:val="00EF67C5"/>
    <w:rsid w:val="00F01A92"/>
    <w:rsid w:val="00F16861"/>
    <w:rsid w:val="00F230BA"/>
    <w:rsid w:val="00F56573"/>
    <w:rsid w:val="00F64186"/>
    <w:rsid w:val="00F74077"/>
    <w:rsid w:val="00F7778F"/>
    <w:rsid w:val="00FA69BB"/>
    <w:rsid w:val="00FA72FD"/>
    <w:rsid w:val="00FC2C33"/>
    <w:rsid w:val="00FD0D61"/>
    <w:rsid w:val="00FD3306"/>
    <w:rsid w:val="00FD434B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A4C"/>
  <w15:chartTrackingRefBased/>
  <w15:docId w15:val="{BB5A7CF6-8213-4914-A6C4-E8A9409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2D5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2D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2D51"/>
    <w:rPr>
      <w:vertAlign w:val="superscript"/>
    </w:rPr>
  </w:style>
  <w:style w:type="table" w:styleId="Tabelacomgrade">
    <w:name w:val="Table Grid"/>
    <w:basedOn w:val="Tabelanormal"/>
    <w:uiPriority w:val="39"/>
    <w:rsid w:val="003F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F641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64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diario-eletronico-3153-2024-de-20-de-fevereiro-de-2024/352824/area/10" TargetMode="External"/><Relationship Id="rId2" Type="http://schemas.openxmlformats.org/officeDocument/2006/relationships/hyperlink" Target="https://www1.tce.pr.gov.br/conteudo/diario-eletronico-3153-2024-de-20-de-fevereiro-de-2024/352824/area/10" TargetMode="External"/><Relationship Id="rId1" Type="http://schemas.openxmlformats.org/officeDocument/2006/relationships/hyperlink" Target="https://www1.tce.pr.gov.br/conteudo/diario-eletronico-3153-2024-de-20-de-fevereiro-de-2024/352824/area/10" TargetMode="External"/><Relationship Id="rId6" Type="http://schemas.openxmlformats.org/officeDocument/2006/relationships/hyperlink" Target="https://www1.tce.pr.gov.br/conteudo/nota-tecnica-n-23-de-10-de-outubro-de-2023/351100/area/249" TargetMode="External"/><Relationship Id="rId5" Type="http://schemas.openxmlformats.org/officeDocument/2006/relationships/hyperlink" Target="https://www1.tce.pr.gov.br/conteudo/diario-eletronico-3163-2024-de-05-de-marco-de-2024/353161/area/10" TargetMode="External"/><Relationship Id="rId4" Type="http://schemas.openxmlformats.org/officeDocument/2006/relationships/hyperlink" Target="https://www1.tce.pr.gov.br/conteudo/diario-eletronico-3163-2024-de-05-de-marco-de-2024/353161/area/1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917B-6753-41EA-8C67-DF33333A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2914</Words>
  <Characters>15736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Falcão de Carvalho Nunes</dc:creator>
  <cp:keywords/>
  <dc:description/>
  <cp:lastModifiedBy>Marcella Raffs de Medeiros</cp:lastModifiedBy>
  <cp:revision>2</cp:revision>
  <dcterms:created xsi:type="dcterms:W3CDTF">2024-03-06T16:52:00Z</dcterms:created>
  <dcterms:modified xsi:type="dcterms:W3CDTF">2024-03-06T16:52:00Z</dcterms:modified>
</cp:coreProperties>
</file>