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75BF" w14:textId="4B0077E2" w:rsidR="00994EAD" w:rsidRDefault="00994EAD" w:rsidP="00C273FB">
      <w:pPr>
        <w:pStyle w:val="Default"/>
        <w:tabs>
          <w:tab w:val="left" w:pos="1134"/>
          <w:tab w:val="left" w:pos="1418"/>
        </w:tabs>
        <w:jc w:val="center"/>
        <w:rPr>
          <w:sz w:val="23"/>
          <w:szCs w:val="23"/>
        </w:rPr>
      </w:pPr>
      <w:r w:rsidRPr="008634F6">
        <w:rPr>
          <w:b/>
          <w:bCs/>
          <w:sz w:val="28"/>
          <w:szCs w:val="28"/>
        </w:rPr>
        <w:t>RESOLUÇÃO Nº 56/2016</w:t>
      </w:r>
      <w:r w:rsidR="00BD0EE5">
        <w:rPr>
          <w:rStyle w:val="Refdenotaderodap"/>
          <w:b/>
          <w:bCs/>
          <w:sz w:val="28"/>
          <w:szCs w:val="28"/>
        </w:rPr>
        <w:footnoteReference w:id="1"/>
      </w:r>
    </w:p>
    <w:p w14:paraId="6ABBDC41" w14:textId="77777777" w:rsidR="00994EAD" w:rsidRPr="00525696" w:rsidRDefault="00994EAD" w:rsidP="00945DD1">
      <w:pPr>
        <w:pStyle w:val="Default"/>
        <w:tabs>
          <w:tab w:val="left" w:pos="1418"/>
        </w:tabs>
        <w:spacing w:before="360" w:after="360"/>
        <w:ind w:left="4253"/>
        <w:jc w:val="both"/>
        <w:rPr>
          <w:i/>
          <w:iCs/>
          <w:sz w:val="22"/>
          <w:szCs w:val="22"/>
        </w:rPr>
      </w:pPr>
      <w:r w:rsidRPr="00525696">
        <w:rPr>
          <w:i/>
          <w:iCs/>
          <w:sz w:val="22"/>
          <w:szCs w:val="22"/>
        </w:rPr>
        <w:t xml:space="preserve">Altera as Resoluções nº 1/2006, nº 24/2010, nº 36/2013 e nº 50/2015, que tratam do Regimento Interno. </w:t>
      </w:r>
    </w:p>
    <w:p w14:paraId="43FD8879" w14:textId="77777777" w:rsidR="00994EAD" w:rsidRPr="00287B88" w:rsidRDefault="00994EAD" w:rsidP="00994EAD">
      <w:pPr>
        <w:pStyle w:val="Default"/>
        <w:tabs>
          <w:tab w:val="left" w:pos="1418"/>
        </w:tabs>
        <w:spacing w:before="120" w:after="120"/>
        <w:ind w:firstLine="1134"/>
        <w:jc w:val="both"/>
      </w:pPr>
      <w:r w:rsidRPr="000762AB">
        <w:t xml:space="preserve">O </w:t>
      </w:r>
      <w:r w:rsidRPr="00287B88">
        <w:rPr>
          <w:b/>
          <w:bCs/>
        </w:rPr>
        <w:t>TRIBUNAL DE CONTAS DO ESTADO DO PARANÁ</w:t>
      </w:r>
      <w:r w:rsidRPr="00287B88">
        <w:t>, no uso d</w:t>
      </w:r>
      <w:r>
        <w:t>e suas</w:t>
      </w:r>
      <w:r w:rsidRPr="00287B88">
        <w:t xml:space="preserve"> atribuições </w:t>
      </w:r>
      <w:r>
        <w:t>previstas</w:t>
      </w:r>
      <w:r w:rsidRPr="00287B88">
        <w:t xml:space="preserve"> no</w:t>
      </w:r>
      <w:r>
        <w:t>s</w:t>
      </w:r>
      <w:r w:rsidRPr="00287B88">
        <w:t xml:space="preserve"> art</w:t>
      </w:r>
      <w:r>
        <w:t>igos</w:t>
      </w:r>
      <w:r w:rsidRPr="00287B88">
        <w:t xml:space="preserve"> 2º, </w:t>
      </w:r>
      <w:r>
        <w:t xml:space="preserve">inciso </w:t>
      </w:r>
      <w:r w:rsidRPr="00287B88">
        <w:t xml:space="preserve">I, e 116, </w:t>
      </w:r>
      <w:r>
        <w:t xml:space="preserve">inciso </w:t>
      </w:r>
      <w:r w:rsidRPr="00287B88">
        <w:t xml:space="preserve">XII e parágrafo único, da Lei Complementar nº 113, de 15 de dezembro de 2005, </w:t>
      </w:r>
      <w:r>
        <w:t xml:space="preserve">e </w:t>
      </w:r>
      <w:r w:rsidRPr="00287B88">
        <w:t xml:space="preserve">com </w:t>
      </w:r>
      <w:r>
        <w:t xml:space="preserve">fundamento </w:t>
      </w:r>
      <w:r w:rsidRPr="00287B88">
        <w:t>nos art</w:t>
      </w:r>
      <w:r>
        <w:t>igos</w:t>
      </w:r>
      <w:r w:rsidRPr="00287B88">
        <w:t xml:space="preserve"> 5º, </w:t>
      </w:r>
      <w:r>
        <w:t xml:space="preserve">inciso </w:t>
      </w:r>
      <w:r w:rsidRPr="00287B88">
        <w:t xml:space="preserve">XIII, e 188 a 191 do Regimento Interno, </w:t>
      </w:r>
    </w:p>
    <w:p w14:paraId="70696D9C" w14:textId="77777777" w:rsidR="00994EAD" w:rsidRPr="00287B88" w:rsidRDefault="00994EAD" w:rsidP="00994EAD">
      <w:pPr>
        <w:pStyle w:val="Default"/>
        <w:tabs>
          <w:tab w:val="left" w:pos="1418"/>
        </w:tabs>
        <w:spacing w:before="240" w:after="240"/>
        <w:ind w:firstLine="1134"/>
        <w:jc w:val="both"/>
      </w:pPr>
      <w:r w:rsidRPr="00287B88">
        <w:rPr>
          <w:b/>
          <w:bCs/>
        </w:rPr>
        <w:t xml:space="preserve">RESOLVE </w:t>
      </w:r>
    </w:p>
    <w:p w14:paraId="179EE9D8" w14:textId="77777777" w:rsidR="00994EAD" w:rsidRPr="00C05732" w:rsidRDefault="00994EAD" w:rsidP="00994EAD">
      <w:pPr>
        <w:pStyle w:val="Default"/>
        <w:tabs>
          <w:tab w:val="left" w:pos="1418"/>
        </w:tabs>
        <w:spacing w:before="120"/>
        <w:ind w:firstLine="1134"/>
        <w:jc w:val="both"/>
      </w:pPr>
      <w:r w:rsidRPr="00C05732">
        <w:rPr>
          <w:b/>
          <w:bCs/>
        </w:rPr>
        <w:t xml:space="preserve">Art. 1º </w:t>
      </w:r>
      <w:r w:rsidRPr="00C05732">
        <w:t xml:space="preserve">Os dispositivos do Regimento Interno, a seguir enumerados, passam a vigorar com as seguintes alterações: </w:t>
      </w:r>
    </w:p>
    <w:p w14:paraId="467DB3CC" w14:textId="77777777" w:rsidR="00994EAD" w:rsidRPr="00C05732" w:rsidRDefault="00994EAD" w:rsidP="00994EAD">
      <w:pPr>
        <w:pStyle w:val="Default"/>
        <w:tabs>
          <w:tab w:val="left" w:pos="1418"/>
        </w:tabs>
        <w:spacing w:before="120"/>
        <w:ind w:firstLine="1134"/>
        <w:jc w:val="both"/>
      </w:pPr>
      <w:r w:rsidRPr="00C05732">
        <w:t xml:space="preserve">“Art. 16. [...] </w:t>
      </w:r>
    </w:p>
    <w:p w14:paraId="5F677904" w14:textId="77777777" w:rsidR="00994EAD" w:rsidRPr="00C05732" w:rsidRDefault="00994EAD" w:rsidP="00994EAD">
      <w:pPr>
        <w:pStyle w:val="Default"/>
        <w:tabs>
          <w:tab w:val="left" w:pos="1418"/>
        </w:tabs>
        <w:spacing w:before="120"/>
        <w:ind w:firstLine="1134"/>
        <w:jc w:val="both"/>
      </w:pPr>
      <w:r w:rsidRPr="00C05732">
        <w:t xml:space="preserve">[...] </w:t>
      </w:r>
    </w:p>
    <w:p w14:paraId="1F9A7B7A" w14:textId="77777777" w:rsidR="00994EAD" w:rsidRPr="00C05732" w:rsidRDefault="00994EAD" w:rsidP="00994EAD">
      <w:pPr>
        <w:pStyle w:val="Default"/>
        <w:tabs>
          <w:tab w:val="left" w:pos="1418"/>
        </w:tabs>
        <w:spacing w:before="120"/>
        <w:ind w:firstLine="1134"/>
        <w:jc w:val="both"/>
      </w:pPr>
      <w:r w:rsidRPr="00C05732">
        <w:t xml:space="preserve">LIX - homologar o registro dos atos de admissão de pessoal, inativação e pensão, bem como os de revisão de proventos e de pensão, analisados por meio de sistema eletrônico de atos de pessoal e considerados regulares.” </w:t>
      </w:r>
    </w:p>
    <w:p w14:paraId="047FB5D1" w14:textId="77777777" w:rsidR="00994EAD" w:rsidRPr="00C05732" w:rsidRDefault="00994EAD" w:rsidP="00994EAD">
      <w:pPr>
        <w:pStyle w:val="Default"/>
        <w:tabs>
          <w:tab w:val="left" w:pos="1418"/>
        </w:tabs>
        <w:spacing w:before="120"/>
        <w:ind w:firstLine="1134"/>
        <w:jc w:val="both"/>
      </w:pPr>
      <w:r w:rsidRPr="00C05732">
        <w:t xml:space="preserve">“Art. 159-A. [...] </w:t>
      </w:r>
    </w:p>
    <w:p w14:paraId="326EB2C5" w14:textId="77777777" w:rsidR="00994EAD" w:rsidRPr="00C05732" w:rsidRDefault="00994EAD" w:rsidP="00994EAD">
      <w:pPr>
        <w:pStyle w:val="Default"/>
        <w:tabs>
          <w:tab w:val="left" w:pos="1418"/>
        </w:tabs>
        <w:spacing w:before="120"/>
        <w:ind w:firstLine="1134"/>
        <w:jc w:val="both"/>
      </w:pPr>
      <w:r w:rsidRPr="00C05732">
        <w:t xml:space="preserve">I – [...] </w:t>
      </w:r>
    </w:p>
    <w:p w14:paraId="5BCD10F9" w14:textId="77777777" w:rsidR="00994EAD" w:rsidRPr="00C05732" w:rsidRDefault="00994EAD" w:rsidP="00994EAD">
      <w:pPr>
        <w:pStyle w:val="Default"/>
        <w:tabs>
          <w:tab w:val="left" w:pos="1418"/>
        </w:tabs>
        <w:spacing w:before="120"/>
        <w:ind w:firstLine="1134"/>
        <w:jc w:val="both"/>
      </w:pPr>
      <w:r w:rsidRPr="00C05732">
        <w:t xml:space="preserve">c) processos e requerimentos de membros e servidores do Tribunal;” </w:t>
      </w:r>
    </w:p>
    <w:p w14:paraId="6510FF64" w14:textId="77777777" w:rsidR="00994EAD" w:rsidRPr="00C05732" w:rsidRDefault="00994EAD" w:rsidP="00994EAD">
      <w:pPr>
        <w:pStyle w:val="Default"/>
        <w:tabs>
          <w:tab w:val="left" w:pos="1418"/>
        </w:tabs>
        <w:spacing w:before="120"/>
        <w:ind w:firstLine="1134"/>
        <w:jc w:val="both"/>
      </w:pPr>
      <w:r w:rsidRPr="00C05732">
        <w:t xml:space="preserve">“Art. 175-C. [...] </w:t>
      </w:r>
    </w:p>
    <w:p w14:paraId="58227E7C" w14:textId="77777777" w:rsidR="00994EAD" w:rsidRPr="00C05732" w:rsidRDefault="00994EAD" w:rsidP="00994EAD">
      <w:pPr>
        <w:pStyle w:val="Default"/>
        <w:tabs>
          <w:tab w:val="left" w:pos="1418"/>
        </w:tabs>
        <w:spacing w:before="120"/>
        <w:ind w:firstLine="1134"/>
        <w:jc w:val="both"/>
      </w:pPr>
      <w:r w:rsidRPr="00C05732">
        <w:t xml:space="preserve">Parágrafo único. Os atos estaduais e municipais de admissão, aposentadoria, pensão, revisão de proventos e de pensão, bem como os de reserva remunerada e reforma apreciados por meio de sistema eletrônico de atos de pessoal terão seus registros realizados preferencialmente de forma automática.” </w:t>
      </w:r>
    </w:p>
    <w:p w14:paraId="3E5B4F1C" w14:textId="77777777" w:rsidR="00994EAD" w:rsidRPr="00C05732" w:rsidRDefault="00994EAD" w:rsidP="00994EAD">
      <w:pPr>
        <w:pStyle w:val="Default"/>
        <w:tabs>
          <w:tab w:val="left" w:pos="1418"/>
        </w:tabs>
        <w:spacing w:before="120"/>
        <w:ind w:firstLine="1134"/>
        <w:jc w:val="both"/>
        <w:rPr>
          <w:color w:val="auto"/>
        </w:rPr>
      </w:pPr>
      <w:r w:rsidRPr="00C05732">
        <w:rPr>
          <w:color w:val="auto"/>
        </w:rPr>
        <w:t xml:space="preserve">“Art. 299-A. Os requerimentos de admissão de pessoal, inativação, pensão e revisões de pensão e de proventos encaminhados por meio de sistema de atos de pessoal serão diretamente remetidos à Diretoria de Controle de Atos de Pessoal – DICAP, para análise eletrônica. </w:t>
      </w:r>
    </w:p>
    <w:p w14:paraId="4FF6CCDF" w14:textId="77777777" w:rsidR="00994EAD" w:rsidRPr="00C05732" w:rsidRDefault="00994EAD" w:rsidP="00994EAD">
      <w:pPr>
        <w:pStyle w:val="Default"/>
        <w:tabs>
          <w:tab w:val="left" w:pos="1418"/>
        </w:tabs>
        <w:spacing w:before="120"/>
        <w:ind w:firstLine="1134"/>
        <w:jc w:val="both"/>
        <w:rPr>
          <w:color w:val="auto"/>
        </w:rPr>
      </w:pPr>
      <w:r w:rsidRPr="00C05732">
        <w:rPr>
          <w:color w:val="auto"/>
        </w:rPr>
        <w:t xml:space="preserve">[...] </w:t>
      </w:r>
    </w:p>
    <w:p w14:paraId="4A1E6FD6" w14:textId="77777777" w:rsidR="00994EAD" w:rsidRPr="00C05732" w:rsidRDefault="00994EAD" w:rsidP="00994EAD">
      <w:pPr>
        <w:pStyle w:val="Default"/>
        <w:tabs>
          <w:tab w:val="left" w:pos="1418"/>
        </w:tabs>
        <w:spacing w:before="120"/>
        <w:ind w:firstLine="1134"/>
        <w:jc w:val="both"/>
        <w:rPr>
          <w:color w:val="auto"/>
        </w:rPr>
      </w:pPr>
      <w:r w:rsidRPr="00C05732">
        <w:rPr>
          <w:color w:val="auto"/>
        </w:rPr>
        <w:lastRenderedPageBreak/>
        <w:t xml:space="preserve">§ 3º O não enquadramento dos requerimentos na hipótese do § 1° acarretará a realização de diligências preliminares, nos termos do art. 168, XIII, deste Regimento Interno, ou, conforme Instrução Normativa própria, através de outros meios de comunicação eletrônica disponíveis. </w:t>
      </w:r>
    </w:p>
    <w:p w14:paraId="0CB54301" w14:textId="77777777" w:rsidR="00994EAD" w:rsidRPr="00C05732" w:rsidRDefault="00994EAD" w:rsidP="00994EAD">
      <w:pPr>
        <w:pStyle w:val="Default"/>
        <w:tabs>
          <w:tab w:val="left" w:pos="1418"/>
        </w:tabs>
        <w:spacing w:before="120"/>
        <w:ind w:firstLine="1134"/>
        <w:jc w:val="both"/>
        <w:rPr>
          <w:color w:val="auto"/>
        </w:rPr>
      </w:pPr>
      <w:r w:rsidRPr="00C05732">
        <w:rPr>
          <w:color w:val="auto"/>
        </w:rPr>
        <w:t xml:space="preserve">§ 4º Os requerimentos considerados regulares após a realização de diligências preliminares terão seus atos encaminhados para homologação, nos termos do § 1º deste artigo, ou permanecerão na Diretoria de Controle de Atos de Pessoal – DICAP para controle de fases posteriores, conforme o caso. </w:t>
      </w:r>
    </w:p>
    <w:p w14:paraId="20D8442C" w14:textId="77777777" w:rsidR="00994EAD" w:rsidRPr="00C05732" w:rsidRDefault="00994EAD" w:rsidP="00994EAD">
      <w:pPr>
        <w:pStyle w:val="Default"/>
        <w:tabs>
          <w:tab w:val="left" w:pos="1418"/>
        </w:tabs>
        <w:spacing w:before="120"/>
        <w:ind w:firstLine="1134"/>
        <w:jc w:val="both"/>
        <w:rPr>
          <w:color w:val="auto"/>
        </w:rPr>
      </w:pPr>
      <w:r w:rsidRPr="00C05732">
        <w:rPr>
          <w:color w:val="auto"/>
        </w:rPr>
        <w:t xml:space="preserve">§ 5º Os requerimentos considerados irregulares após a realização de diligências preliminares serão encaminhados para distribuição e regular processamento, nos termos do art. 333, I a V, deste Regimento Interno. </w:t>
      </w:r>
    </w:p>
    <w:p w14:paraId="23BC186A" w14:textId="77777777" w:rsidR="00994EAD" w:rsidRPr="00C05732" w:rsidRDefault="00994EAD" w:rsidP="00994EAD">
      <w:pPr>
        <w:pStyle w:val="Default"/>
        <w:tabs>
          <w:tab w:val="left" w:pos="1418"/>
        </w:tabs>
        <w:spacing w:before="120"/>
        <w:ind w:firstLine="1134"/>
        <w:jc w:val="both"/>
        <w:rPr>
          <w:color w:val="auto"/>
        </w:rPr>
      </w:pPr>
      <w:r w:rsidRPr="00C05732">
        <w:rPr>
          <w:color w:val="auto"/>
        </w:rPr>
        <w:t xml:space="preserve">§ 6º A juntada de resposta intempestiva, o pedido de prorrogação de prazo ou a ausência de resposta a diligência preliminar implicará a </w:t>
      </w:r>
      <w:proofErr w:type="spellStart"/>
      <w:r w:rsidRPr="00C05732">
        <w:rPr>
          <w:color w:val="auto"/>
        </w:rPr>
        <w:t>reautuação</w:t>
      </w:r>
      <w:proofErr w:type="spellEnd"/>
      <w:r w:rsidRPr="00C05732">
        <w:rPr>
          <w:color w:val="auto"/>
        </w:rPr>
        <w:t xml:space="preserve"> e a distribuição do requerimento em caso de comprometimento ao regular andamento do feito. </w:t>
      </w:r>
    </w:p>
    <w:p w14:paraId="0201587A" w14:textId="77777777" w:rsidR="00994EAD" w:rsidRPr="00C05732" w:rsidRDefault="00994EAD" w:rsidP="00994EAD">
      <w:pPr>
        <w:pStyle w:val="Default"/>
        <w:tabs>
          <w:tab w:val="left" w:pos="1418"/>
        </w:tabs>
        <w:spacing w:before="120"/>
        <w:ind w:firstLine="1134"/>
        <w:jc w:val="both"/>
        <w:rPr>
          <w:color w:val="auto"/>
        </w:rPr>
      </w:pPr>
      <w:r w:rsidRPr="00C05732">
        <w:rPr>
          <w:color w:val="auto"/>
        </w:rPr>
        <w:t xml:space="preserve">§ 7º Caso a análise eletrônica identifique irregularidade grave, cuja manutenção coloque em risco o controle eficaz do ato, a realização de diligências preliminares poderá ser dispensada e o requerimento imediatamente distribuído, podendo o Relator, presentes os requisitos, adotar a medida cautelar pertinente, nos termos do Art. 400 e seguintes deste Regimento Interno. </w:t>
      </w:r>
    </w:p>
    <w:p w14:paraId="08ABFC1E" w14:textId="77777777" w:rsidR="00994EAD" w:rsidRPr="00C05732" w:rsidRDefault="00994EAD" w:rsidP="00994EAD">
      <w:pPr>
        <w:pStyle w:val="Default"/>
        <w:tabs>
          <w:tab w:val="left" w:pos="1418"/>
        </w:tabs>
        <w:spacing w:before="120"/>
        <w:ind w:firstLine="1134"/>
        <w:jc w:val="both"/>
        <w:rPr>
          <w:color w:val="auto"/>
        </w:rPr>
      </w:pPr>
      <w:r w:rsidRPr="00C05732">
        <w:rPr>
          <w:color w:val="auto"/>
        </w:rPr>
        <w:t xml:space="preserve">§ 8º Os critérios de análise e os parâmetros de conformidade do Sistema serão estabelecidos em Instrução Normativa, observada a realização de controle concomitante, a ser realizado em fases, nos casos de admissão de pessoal. </w:t>
      </w:r>
    </w:p>
    <w:p w14:paraId="48F3BC6E" w14:textId="77777777" w:rsidR="00994EAD" w:rsidRPr="00C05732" w:rsidRDefault="00994EAD" w:rsidP="00994EAD">
      <w:pPr>
        <w:pStyle w:val="Default"/>
        <w:tabs>
          <w:tab w:val="left" w:pos="1418"/>
        </w:tabs>
        <w:spacing w:before="120"/>
        <w:ind w:firstLine="1134"/>
        <w:jc w:val="both"/>
        <w:rPr>
          <w:color w:val="auto"/>
        </w:rPr>
      </w:pPr>
      <w:r w:rsidRPr="00C05732">
        <w:rPr>
          <w:color w:val="auto"/>
        </w:rPr>
        <w:t xml:space="preserve">§ 9º Os processos em trâmite e os não encaminhados por intermédio do Sistema observarão a tramitação definida no art. 300 deste Regimento Interno. </w:t>
      </w:r>
    </w:p>
    <w:p w14:paraId="499094E7" w14:textId="77777777" w:rsidR="00994EAD" w:rsidRPr="00C05732" w:rsidRDefault="00994EAD" w:rsidP="00994EAD">
      <w:pPr>
        <w:pStyle w:val="Default"/>
        <w:tabs>
          <w:tab w:val="left" w:pos="1418"/>
        </w:tabs>
        <w:spacing w:before="120"/>
        <w:ind w:firstLine="1134"/>
        <w:jc w:val="both"/>
        <w:rPr>
          <w:color w:val="auto"/>
        </w:rPr>
      </w:pPr>
      <w:r w:rsidRPr="00C05732">
        <w:rPr>
          <w:color w:val="auto"/>
        </w:rPr>
        <w:t xml:space="preserve">§ 10 A revisão do ato de registro que se enquadrar na hipótese do §1º se dará por requerimento, no prazo de 10 (dez) dias após a publicação do ato de homologação, de iniciativa da Unidade Técnica, do Ministério Público de Contas, dos sujeitos do processo ou de </w:t>
      </w:r>
      <w:proofErr w:type="spellStart"/>
      <w:r w:rsidRPr="00C05732">
        <w:rPr>
          <w:color w:val="auto"/>
        </w:rPr>
        <w:t>terceiro</w:t>
      </w:r>
      <w:proofErr w:type="spellEnd"/>
      <w:r w:rsidRPr="00C05732">
        <w:rPr>
          <w:color w:val="auto"/>
        </w:rPr>
        <w:t xml:space="preserve">, dirigido ao Presidente do Tribunal que, após manifestação da Diretoria de Controle de Atos de Pessoal e do Ministério Público de Contas, deliberará acerca da admissibilidade e, em sendo o caso, determinará a distribuição e regular processamento, nos termos do art. 333, I a V, deste Regimento Interno.” </w:t>
      </w:r>
    </w:p>
    <w:p w14:paraId="4AAD4160" w14:textId="77777777" w:rsidR="00994EAD" w:rsidRPr="00C05732" w:rsidRDefault="00994EAD" w:rsidP="00994EAD">
      <w:pPr>
        <w:shd w:val="clear" w:color="auto" w:fill="FFFFFF"/>
        <w:spacing w:before="120"/>
        <w:ind w:firstLine="1134"/>
        <w:jc w:val="both"/>
        <w:textAlignment w:val="center"/>
        <w:rPr>
          <w:rFonts w:ascii="Arial" w:hAnsi="Arial" w:cs="Arial"/>
          <w:color w:val="000000"/>
          <w:szCs w:val="24"/>
          <w:shd w:val="clear" w:color="auto" w:fill="FFFFFF"/>
        </w:rPr>
      </w:pPr>
      <w:r w:rsidRPr="00C05732">
        <w:rPr>
          <w:rFonts w:ascii="Arial" w:hAnsi="Arial" w:cs="Arial"/>
          <w:color w:val="000000"/>
          <w:szCs w:val="24"/>
          <w:shd w:val="clear" w:color="auto" w:fill="FFFFFF"/>
        </w:rPr>
        <w:t>“Art. 305. O requerimento de aposentadoria de membro e de servidor do Tribunal, devidamente instruído pelas Diretorias de Gestão de Pessoas, de Finanças e Jurídica, será encaminhado ao órgão previdenciário para manifestação e, após, será expedida a portaria de concessão do benefício.</w:t>
      </w:r>
    </w:p>
    <w:p w14:paraId="73B1E972" w14:textId="77777777" w:rsidR="00994EAD" w:rsidRPr="00C05732" w:rsidRDefault="00994EAD" w:rsidP="00994EAD">
      <w:pPr>
        <w:shd w:val="clear" w:color="auto" w:fill="FFFFFF"/>
        <w:spacing w:before="120"/>
        <w:ind w:firstLine="1134"/>
        <w:jc w:val="both"/>
        <w:textAlignment w:val="center"/>
        <w:rPr>
          <w:rFonts w:ascii="Arial" w:hAnsi="Arial" w:cs="Arial"/>
          <w:color w:val="000000"/>
          <w:szCs w:val="24"/>
          <w:shd w:val="clear" w:color="auto" w:fill="FFFFFF"/>
        </w:rPr>
      </w:pPr>
      <w:r w:rsidRPr="00C05732">
        <w:rPr>
          <w:rFonts w:ascii="Arial" w:hAnsi="Arial" w:cs="Arial"/>
          <w:color w:val="000000"/>
          <w:szCs w:val="24"/>
          <w:shd w:val="clear" w:color="auto" w:fill="FFFFFF"/>
        </w:rPr>
        <w:t>§ 1º Após ser expedida a portaria de concessão do benefício, os autos serão disponibilizados ao órgão previdenciário para ciência e adoção das medidas necessárias ao registro do respectivo ato, nos termos dos artigos 298 e seguintes deste Regimento.</w:t>
      </w:r>
    </w:p>
    <w:p w14:paraId="0B55B7FF" w14:textId="77777777" w:rsidR="00994EAD" w:rsidRPr="00C05732" w:rsidRDefault="00994EAD" w:rsidP="00994EAD">
      <w:pPr>
        <w:shd w:val="clear" w:color="auto" w:fill="FFFFFF"/>
        <w:spacing w:before="120"/>
        <w:ind w:firstLine="1134"/>
        <w:jc w:val="both"/>
        <w:textAlignment w:val="center"/>
        <w:rPr>
          <w:rFonts w:ascii="Arial" w:hAnsi="Arial" w:cs="Arial"/>
          <w:color w:val="000000"/>
          <w:szCs w:val="24"/>
          <w:shd w:val="clear" w:color="auto" w:fill="FFFFFF"/>
        </w:rPr>
      </w:pPr>
      <w:r w:rsidRPr="00C05732">
        <w:rPr>
          <w:rFonts w:ascii="Arial" w:hAnsi="Arial" w:cs="Arial"/>
          <w:color w:val="000000"/>
          <w:szCs w:val="24"/>
          <w:shd w:val="clear" w:color="auto" w:fill="FFFFFF"/>
        </w:rPr>
        <w:lastRenderedPageBreak/>
        <w:t>§ 2º O requerimento de aposentadoria será encerrado e encaminhado à Diretoria de Gestão de Pessoas para anotações e arquivamento.”</w:t>
      </w:r>
    </w:p>
    <w:p w14:paraId="72807598" w14:textId="77777777" w:rsidR="00994EAD" w:rsidRPr="00C05732" w:rsidRDefault="00994EAD" w:rsidP="00994EAD">
      <w:pPr>
        <w:shd w:val="clear" w:color="auto" w:fill="FFFFFF"/>
        <w:spacing w:before="120"/>
        <w:ind w:firstLine="1134"/>
        <w:jc w:val="both"/>
        <w:textAlignment w:val="center"/>
        <w:rPr>
          <w:rFonts w:ascii="Arial" w:hAnsi="Arial" w:cs="Arial"/>
          <w:color w:val="000000"/>
          <w:szCs w:val="24"/>
          <w:shd w:val="clear" w:color="auto" w:fill="FFFFFF"/>
        </w:rPr>
      </w:pPr>
      <w:r w:rsidRPr="00C05732">
        <w:rPr>
          <w:rFonts w:ascii="Arial" w:hAnsi="Arial" w:cs="Arial"/>
          <w:b/>
          <w:color w:val="000000"/>
          <w:szCs w:val="24"/>
        </w:rPr>
        <w:t>Art. 2º</w:t>
      </w:r>
      <w:r w:rsidRPr="00C05732">
        <w:rPr>
          <w:rFonts w:ascii="Arial" w:hAnsi="Arial" w:cs="Arial"/>
          <w:color w:val="000000"/>
          <w:szCs w:val="24"/>
        </w:rPr>
        <w:t xml:space="preserve"> </w:t>
      </w:r>
      <w:r w:rsidRPr="00C05732">
        <w:rPr>
          <w:rFonts w:ascii="Arial" w:hAnsi="Arial" w:cs="Arial"/>
          <w:color w:val="000000"/>
          <w:szCs w:val="24"/>
          <w:shd w:val="clear" w:color="auto" w:fill="FFFFFF"/>
        </w:rPr>
        <w:t>Fica revogado o art. 305-A do Regimento Interno.</w:t>
      </w:r>
    </w:p>
    <w:p w14:paraId="452C3EC1" w14:textId="77777777" w:rsidR="00994EAD" w:rsidRPr="00C05732" w:rsidRDefault="00994EAD" w:rsidP="00994EAD">
      <w:pPr>
        <w:pStyle w:val="Default"/>
        <w:tabs>
          <w:tab w:val="left" w:pos="1418"/>
        </w:tabs>
        <w:spacing w:before="120"/>
        <w:ind w:firstLine="1134"/>
        <w:jc w:val="both"/>
      </w:pPr>
      <w:r w:rsidRPr="00C05732">
        <w:rPr>
          <w:b/>
          <w:bCs/>
        </w:rPr>
        <w:t>Art. 3º</w:t>
      </w:r>
      <w:r w:rsidRPr="00C05732">
        <w:rPr>
          <w:bCs/>
        </w:rPr>
        <w:t xml:space="preserve"> </w:t>
      </w:r>
      <w:r w:rsidRPr="00C05732">
        <w:t xml:space="preserve">Esta Resolução entra em vigor na data de sua publicação. </w:t>
      </w:r>
    </w:p>
    <w:p w14:paraId="4D7059BD" w14:textId="77777777" w:rsidR="00994EAD" w:rsidRPr="00287B88" w:rsidRDefault="00994EAD" w:rsidP="00994EAD">
      <w:pPr>
        <w:pStyle w:val="Default"/>
        <w:tabs>
          <w:tab w:val="left" w:pos="1418"/>
        </w:tabs>
        <w:ind w:firstLine="1701"/>
        <w:jc w:val="both"/>
        <w:rPr>
          <w:color w:val="FF0000"/>
        </w:rPr>
      </w:pPr>
    </w:p>
    <w:p w14:paraId="6A2F8984" w14:textId="77777777" w:rsidR="00994EAD" w:rsidRPr="00287B88" w:rsidRDefault="00994EAD" w:rsidP="00994EAD">
      <w:pPr>
        <w:pStyle w:val="Default"/>
        <w:tabs>
          <w:tab w:val="left" w:pos="1418"/>
        </w:tabs>
        <w:ind w:firstLine="1701"/>
        <w:jc w:val="both"/>
        <w:rPr>
          <w:color w:val="auto"/>
        </w:rPr>
      </w:pPr>
    </w:p>
    <w:p w14:paraId="3CBB6F56" w14:textId="77777777" w:rsidR="00994EAD" w:rsidRPr="00287B88" w:rsidRDefault="00994EAD" w:rsidP="00994EAD">
      <w:pPr>
        <w:pStyle w:val="Default"/>
        <w:tabs>
          <w:tab w:val="left" w:pos="1418"/>
        </w:tabs>
        <w:jc w:val="center"/>
        <w:rPr>
          <w:color w:val="auto"/>
        </w:rPr>
      </w:pPr>
      <w:r w:rsidRPr="00287B88">
        <w:rPr>
          <w:color w:val="auto"/>
        </w:rPr>
        <w:t>Curitiba, 28 de abril de 2016.</w:t>
      </w:r>
    </w:p>
    <w:p w14:paraId="7DAAFCAC" w14:textId="77777777" w:rsidR="00994EAD" w:rsidRPr="00F26864" w:rsidRDefault="00994EAD" w:rsidP="00994EAD">
      <w:pPr>
        <w:spacing w:before="360"/>
        <w:jc w:val="center"/>
        <w:rPr>
          <w:rFonts w:ascii="Arial" w:eastAsia="Calibri" w:hAnsi="Arial" w:cs="Arial"/>
          <w:b/>
          <w:color w:val="808080"/>
          <w:szCs w:val="24"/>
        </w:rPr>
      </w:pPr>
      <w:r w:rsidRPr="00F26864">
        <w:rPr>
          <w:rFonts w:ascii="Arial" w:eastAsia="Calibri" w:hAnsi="Arial" w:cs="Arial"/>
          <w:b/>
          <w:color w:val="808080"/>
          <w:szCs w:val="24"/>
        </w:rPr>
        <w:t>- assinatura digital -</w:t>
      </w:r>
    </w:p>
    <w:p w14:paraId="23AC48CC" w14:textId="77777777" w:rsidR="00994EAD" w:rsidRPr="00DC575A" w:rsidRDefault="00994EAD" w:rsidP="00994EAD">
      <w:pPr>
        <w:jc w:val="center"/>
        <w:rPr>
          <w:rFonts w:ascii="Arial" w:eastAsia="Calibri" w:hAnsi="Arial" w:cs="Arial"/>
          <w:b/>
          <w:szCs w:val="24"/>
        </w:rPr>
      </w:pPr>
      <w:r w:rsidRPr="00DC575A">
        <w:rPr>
          <w:rFonts w:ascii="Arial" w:eastAsia="Calibri" w:hAnsi="Arial" w:cs="Arial"/>
          <w:b/>
          <w:szCs w:val="24"/>
        </w:rPr>
        <w:t>Conselheiro IVAN LELIS BONILHA</w:t>
      </w:r>
    </w:p>
    <w:p w14:paraId="23718CC2" w14:textId="77777777" w:rsidR="00994EAD" w:rsidRPr="00287B88" w:rsidRDefault="00994EAD" w:rsidP="00994EAD">
      <w:pPr>
        <w:jc w:val="center"/>
        <w:rPr>
          <w:rFonts w:ascii="Arial" w:hAnsi="Arial" w:cs="Arial"/>
          <w:szCs w:val="24"/>
        </w:rPr>
      </w:pPr>
      <w:r>
        <w:rPr>
          <w:rFonts w:ascii="Arial" w:eastAsia="Calibri" w:hAnsi="Arial" w:cs="Arial"/>
          <w:szCs w:val="24"/>
        </w:rPr>
        <w:t>Presidente</w:t>
      </w:r>
    </w:p>
    <w:p w14:paraId="2FB1733D" w14:textId="77777777" w:rsidR="00620093" w:rsidRDefault="00620093"/>
    <w:sectPr w:rsidR="00620093" w:rsidSect="00C05732">
      <w:headerReference w:type="default" r:id="rId8"/>
      <w:footnotePr>
        <w:numFmt w:val="chicago"/>
      </w:footnotePr>
      <w:pgSz w:w="11907" w:h="16840" w:code="9"/>
      <w:pgMar w:top="1418" w:right="1701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E6023" w14:textId="77777777" w:rsidR="00F05D9A" w:rsidRDefault="00F05D9A" w:rsidP="00525696">
      <w:r>
        <w:separator/>
      </w:r>
    </w:p>
  </w:endnote>
  <w:endnote w:type="continuationSeparator" w:id="0">
    <w:p w14:paraId="7317DA2E" w14:textId="77777777" w:rsidR="00F05D9A" w:rsidRDefault="00F05D9A" w:rsidP="0052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C86D6" w14:textId="77777777" w:rsidR="00F05D9A" w:rsidRDefault="00F05D9A" w:rsidP="00525696">
      <w:r>
        <w:separator/>
      </w:r>
    </w:p>
  </w:footnote>
  <w:footnote w:type="continuationSeparator" w:id="0">
    <w:p w14:paraId="1FC62464" w14:textId="77777777" w:rsidR="00F05D9A" w:rsidRDefault="00F05D9A" w:rsidP="00525696">
      <w:r>
        <w:continuationSeparator/>
      </w:r>
    </w:p>
  </w:footnote>
  <w:footnote w:id="1">
    <w:p w14:paraId="3B7F8992" w14:textId="77777777" w:rsidR="004B1EED" w:rsidRPr="008004CE" w:rsidRDefault="00BD0EE5" w:rsidP="004B1EED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4B1EED" w:rsidRPr="008004CE">
        <w:rPr>
          <w:rFonts w:ascii="Arial" w:hAnsi="Arial" w:cs="Arial"/>
          <w:b/>
        </w:rPr>
        <w:t>Notas da Biblioteca:</w:t>
      </w:r>
    </w:p>
    <w:p w14:paraId="26CD8832" w14:textId="77777777" w:rsidR="004B1EED" w:rsidRPr="002A46E3" w:rsidRDefault="004B1EED" w:rsidP="002A46E3">
      <w:pPr>
        <w:pStyle w:val="Textodenotaderodap"/>
        <w:numPr>
          <w:ilvl w:val="0"/>
          <w:numId w:val="3"/>
        </w:numPr>
        <w:autoSpaceDE/>
        <w:autoSpaceDN/>
        <w:ind w:left="426" w:hanging="284"/>
        <w:jc w:val="both"/>
        <w:rPr>
          <w:rFonts w:ascii="Arial" w:hAnsi="Arial" w:cs="Arial"/>
        </w:rPr>
      </w:pPr>
      <w:r w:rsidRPr="002A46E3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2A46E3">
          <w:rPr>
            <w:rStyle w:val="Hyperlink"/>
            <w:rFonts w:ascii="Arial" w:hAnsi="Arial" w:cs="Arial"/>
          </w:rPr>
          <w:t>Diário Eletrônico do Tribunal de Contas do Estado do Paraná, Curitiba, PR, n. 1359, 16 maio 2016, p. 94</w:t>
        </w:r>
      </w:hyperlink>
      <w:r w:rsidRPr="002A46E3">
        <w:rPr>
          <w:rFonts w:ascii="Arial" w:hAnsi="Arial" w:cs="Arial"/>
        </w:rPr>
        <w:t>.</w:t>
      </w:r>
    </w:p>
    <w:p w14:paraId="5C52744A" w14:textId="77777777" w:rsidR="002A46E3" w:rsidRPr="002A46E3" w:rsidRDefault="002A46E3" w:rsidP="002A46E3">
      <w:pPr>
        <w:pStyle w:val="Textodenotaderodap"/>
        <w:numPr>
          <w:ilvl w:val="0"/>
          <w:numId w:val="3"/>
        </w:numPr>
        <w:autoSpaceDE/>
        <w:autoSpaceDN/>
        <w:ind w:left="426" w:hanging="284"/>
        <w:jc w:val="both"/>
        <w:rPr>
          <w:rFonts w:ascii="Arial" w:hAnsi="Arial" w:cs="Arial"/>
          <w:color w:val="545454"/>
        </w:rPr>
      </w:pPr>
      <w:r w:rsidRPr="002A46E3">
        <w:rPr>
          <w:rFonts w:ascii="Arial" w:hAnsi="Arial" w:cs="Arial"/>
          <w:b/>
          <w:bCs/>
        </w:rPr>
        <w:t>Altera</w:t>
      </w:r>
      <w:r w:rsidRPr="002A46E3">
        <w:rPr>
          <w:rFonts w:ascii="Arial" w:hAnsi="Arial" w:cs="Arial"/>
        </w:rPr>
        <w:t xml:space="preserve">: </w:t>
      </w:r>
      <w:hyperlink r:id="rId2" w:history="1">
        <w:r w:rsidRPr="002A46E3">
          <w:rPr>
            <w:rStyle w:val="Hyperlink"/>
            <w:rFonts w:ascii="Arial" w:hAnsi="Arial" w:cs="Arial"/>
          </w:rPr>
          <w:t>Resolução n. 1, de 24 de janeiro de 2006 - Regimento Interno</w:t>
        </w:r>
      </w:hyperlink>
      <w:r w:rsidRPr="002A46E3">
        <w:rPr>
          <w:rStyle w:val="Hyperlink"/>
          <w:rFonts w:ascii="Arial" w:hAnsi="Arial" w:cs="Arial"/>
        </w:rPr>
        <w:t xml:space="preserve"> (e alterações posteriores).</w:t>
      </w:r>
    </w:p>
    <w:p w14:paraId="62442F18" w14:textId="11C242CF" w:rsidR="002A46E3" w:rsidRPr="002A46E3" w:rsidRDefault="002A46E3" w:rsidP="002A46E3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84"/>
        <w:rPr>
          <w:rFonts w:ascii="Arial" w:hAnsi="Arial" w:cs="Arial"/>
          <w:i/>
          <w:iCs/>
          <w:sz w:val="20"/>
          <w:szCs w:val="20"/>
        </w:rPr>
      </w:pPr>
      <w:r w:rsidRPr="002A46E3">
        <w:rPr>
          <w:rStyle w:val="Forte"/>
          <w:rFonts w:ascii="Arial" w:hAnsi="Arial" w:cs="Arial"/>
          <w:sz w:val="20"/>
          <w:szCs w:val="20"/>
        </w:rPr>
        <w:t xml:space="preserve">Ver </w:t>
      </w:r>
      <w:hyperlink r:id="rId3" w:history="1">
        <w:r w:rsidRPr="002A46E3">
          <w:rPr>
            <w:rStyle w:val="Hyperlink"/>
            <w:rFonts w:ascii="Arial" w:hAnsi="Arial" w:cs="Arial"/>
            <w:sz w:val="20"/>
            <w:szCs w:val="20"/>
          </w:rPr>
          <w:t>alterações posteriores</w:t>
        </w:r>
      </w:hyperlink>
      <w:r w:rsidRPr="002A46E3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6C03EA2C" w14:textId="6C5DF4CD" w:rsidR="00BD0EE5" w:rsidRPr="002A46E3" w:rsidRDefault="002A46E3" w:rsidP="002A46E3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color w:val="0000FF"/>
          <w:sz w:val="18"/>
          <w:szCs w:val="18"/>
        </w:rPr>
      </w:pPr>
      <w:r w:rsidRPr="002A46E3">
        <w:rPr>
          <w:rFonts w:ascii="Arial" w:hAnsi="Arial" w:cs="Arial"/>
          <w:b/>
          <w:sz w:val="20"/>
          <w:szCs w:val="20"/>
        </w:rPr>
        <w:t xml:space="preserve">Ver também: </w:t>
      </w:r>
      <w:hyperlink r:id="rId4" w:history="1">
        <w:r w:rsidRPr="002A46E3">
          <w:rPr>
            <w:rStyle w:val="Hyperlink"/>
            <w:rFonts w:ascii="Arial" w:hAnsi="Arial" w:cs="Arial"/>
            <w:sz w:val="20"/>
            <w:szCs w:val="20"/>
          </w:rPr>
          <w:t>Lei Complementar Estadual  n. 194, de 13 de abril de 2016</w:t>
        </w:r>
      </w:hyperlink>
      <w:r w:rsidRPr="002A46E3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682A" w14:textId="4C21B368" w:rsidR="004969DF" w:rsidRDefault="00994EAD" w:rsidP="00C05732">
    <w:pPr>
      <w:tabs>
        <w:tab w:val="center" w:pos="4252"/>
        <w:tab w:val="right" w:pos="8504"/>
      </w:tabs>
      <w:autoSpaceDE/>
      <w:autoSpaceDN/>
      <w:spacing w:before="480" w:after="120"/>
      <w:ind w:firstLine="142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31AF5D" wp14:editId="51809003">
          <wp:simplePos x="0" y="0"/>
          <wp:positionH relativeFrom="column">
            <wp:posOffset>6350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5DD1"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0AE211D7" w14:textId="77777777" w:rsidR="00525696" w:rsidRPr="006533E9" w:rsidRDefault="00525696" w:rsidP="00525696">
    <w:pPr>
      <w:tabs>
        <w:tab w:val="center" w:pos="4252"/>
        <w:tab w:val="right" w:pos="8504"/>
      </w:tabs>
      <w:autoSpaceDE/>
      <w:autoSpaceDN/>
      <w:spacing w:before="120" w:after="120"/>
      <w:ind w:firstLine="709"/>
      <w:jc w:val="center"/>
      <w:rPr>
        <w:rFonts w:ascii="Arial" w:hAnsi="Arial" w:cs="Arial"/>
        <w:b/>
        <w:sz w:val="30"/>
        <w:szCs w:val="30"/>
      </w:rPr>
    </w:pPr>
  </w:p>
  <w:p w14:paraId="5BA5E3E1" w14:textId="77777777" w:rsidR="004969DF" w:rsidRPr="006F3FE4" w:rsidRDefault="00000000" w:rsidP="004969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73F67"/>
    <w:multiLevelType w:val="hybridMultilevel"/>
    <w:tmpl w:val="BBB824DC"/>
    <w:lvl w:ilvl="0" w:tplc="62EC6910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4065B"/>
    <w:multiLevelType w:val="hybridMultilevel"/>
    <w:tmpl w:val="8BA226B2"/>
    <w:lvl w:ilvl="0" w:tplc="C08094DE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D5842"/>
    <w:multiLevelType w:val="hybridMultilevel"/>
    <w:tmpl w:val="94B8E9F8"/>
    <w:lvl w:ilvl="0" w:tplc="8910AB56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502299">
    <w:abstractNumId w:val="0"/>
  </w:num>
  <w:num w:numId="2" w16cid:durableId="1616787678">
    <w:abstractNumId w:val="2"/>
  </w:num>
  <w:num w:numId="3" w16cid:durableId="2079160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96"/>
    <w:rsid w:val="000762AB"/>
    <w:rsid w:val="00222307"/>
    <w:rsid w:val="002A46E3"/>
    <w:rsid w:val="003B6DD8"/>
    <w:rsid w:val="004B1EED"/>
    <w:rsid w:val="00525696"/>
    <w:rsid w:val="00620093"/>
    <w:rsid w:val="006E55CB"/>
    <w:rsid w:val="00945DD1"/>
    <w:rsid w:val="00994EAD"/>
    <w:rsid w:val="00BD0EE5"/>
    <w:rsid w:val="00BF12DF"/>
    <w:rsid w:val="00C05732"/>
    <w:rsid w:val="00C273FB"/>
    <w:rsid w:val="00E36096"/>
    <w:rsid w:val="00F0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42EC5"/>
  <w15:chartTrackingRefBased/>
  <w15:docId w15:val="{61B38CDA-752B-4DE1-8984-0364E505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E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4E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94EA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4E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4EA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994E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BD0EE5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BD0E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D0EE5"/>
    <w:rPr>
      <w:vertAlign w:val="superscript"/>
    </w:rPr>
  </w:style>
  <w:style w:type="character" w:styleId="Hyperlink">
    <w:name w:val="Hyperlink"/>
    <w:uiPriority w:val="99"/>
    <w:rsid w:val="004B1EED"/>
    <w:rPr>
      <w:color w:val="0000FF"/>
      <w:u w:val="single"/>
    </w:rPr>
  </w:style>
  <w:style w:type="paragraph" w:styleId="NormalWeb">
    <w:name w:val="Normal (Web)"/>
    <w:basedOn w:val="Normal"/>
    <w:uiPriority w:val="99"/>
    <w:rsid w:val="004B1EED"/>
    <w:pPr>
      <w:autoSpaceDE/>
      <w:autoSpaceDN/>
      <w:spacing w:before="100" w:beforeAutospacing="1" w:after="100" w:afterAutospacing="1"/>
    </w:pPr>
    <w:rPr>
      <w:szCs w:val="24"/>
    </w:rPr>
  </w:style>
  <w:style w:type="character" w:styleId="Forte">
    <w:name w:val="Strong"/>
    <w:uiPriority w:val="22"/>
    <w:qFormat/>
    <w:rsid w:val="002A4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56-de-28-de-abril-de-2016/283934/area/249" TargetMode="External"/><Relationship Id="rId2" Type="http://schemas.openxmlformats.org/officeDocument/2006/relationships/hyperlink" Target="https://www1.tce.pr.gov.br/conteudo/resolucao-n-1-de-24-de-janeiro-de-2006-regimento-interno/1403/area/10" TargetMode="External"/><Relationship Id="rId1" Type="http://schemas.openxmlformats.org/officeDocument/2006/relationships/hyperlink" Target="http://www1.tce.pr.gov.br/multimidia/2016/5/pdf/00292568.pdf" TargetMode="External"/><Relationship Id="rId4" Type="http://schemas.openxmlformats.org/officeDocument/2006/relationships/hyperlink" Target="http://www.legislacao.pr.gov.br/legislacao/pesquisarAto.do?action=exibir&amp;codAto=155320&amp;indice=1&amp;totalRegistros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8C88F-7A98-4395-9AEA-599042AC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732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Fonseca</cp:lastModifiedBy>
  <cp:revision>11</cp:revision>
  <dcterms:created xsi:type="dcterms:W3CDTF">2022-07-05T21:07:00Z</dcterms:created>
  <dcterms:modified xsi:type="dcterms:W3CDTF">2022-07-15T17:37:00Z</dcterms:modified>
</cp:coreProperties>
</file>