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B779" w14:textId="5DCFFF2E" w:rsidR="00DE4380" w:rsidRDefault="00DE4380" w:rsidP="00367539">
      <w:pPr>
        <w:pStyle w:val="Texto"/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RESOLUÇÃO</w:t>
      </w:r>
      <w:r w:rsidR="00367539">
        <w:rPr>
          <w:rFonts w:cs="Arial"/>
          <w:b/>
          <w:bCs/>
          <w:sz w:val="28"/>
          <w:szCs w:val="28"/>
        </w:rPr>
        <w:t xml:space="preserve"> Nº 76/2020</w:t>
      </w:r>
      <w:r w:rsidR="00AA1326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3713900C" w14:textId="77777777" w:rsidR="00DE4380" w:rsidRPr="00367539" w:rsidRDefault="00DE4380" w:rsidP="00367539">
      <w:pPr>
        <w:pStyle w:val="Ementa"/>
        <w:spacing w:before="360" w:after="360"/>
        <w:ind w:left="4536"/>
        <w:rPr>
          <w:i/>
          <w:szCs w:val="22"/>
        </w:rPr>
      </w:pPr>
      <w:r w:rsidRPr="00367539">
        <w:rPr>
          <w:i/>
          <w:szCs w:val="22"/>
        </w:rPr>
        <w:t>Dispõe sobre a adoção das Normas Brasileiras de Auditoria do Setor Público (</w:t>
      </w:r>
      <w:proofErr w:type="spellStart"/>
      <w:r w:rsidRPr="00367539">
        <w:rPr>
          <w:i/>
          <w:szCs w:val="22"/>
        </w:rPr>
        <w:t>NBASPs</w:t>
      </w:r>
      <w:proofErr w:type="spellEnd"/>
      <w:r w:rsidRPr="00367539">
        <w:rPr>
          <w:i/>
          <w:szCs w:val="22"/>
        </w:rPr>
        <w:t>)</w:t>
      </w:r>
      <w:r w:rsidR="00367539">
        <w:rPr>
          <w:i/>
          <w:szCs w:val="22"/>
        </w:rPr>
        <w:t>, emitidas pelo Instituto Rui Barbosa – IRB,</w:t>
      </w:r>
      <w:r w:rsidRPr="00367539">
        <w:rPr>
          <w:i/>
          <w:szCs w:val="22"/>
        </w:rPr>
        <w:t xml:space="preserve"> no âmbito </w:t>
      </w:r>
      <w:r w:rsidR="003D6BEC">
        <w:rPr>
          <w:i/>
          <w:szCs w:val="22"/>
        </w:rPr>
        <w:t>das atividades de fiscalização do Tribunal de Contas d</w:t>
      </w:r>
      <w:r w:rsidRPr="00367539">
        <w:rPr>
          <w:i/>
          <w:szCs w:val="22"/>
        </w:rPr>
        <w:t>e Contas do Estado do Paraná</w:t>
      </w:r>
      <w:r w:rsidR="00367539">
        <w:rPr>
          <w:i/>
          <w:szCs w:val="22"/>
        </w:rPr>
        <w:t>,</w:t>
      </w:r>
      <w:r w:rsidRPr="00367539">
        <w:rPr>
          <w:i/>
          <w:szCs w:val="22"/>
        </w:rPr>
        <w:t xml:space="preserve"> e dá outras providências.</w:t>
      </w:r>
    </w:p>
    <w:p w14:paraId="0489F634" w14:textId="233E6BE4" w:rsidR="009A27C6" w:rsidRPr="00AF3FCC" w:rsidRDefault="00DE4380" w:rsidP="00DE4380">
      <w:pPr>
        <w:pStyle w:val="Texto"/>
        <w:spacing w:before="0"/>
        <w:ind w:firstLine="1134"/>
        <w:rPr>
          <w:sz w:val="24"/>
        </w:rPr>
      </w:pPr>
      <w:r w:rsidRPr="003E6777">
        <w:rPr>
          <w:bCs/>
          <w:sz w:val="24"/>
        </w:rPr>
        <w:t xml:space="preserve">O </w:t>
      </w:r>
      <w:r w:rsidRPr="00536D49">
        <w:rPr>
          <w:b/>
          <w:sz w:val="24"/>
        </w:rPr>
        <w:t>TRIBUNAL DE CONTAS DO ESTADO DO PARANÁ</w:t>
      </w:r>
      <w:r w:rsidRPr="00536D49">
        <w:rPr>
          <w:sz w:val="24"/>
        </w:rPr>
        <w:t xml:space="preserve">, </w:t>
      </w:r>
      <w:r w:rsidR="002A4098" w:rsidRPr="002A4098">
        <w:rPr>
          <w:bCs/>
          <w:sz w:val="24"/>
        </w:rPr>
        <w:t xml:space="preserve">no uso das atribuições institucionais estabelecidas na Constituição do Estado, e com base nos </w:t>
      </w:r>
      <w:proofErr w:type="spellStart"/>
      <w:r w:rsidR="002A4098" w:rsidRPr="002A4098">
        <w:rPr>
          <w:bCs/>
          <w:sz w:val="24"/>
        </w:rPr>
        <w:t>arts</w:t>
      </w:r>
      <w:proofErr w:type="spellEnd"/>
      <w:r w:rsidR="002A4098" w:rsidRPr="002A4098">
        <w:rPr>
          <w:bCs/>
          <w:sz w:val="24"/>
        </w:rPr>
        <w:t xml:space="preserve">. 2º, I, e 116, XII, e parágrafo único, da Lei Complementar nº 113, de 15 de dezembro de 2005, e no art. 5º, XIII, c/c os </w:t>
      </w:r>
      <w:proofErr w:type="spellStart"/>
      <w:r w:rsidR="002A4098" w:rsidRPr="002A4098">
        <w:rPr>
          <w:bCs/>
          <w:sz w:val="24"/>
        </w:rPr>
        <w:t>arts</w:t>
      </w:r>
      <w:proofErr w:type="spellEnd"/>
      <w:r w:rsidR="002A4098" w:rsidRPr="002A4098">
        <w:rPr>
          <w:bCs/>
          <w:sz w:val="24"/>
        </w:rPr>
        <w:t xml:space="preserve">. 188 a 191, do Regimento Interno, e considerando o </w:t>
      </w:r>
      <w:hyperlink r:id="rId7" w:history="1">
        <w:r w:rsidR="002A4098" w:rsidRPr="004827B3">
          <w:rPr>
            <w:rStyle w:val="Hyperlink"/>
            <w:bCs/>
            <w:sz w:val="24"/>
          </w:rPr>
          <w:t xml:space="preserve">Acórdão nº </w:t>
        </w:r>
        <w:r w:rsidR="00367539" w:rsidRPr="004827B3">
          <w:rPr>
            <w:rStyle w:val="Hyperlink"/>
            <w:bCs/>
            <w:sz w:val="24"/>
          </w:rPr>
          <w:t>196/2020</w:t>
        </w:r>
        <w:r w:rsidR="002A4098" w:rsidRPr="004827B3">
          <w:rPr>
            <w:rStyle w:val="Hyperlink"/>
            <w:bCs/>
            <w:sz w:val="24"/>
          </w:rPr>
          <w:t xml:space="preserve"> - Tribunal Pleno</w:t>
        </w:r>
      </w:hyperlink>
      <w:r w:rsidR="002A4098" w:rsidRPr="002A4098">
        <w:rPr>
          <w:bCs/>
          <w:sz w:val="24"/>
        </w:rPr>
        <w:t xml:space="preserve">, Processo nº </w:t>
      </w:r>
      <w:r w:rsidR="002A4098">
        <w:rPr>
          <w:bCs/>
          <w:sz w:val="24"/>
        </w:rPr>
        <w:t>566956/19,</w:t>
      </w:r>
    </w:p>
    <w:p w14:paraId="3BB6D433" w14:textId="77777777" w:rsidR="00DE4380" w:rsidRDefault="00DE4380" w:rsidP="00DE4380">
      <w:pPr>
        <w:pStyle w:val="Texto"/>
        <w:spacing w:before="360" w:after="240"/>
        <w:ind w:firstLine="1134"/>
        <w:jc w:val="left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  <w:r w:rsidR="00367539">
        <w:rPr>
          <w:b/>
          <w:bCs/>
          <w:sz w:val="24"/>
        </w:rPr>
        <w:t>:</w:t>
      </w:r>
    </w:p>
    <w:p w14:paraId="6FF781EA" w14:textId="77777777" w:rsidR="00DE4380" w:rsidRDefault="00DE4380" w:rsidP="00DE4380">
      <w:pPr>
        <w:pStyle w:val="ArtigosOrdinais"/>
        <w:ind w:firstLine="1134"/>
        <w:rPr>
          <w:sz w:val="24"/>
        </w:rPr>
      </w:pPr>
      <w:r w:rsidRPr="00536D49">
        <w:rPr>
          <w:b/>
          <w:sz w:val="24"/>
        </w:rPr>
        <w:t xml:space="preserve">Art. 1º </w:t>
      </w:r>
      <w:r w:rsidRPr="008358DD">
        <w:rPr>
          <w:sz w:val="24"/>
        </w:rPr>
        <w:t>Ficam</w:t>
      </w:r>
      <w:r>
        <w:rPr>
          <w:b/>
          <w:sz w:val="24"/>
        </w:rPr>
        <w:t xml:space="preserve"> </w:t>
      </w:r>
      <w:r w:rsidRPr="008358DD">
        <w:rPr>
          <w:sz w:val="24"/>
        </w:rPr>
        <w:t>adotad</w:t>
      </w:r>
      <w:r>
        <w:rPr>
          <w:sz w:val="24"/>
        </w:rPr>
        <w:t>as as Normas Brasileiras de Auditoria do Setor Público (</w:t>
      </w:r>
      <w:proofErr w:type="spellStart"/>
      <w:r>
        <w:rPr>
          <w:sz w:val="24"/>
        </w:rPr>
        <w:t>NBASPs</w:t>
      </w:r>
      <w:proofErr w:type="spellEnd"/>
      <w:r>
        <w:rPr>
          <w:sz w:val="24"/>
        </w:rPr>
        <w:t>), emitidas pelo Instituto Rui Barbosa – IRB, no âmbito das atividades de fiscalização do Tribunal de Contas do Estado do Paraná.</w:t>
      </w:r>
    </w:p>
    <w:p w14:paraId="053FE29A" w14:textId="77777777" w:rsidR="00DE4380" w:rsidRDefault="00DE4380" w:rsidP="00DE4380">
      <w:pPr>
        <w:pStyle w:val="ArtigosOrdinais"/>
        <w:ind w:firstLine="1134"/>
        <w:rPr>
          <w:sz w:val="24"/>
        </w:rPr>
      </w:pPr>
      <w:r>
        <w:rPr>
          <w:sz w:val="24"/>
        </w:rPr>
        <w:t>§ 1º Compreendem-se como atividades de fiscalização</w:t>
      </w:r>
      <w:r w:rsidR="00367539">
        <w:rPr>
          <w:sz w:val="24"/>
        </w:rPr>
        <w:t>,</w:t>
      </w:r>
      <w:r>
        <w:rPr>
          <w:sz w:val="24"/>
        </w:rPr>
        <w:t xml:space="preserve"> para os fins do </w:t>
      </w:r>
      <w:r w:rsidRPr="00367539">
        <w:rPr>
          <w:b/>
          <w:bCs w:val="0"/>
          <w:i/>
          <w:sz w:val="24"/>
        </w:rPr>
        <w:t>caput</w:t>
      </w:r>
      <w:r w:rsidR="00367539">
        <w:rPr>
          <w:i/>
          <w:sz w:val="24"/>
        </w:rPr>
        <w:t>,</w:t>
      </w:r>
      <w:r>
        <w:rPr>
          <w:sz w:val="24"/>
        </w:rPr>
        <w:t xml:space="preserve"> as relacionadas </w:t>
      </w:r>
      <w:r w:rsidR="00367539">
        <w:rPr>
          <w:sz w:val="24"/>
        </w:rPr>
        <w:t>à</w:t>
      </w:r>
      <w:r>
        <w:rPr>
          <w:sz w:val="24"/>
        </w:rPr>
        <w:t xml:space="preserve"> auditoria, inspeção, levantamento, acompanhamento ou monitoramento, nos termos do Regimentos Interno.</w:t>
      </w:r>
    </w:p>
    <w:p w14:paraId="7EE4D355" w14:textId="77777777" w:rsidR="00DE4380" w:rsidRPr="00D2353A" w:rsidRDefault="00DE4380" w:rsidP="00DE4380">
      <w:pPr>
        <w:pStyle w:val="ArtigosOrdinais"/>
        <w:ind w:firstLine="1134"/>
        <w:rPr>
          <w:sz w:val="24"/>
        </w:rPr>
      </w:pPr>
      <w:r>
        <w:rPr>
          <w:sz w:val="24"/>
        </w:rPr>
        <w:t xml:space="preserve">§ 2º Ficam desde já incluídas na previsão do </w:t>
      </w:r>
      <w:r w:rsidRPr="00367539">
        <w:rPr>
          <w:b/>
          <w:bCs w:val="0"/>
          <w:i/>
          <w:sz w:val="24"/>
        </w:rPr>
        <w:t>caput</w:t>
      </w:r>
      <w:r>
        <w:rPr>
          <w:sz w:val="24"/>
        </w:rPr>
        <w:t xml:space="preserve"> as </w:t>
      </w:r>
      <w:proofErr w:type="spellStart"/>
      <w:r>
        <w:rPr>
          <w:sz w:val="24"/>
        </w:rPr>
        <w:t>NBASPs</w:t>
      </w:r>
      <w:proofErr w:type="spellEnd"/>
      <w:r>
        <w:rPr>
          <w:sz w:val="24"/>
        </w:rPr>
        <w:t xml:space="preserve"> a serem futuramente emitidas pelo IRB.</w:t>
      </w:r>
    </w:p>
    <w:p w14:paraId="2B8C5639" w14:textId="77777777" w:rsidR="00DE4380" w:rsidRDefault="00DE4380" w:rsidP="00DE4380">
      <w:pPr>
        <w:pStyle w:val="ArtigosOrdinais"/>
        <w:spacing w:before="0"/>
        <w:ind w:firstLine="1134"/>
        <w:rPr>
          <w:b/>
          <w:sz w:val="24"/>
        </w:rPr>
      </w:pPr>
    </w:p>
    <w:p w14:paraId="41D48360" w14:textId="4F3F636B" w:rsidR="00DE4380" w:rsidRPr="00AF00DA" w:rsidRDefault="00DE4380" w:rsidP="00DE4380">
      <w:pPr>
        <w:pStyle w:val="ArtigosOrdinais"/>
        <w:spacing w:before="0"/>
        <w:ind w:firstLine="1134"/>
        <w:rPr>
          <w:sz w:val="24"/>
        </w:rPr>
      </w:pPr>
      <w:r w:rsidRPr="00536D49">
        <w:rPr>
          <w:b/>
          <w:sz w:val="24"/>
        </w:rPr>
        <w:t xml:space="preserve">Art. </w:t>
      </w:r>
      <w:r>
        <w:rPr>
          <w:b/>
          <w:sz w:val="24"/>
        </w:rPr>
        <w:t>2</w:t>
      </w:r>
      <w:r w:rsidRPr="00536D49">
        <w:rPr>
          <w:b/>
          <w:sz w:val="24"/>
        </w:rPr>
        <w:t>º</w:t>
      </w:r>
      <w:r>
        <w:rPr>
          <w:b/>
          <w:sz w:val="24"/>
        </w:rPr>
        <w:t xml:space="preserve"> </w:t>
      </w:r>
      <w:r w:rsidRPr="00AF00DA">
        <w:rPr>
          <w:sz w:val="24"/>
        </w:rPr>
        <w:t>Ficam revogadas</w:t>
      </w:r>
      <w:r>
        <w:rPr>
          <w:b/>
          <w:sz w:val="24"/>
        </w:rPr>
        <w:t xml:space="preserve"> </w:t>
      </w:r>
      <w:r>
        <w:rPr>
          <w:sz w:val="24"/>
        </w:rPr>
        <w:t xml:space="preserve">as Resoluções nº </w:t>
      </w:r>
      <w:hyperlink r:id="rId8" w:history="1">
        <w:r w:rsidRPr="003D5207">
          <w:rPr>
            <w:rStyle w:val="Hyperlink"/>
            <w:sz w:val="24"/>
          </w:rPr>
          <w:t>07/2006</w:t>
        </w:r>
      </w:hyperlink>
      <w:r>
        <w:rPr>
          <w:sz w:val="24"/>
        </w:rPr>
        <w:t xml:space="preserve"> e nº </w:t>
      </w:r>
      <w:hyperlink r:id="rId9" w:history="1">
        <w:r w:rsidRPr="003D5207">
          <w:rPr>
            <w:rStyle w:val="Hyperlink"/>
            <w:sz w:val="24"/>
          </w:rPr>
          <w:t>42/2013</w:t>
        </w:r>
      </w:hyperlink>
      <w:r>
        <w:rPr>
          <w:sz w:val="24"/>
        </w:rPr>
        <w:t>.</w:t>
      </w:r>
    </w:p>
    <w:p w14:paraId="10C0DC55" w14:textId="77777777" w:rsidR="00DE4380" w:rsidRDefault="00DE4380" w:rsidP="00DE4380">
      <w:pPr>
        <w:pStyle w:val="Recuodecorpodetexto3"/>
        <w:spacing w:before="120" w:after="0"/>
        <w:ind w:left="0" w:firstLine="1134"/>
        <w:jc w:val="both"/>
        <w:rPr>
          <w:rFonts w:cs="Arial"/>
          <w:color w:val="000000"/>
          <w:sz w:val="24"/>
          <w:szCs w:val="24"/>
        </w:rPr>
      </w:pPr>
      <w:r w:rsidRPr="00E11625">
        <w:rPr>
          <w:b/>
          <w:bCs/>
          <w:sz w:val="24"/>
          <w:szCs w:val="24"/>
        </w:rPr>
        <w:t>Art. 3º</w:t>
      </w:r>
      <w:r w:rsidRPr="00536D49">
        <w:rPr>
          <w:rFonts w:cs="Arial"/>
          <w:b/>
          <w:color w:val="000000"/>
          <w:sz w:val="24"/>
          <w:szCs w:val="24"/>
        </w:rPr>
        <w:t xml:space="preserve"> </w:t>
      </w:r>
      <w:r w:rsidRPr="00E11625">
        <w:rPr>
          <w:bCs/>
          <w:sz w:val="24"/>
          <w:szCs w:val="24"/>
        </w:rPr>
        <w:t>Esta Resolução entra em vigor na data de sua publicação.</w:t>
      </w:r>
    </w:p>
    <w:p w14:paraId="51D17647" w14:textId="77777777" w:rsidR="00DE4380" w:rsidRDefault="00DE4380" w:rsidP="003E677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Curitiba, </w:t>
      </w:r>
      <w:r w:rsidR="00367539">
        <w:rPr>
          <w:rFonts w:cs="Arial"/>
          <w:color w:val="000000"/>
          <w:sz w:val="24"/>
        </w:rPr>
        <w:t>11</w:t>
      </w:r>
      <w:r>
        <w:rPr>
          <w:rFonts w:cs="Arial"/>
          <w:color w:val="000000"/>
          <w:sz w:val="24"/>
        </w:rPr>
        <w:t xml:space="preserve"> de </w:t>
      </w:r>
      <w:r w:rsidR="00367539">
        <w:rPr>
          <w:rFonts w:cs="Arial"/>
          <w:color w:val="000000"/>
          <w:sz w:val="24"/>
        </w:rPr>
        <w:t>março</w:t>
      </w:r>
      <w:r>
        <w:rPr>
          <w:rFonts w:cs="Arial"/>
          <w:color w:val="000000"/>
          <w:sz w:val="24"/>
        </w:rPr>
        <w:t xml:space="preserve"> de 20</w:t>
      </w:r>
      <w:r w:rsidR="00367539">
        <w:rPr>
          <w:rFonts w:cs="Arial"/>
          <w:color w:val="000000"/>
          <w:sz w:val="24"/>
        </w:rPr>
        <w:t>20</w:t>
      </w:r>
    </w:p>
    <w:p w14:paraId="6BB373FB" w14:textId="77777777" w:rsidR="00367539" w:rsidRPr="003D6BEC" w:rsidRDefault="00367539" w:rsidP="003D6BEC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3D6BEC">
        <w:rPr>
          <w:rFonts w:ascii="Arial" w:hAnsi="Arial" w:cs="Arial"/>
          <w:color w:val="808080"/>
          <w:sz w:val="24"/>
        </w:rPr>
        <w:t>- assinatura digital -</w:t>
      </w:r>
    </w:p>
    <w:p w14:paraId="5E755D7E" w14:textId="77777777" w:rsidR="00367539" w:rsidRPr="003D6BEC" w:rsidRDefault="00367539" w:rsidP="003D6BE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536444639"/>
      <w:r w:rsidRPr="003D6BEC">
        <w:rPr>
          <w:rFonts w:ascii="Arial" w:hAnsi="Arial" w:cs="Arial"/>
          <w:sz w:val="24"/>
        </w:rPr>
        <w:t>Conselheiro</w:t>
      </w:r>
      <w:r w:rsidRPr="003D6BEC">
        <w:rPr>
          <w:rFonts w:ascii="Arial" w:hAnsi="Arial" w:cs="Arial"/>
          <w:b/>
          <w:sz w:val="24"/>
        </w:rPr>
        <w:t xml:space="preserve"> NESTOR BAPTISTA</w:t>
      </w:r>
      <w:bookmarkEnd w:id="0"/>
    </w:p>
    <w:p w14:paraId="5790879C" w14:textId="77777777" w:rsidR="00FC106F" w:rsidRPr="003D6BEC" w:rsidRDefault="00367539" w:rsidP="003D6BE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/>
        <w:jc w:val="center"/>
        <w:rPr>
          <w:rFonts w:cs="Arial"/>
        </w:rPr>
      </w:pPr>
      <w:r w:rsidRPr="003D6BEC">
        <w:rPr>
          <w:rFonts w:cs="Arial"/>
          <w:sz w:val="24"/>
          <w:szCs w:val="22"/>
        </w:rPr>
        <w:t>Presidente</w:t>
      </w:r>
    </w:p>
    <w:sectPr w:rsidR="00FC106F" w:rsidRPr="003D6BEC" w:rsidSect="00FC106F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D04D" w14:textId="77777777" w:rsidR="009E36D7" w:rsidRDefault="009E36D7" w:rsidP="00DE4380">
      <w:pPr>
        <w:spacing w:after="0" w:line="240" w:lineRule="auto"/>
      </w:pPr>
      <w:r>
        <w:separator/>
      </w:r>
    </w:p>
  </w:endnote>
  <w:endnote w:type="continuationSeparator" w:id="0">
    <w:p w14:paraId="54208470" w14:textId="77777777" w:rsidR="009E36D7" w:rsidRDefault="009E36D7" w:rsidP="00DE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89CF" w14:textId="77777777" w:rsidR="003D6BEC" w:rsidRDefault="003D6BEC" w:rsidP="00FC10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179BB9" w14:textId="77777777" w:rsidR="003D6BEC" w:rsidRDefault="003D6BEC" w:rsidP="00FC106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794A" w14:textId="77777777" w:rsidR="003D6BEC" w:rsidRDefault="003D6BEC" w:rsidP="00FC106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FD72" w14:textId="77777777" w:rsidR="009E36D7" w:rsidRDefault="009E36D7" w:rsidP="00DE4380">
      <w:pPr>
        <w:spacing w:after="0" w:line="240" w:lineRule="auto"/>
      </w:pPr>
      <w:r>
        <w:separator/>
      </w:r>
    </w:p>
  </w:footnote>
  <w:footnote w:type="continuationSeparator" w:id="0">
    <w:p w14:paraId="733D782B" w14:textId="77777777" w:rsidR="009E36D7" w:rsidRDefault="009E36D7" w:rsidP="00DE4380">
      <w:pPr>
        <w:spacing w:after="0" w:line="240" w:lineRule="auto"/>
      </w:pPr>
      <w:r>
        <w:continuationSeparator/>
      </w:r>
    </w:p>
  </w:footnote>
  <w:footnote w:id="1">
    <w:p w14:paraId="6E965793" w14:textId="77777777" w:rsidR="00AA1326" w:rsidRPr="003D5207" w:rsidRDefault="00AA1326" w:rsidP="003D5207">
      <w:pPr>
        <w:pStyle w:val="Textodenotaderodap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3D5207">
        <w:rPr>
          <w:rFonts w:ascii="Arial" w:hAnsi="Arial" w:cs="Arial"/>
          <w:b/>
          <w:sz w:val="20"/>
          <w:szCs w:val="20"/>
        </w:rPr>
        <w:t>Notas da Biblioteca:</w:t>
      </w:r>
    </w:p>
    <w:p w14:paraId="18AA8A68" w14:textId="23F36131" w:rsidR="00AA1326" w:rsidRPr="009E5198" w:rsidRDefault="00AA1326" w:rsidP="003D5207">
      <w:pPr>
        <w:pStyle w:val="Textodenotaderodap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9E5198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history="1">
        <w:r w:rsidR="004F77ED" w:rsidRPr="009E5198">
          <w:rPr>
            <w:rStyle w:val="Hyperlink"/>
            <w:rFonts w:ascii="Arial" w:hAnsi="Arial" w:cs="Arial"/>
            <w:sz w:val="20"/>
            <w:szCs w:val="20"/>
          </w:rPr>
          <w:t>Diário Eletrônico do Tribunal de Contas do Estado do Paraná, Curitiba, PR, n. 2266, 25 mar. 2020, p. 39-40</w:t>
        </w:r>
      </w:hyperlink>
      <w:r w:rsidR="004F77ED" w:rsidRPr="009E5198">
        <w:rPr>
          <w:rFonts w:ascii="Arial" w:hAnsi="Arial" w:cs="Arial"/>
          <w:sz w:val="20"/>
          <w:szCs w:val="20"/>
        </w:rPr>
        <w:t>.</w:t>
      </w:r>
    </w:p>
    <w:p w14:paraId="618C6FC0" w14:textId="07316E77" w:rsidR="00AA1326" w:rsidRPr="009E5198" w:rsidRDefault="00AA1326" w:rsidP="003D5207">
      <w:pPr>
        <w:pStyle w:val="Textodenotaderodap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9E5198">
        <w:rPr>
          <w:rFonts w:ascii="Arial" w:hAnsi="Arial" w:cs="Arial"/>
          <w:sz w:val="20"/>
          <w:szCs w:val="20"/>
        </w:rPr>
        <w:t xml:space="preserve">Origem: Processo n. </w:t>
      </w:r>
      <w:r w:rsidR="00C7310D" w:rsidRPr="009E5198">
        <w:rPr>
          <w:rFonts w:ascii="Arial" w:hAnsi="Arial" w:cs="Arial"/>
          <w:color w:val="000000"/>
          <w:sz w:val="20"/>
          <w:szCs w:val="20"/>
        </w:rPr>
        <w:t>56695-6</w:t>
      </w:r>
      <w:r w:rsidRPr="009E5198">
        <w:rPr>
          <w:rFonts w:ascii="Arial" w:hAnsi="Arial" w:cs="Arial"/>
          <w:color w:val="000000"/>
          <w:sz w:val="20"/>
          <w:szCs w:val="20"/>
        </w:rPr>
        <w:t xml:space="preserve">/2019 </w:t>
      </w:r>
      <w:r w:rsidRPr="009E5198">
        <w:rPr>
          <w:rFonts w:ascii="Arial" w:hAnsi="Arial" w:cs="Arial"/>
          <w:sz w:val="20"/>
          <w:szCs w:val="20"/>
        </w:rPr>
        <w:t xml:space="preserve">– </w:t>
      </w:r>
      <w:hyperlink r:id="rId2" w:history="1">
        <w:r w:rsidR="009E5198" w:rsidRPr="009E5198">
          <w:rPr>
            <w:rStyle w:val="Hyperlink"/>
            <w:rFonts w:ascii="Arial" w:hAnsi="Arial" w:cs="Arial"/>
            <w:sz w:val="20"/>
            <w:szCs w:val="20"/>
          </w:rPr>
          <w:t>Acórdão n.</w:t>
        </w:r>
        <w:r w:rsidR="009E5198" w:rsidRPr="009E5198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196/2020 </w:t>
        </w:r>
        <w:r w:rsidR="009E5198" w:rsidRPr="009E5198">
          <w:rPr>
            <w:rStyle w:val="Hyperlink"/>
            <w:rFonts w:ascii="Arial" w:hAnsi="Arial" w:cs="Arial"/>
            <w:sz w:val="20"/>
            <w:szCs w:val="20"/>
          </w:rPr>
          <w:t>- Tribunal Pleno</w:t>
        </w:r>
      </w:hyperlink>
      <w:r w:rsidR="009E5198" w:rsidRPr="009E5198">
        <w:rPr>
          <w:rFonts w:ascii="Arial" w:hAnsi="Arial" w:cs="Arial"/>
          <w:sz w:val="20"/>
          <w:szCs w:val="20"/>
        </w:rPr>
        <w:t>.</w:t>
      </w:r>
    </w:p>
    <w:p w14:paraId="0F7D77CF" w14:textId="7B3A2DE4" w:rsidR="00AA1326" w:rsidRPr="009E5198" w:rsidRDefault="00CC682F" w:rsidP="003D5207">
      <w:pPr>
        <w:pStyle w:val="Textodenotaderodap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9E5198">
        <w:rPr>
          <w:rFonts w:ascii="Arial" w:hAnsi="Arial" w:cs="Arial"/>
          <w:b/>
          <w:bCs/>
          <w:sz w:val="20"/>
          <w:szCs w:val="20"/>
        </w:rPr>
        <w:t>Revoga:</w:t>
      </w:r>
      <w:r w:rsidR="00AA1326" w:rsidRPr="009E5198">
        <w:rPr>
          <w:rFonts w:ascii="Arial" w:hAnsi="Arial" w:cs="Arial"/>
          <w:sz w:val="20"/>
          <w:szCs w:val="20"/>
        </w:rPr>
        <w:t xml:space="preserve"> </w:t>
      </w:r>
    </w:p>
    <w:p w14:paraId="56AA4618" w14:textId="77777777" w:rsidR="003D5207" w:rsidRPr="009E5198" w:rsidRDefault="009E5198" w:rsidP="003D5207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hyperlink r:id="rId3" w:history="1">
        <w:r w:rsidR="003D5207" w:rsidRPr="009E5198">
          <w:rPr>
            <w:rStyle w:val="Hyperlink"/>
            <w:rFonts w:ascii="Arial" w:hAnsi="Arial" w:cs="Arial"/>
            <w:sz w:val="20"/>
            <w:szCs w:val="20"/>
          </w:rPr>
          <w:t>Resolução n. 7, de 21 de dezembro de 2006</w:t>
        </w:r>
      </w:hyperlink>
      <w:r w:rsidR="003D5207" w:rsidRPr="009E5198">
        <w:rPr>
          <w:rFonts w:ascii="Arial" w:hAnsi="Arial" w:cs="Arial"/>
          <w:sz w:val="20"/>
          <w:szCs w:val="20"/>
        </w:rPr>
        <w:t>.</w:t>
      </w:r>
    </w:p>
    <w:p w14:paraId="114D1EFB" w14:textId="5D4FE86C" w:rsidR="003D5207" w:rsidRDefault="009E5198" w:rsidP="003D5207">
      <w:pPr>
        <w:pStyle w:val="Textodenotaderodap"/>
        <w:ind w:firstLine="426"/>
        <w:jc w:val="both"/>
      </w:pPr>
      <w:hyperlink r:id="rId4" w:history="1">
        <w:r w:rsidR="003D5207" w:rsidRPr="009E5198">
          <w:rPr>
            <w:rStyle w:val="Hyperlink"/>
            <w:rFonts w:ascii="Arial" w:hAnsi="Arial" w:cs="Arial"/>
            <w:sz w:val="20"/>
            <w:szCs w:val="20"/>
          </w:rPr>
          <w:t>Resolução n. 42, de 19 de dezembro de 2013</w:t>
        </w:r>
      </w:hyperlink>
      <w:r w:rsidR="003D5207" w:rsidRPr="009E5198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4059" w14:textId="77777777" w:rsidR="003D6BEC" w:rsidRPr="00C404BE" w:rsidRDefault="009E5198" w:rsidP="00367539">
    <w:pPr>
      <w:pStyle w:val="Cabealho"/>
      <w:spacing w:before="240" w:after="240"/>
      <w:ind w:left="1134"/>
      <w:jc w:val="center"/>
      <w:rPr>
        <w:rFonts w:cs="Arial"/>
        <w:b/>
        <w:sz w:val="28"/>
        <w:szCs w:val="28"/>
      </w:rPr>
    </w:pPr>
    <w:r>
      <w:rPr>
        <w:noProof/>
      </w:rPr>
      <w:pict w14:anchorId="2D9CD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3D6BEC" w:rsidRPr="00C404BE">
      <w:rPr>
        <w:rFonts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0545A"/>
    <w:multiLevelType w:val="multilevel"/>
    <w:tmpl w:val="9E80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864B9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83921">
    <w:abstractNumId w:val="0"/>
  </w:num>
  <w:num w:numId="2" w16cid:durableId="1279991078">
    <w:abstractNumId w:val="1"/>
  </w:num>
  <w:num w:numId="3" w16cid:durableId="128472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380"/>
    <w:rsid w:val="000E3550"/>
    <w:rsid w:val="00167E95"/>
    <w:rsid w:val="002533B3"/>
    <w:rsid w:val="002A4098"/>
    <w:rsid w:val="003054EA"/>
    <w:rsid w:val="00367539"/>
    <w:rsid w:val="00387198"/>
    <w:rsid w:val="003D5207"/>
    <w:rsid w:val="003D6BEC"/>
    <w:rsid w:val="003E6777"/>
    <w:rsid w:val="0047596A"/>
    <w:rsid w:val="004827B3"/>
    <w:rsid w:val="004F77ED"/>
    <w:rsid w:val="00722AA7"/>
    <w:rsid w:val="008134F0"/>
    <w:rsid w:val="008C7B0E"/>
    <w:rsid w:val="009A27C6"/>
    <w:rsid w:val="009E36D7"/>
    <w:rsid w:val="009E5198"/>
    <w:rsid w:val="00AA1326"/>
    <w:rsid w:val="00B9022E"/>
    <w:rsid w:val="00C64071"/>
    <w:rsid w:val="00C7310D"/>
    <w:rsid w:val="00CC682F"/>
    <w:rsid w:val="00D02B29"/>
    <w:rsid w:val="00DE4380"/>
    <w:rsid w:val="00E313AC"/>
    <w:rsid w:val="00EC67F3"/>
    <w:rsid w:val="00F01A07"/>
    <w:rsid w:val="00FC106F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3BB28"/>
  <w15:chartTrackingRefBased/>
  <w15:docId w15:val="{B9385E27-A229-4231-B81E-F9836BE4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438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DE4380"/>
    <w:rPr>
      <w:rFonts w:ascii="Arial" w:eastAsia="Times New Roman" w:hAnsi="Arial"/>
      <w:sz w:val="22"/>
      <w:lang w:val="x-none" w:eastAsia="x-none"/>
    </w:rPr>
  </w:style>
  <w:style w:type="paragraph" w:styleId="Rodap">
    <w:name w:val="footer"/>
    <w:basedOn w:val="Normal"/>
    <w:link w:val="RodapChar"/>
    <w:rsid w:val="00DE438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eastAsia="pt-BR"/>
    </w:rPr>
  </w:style>
  <w:style w:type="character" w:customStyle="1" w:styleId="RodapChar">
    <w:name w:val="Rodapé Char"/>
    <w:link w:val="Rodap"/>
    <w:rsid w:val="00DE4380"/>
    <w:rPr>
      <w:rFonts w:ascii="Arial" w:eastAsia="Times New Roman" w:hAnsi="Arial"/>
      <w:sz w:val="22"/>
    </w:rPr>
  </w:style>
  <w:style w:type="paragraph" w:styleId="Recuodecorpodetexto3">
    <w:name w:val="Body Text Indent 3"/>
    <w:basedOn w:val="Normal"/>
    <w:link w:val="Recuodecorpodetexto3Char"/>
    <w:rsid w:val="00DE438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DE4380"/>
    <w:rPr>
      <w:rFonts w:ascii="Arial" w:eastAsia="Times New Roman" w:hAnsi="Arial"/>
      <w:sz w:val="16"/>
      <w:szCs w:val="16"/>
    </w:rPr>
  </w:style>
  <w:style w:type="paragraph" w:customStyle="1" w:styleId="Ementa">
    <w:name w:val="Ementa"/>
    <w:basedOn w:val="Normal"/>
    <w:rsid w:val="00DE4380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DE43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DE43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Nmerodepgina">
    <w:name w:val="page number"/>
    <w:unhideWhenUsed/>
    <w:rsid w:val="00DE4380"/>
  </w:style>
  <w:style w:type="paragraph" w:styleId="Textodenotaderodap">
    <w:name w:val="footnote text"/>
    <w:basedOn w:val="Normal"/>
    <w:link w:val="TextodenotaderodapChar"/>
    <w:unhideWhenUsed/>
    <w:rsid w:val="00DE4380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E4380"/>
    <w:rPr>
      <w:sz w:val="24"/>
      <w:szCs w:val="24"/>
      <w:lang w:eastAsia="en-US"/>
    </w:rPr>
  </w:style>
  <w:style w:type="character" w:styleId="Refdenotaderodap">
    <w:name w:val="footnote reference"/>
    <w:uiPriority w:val="99"/>
    <w:unhideWhenUsed/>
    <w:rsid w:val="00DE4380"/>
    <w:rPr>
      <w:vertAlign w:val="superscript"/>
    </w:rPr>
  </w:style>
  <w:style w:type="character" w:styleId="Hyperlink">
    <w:name w:val="Hyperlink"/>
    <w:uiPriority w:val="99"/>
    <w:rsid w:val="00AA1326"/>
    <w:rPr>
      <w:color w:val="0000FF"/>
      <w:u w:val="single"/>
    </w:rPr>
  </w:style>
  <w:style w:type="character" w:styleId="Forte">
    <w:name w:val="Strong"/>
    <w:uiPriority w:val="22"/>
    <w:qFormat/>
    <w:rsid w:val="00AA1326"/>
    <w:rPr>
      <w:b/>
      <w:bCs/>
    </w:rPr>
  </w:style>
  <w:style w:type="character" w:customStyle="1" w:styleId="apple-converted-space">
    <w:name w:val="apple-converted-space"/>
    <w:rsid w:val="003D5207"/>
  </w:style>
  <w:style w:type="character" w:styleId="MenoPendente">
    <w:name w:val="Unresolved Mention"/>
    <w:uiPriority w:val="99"/>
    <w:semiHidden/>
    <w:unhideWhenUsed/>
    <w:rsid w:val="003D5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7-de-21-de-dezembro-de-2006/1397/area/2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20/2/pdf/00343307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1.tce.pr.gov.br/conteudo/resolucao-n-42-de-19-de-dezembro-de-2013/251343/area/24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7-de-21-de-dezembro-de-2006/1397/area/249" TargetMode="External"/><Relationship Id="rId2" Type="http://schemas.openxmlformats.org/officeDocument/2006/relationships/hyperlink" Target="https://www1.tce.pr.gov.br/multimidia/2020/2/pdf/00343307.pdf" TargetMode="External"/><Relationship Id="rId1" Type="http://schemas.openxmlformats.org/officeDocument/2006/relationships/hyperlink" Target="https://www1.tce.pr.gov.br/multimidia/2020/3/pdf/00344213.pdf" TargetMode="External"/><Relationship Id="rId4" Type="http://schemas.openxmlformats.org/officeDocument/2006/relationships/hyperlink" Target="https://www1.tce.pr.gov.br/conteudo/resolucao-n-42-de-19-de-dezembro-de-2013/251343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10</cp:revision>
  <dcterms:created xsi:type="dcterms:W3CDTF">2022-07-05T19:27:00Z</dcterms:created>
  <dcterms:modified xsi:type="dcterms:W3CDTF">2022-07-15T20:03:00Z</dcterms:modified>
</cp:coreProperties>
</file>