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8C61" w14:textId="77777777" w:rsidR="00217B82" w:rsidRDefault="00217B82" w:rsidP="00655A8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0B91FC1" w14:textId="6E28DDCD" w:rsidR="00655A8B" w:rsidRPr="00D51126" w:rsidRDefault="00655A8B" w:rsidP="00655A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51126">
        <w:rPr>
          <w:rFonts w:ascii="Arial" w:hAnsi="Arial" w:cs="Arial"/>
          <w:b/>
          <w:bCs/>
          <w:sz w:val="28"/>
          <w:szCs w:val="28"/>
        </w:rPr>
        <w:t>RESOLUÇÃO Nº 10/2008</w:t>
      </w:r>
      <w:r w:rsidR="00B77DEC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29D231F0" w14:textId="77777777" w:rsidR="00655A8B" w:rsidRPr="00D51126" w:rsidRDefault="00655A8B" w:rsidP="00E3148C">
      <w:pPr>
        <w:autoSpaceDE w:val="0"/>
        <w:autoSpaceDN w:val="0"/>
        <w:adjustRightInd w:val="0"/>
        <w:spacing w:before="360" w:after="360"/>
        <w:ind w:left="453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51126">
        <w:rPr>
          <w:rFonts w:ascii="Arial" w:hAnsi="Arial" w:cs="Arial"/>
          <w:bCs/>
          <w:i/>
          <w:iCs/>
          <w:sz w:val="22"/>
          <w:szCs w:val="22"/>
        </w:rPr>
        <w:t>Dispõe sobre o Sistema de Registro de Preços no âmbito do Tribunal de Contas do Estado do Paraná.</w:t>
      </w:r>
    </w:p>
    <w:p w14:paraId="7FD28B5E" w14:textId="77777777" w:rsidR="00655A8B" w:rsidRDefault="00655A8B" w:rsidP="00655A8B">
      <w:pPr>
        <w:autoSpaceDE w:val="0"/>
        <w:autoSpaceDN w:val="0"/>
        <w:adjustRightInd w:val="0"/>
        <w:rPr>
          <w:b/>
          <w:bCs/>
        </w:rPr>
      </w:pPr>
    </w:p>
    <w:p w14:paraId="7899CCAB" w14:textId="77777777" w:rsidR="00655A8B" w:rsidRPr="00E3148C" w:rsidRDefault="00655A8B" w:rsidP="00C10F9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623DF">
        <w:rPr>
          <w:rFonts w:ascii="Arial" w:hAnsi="Arial" w:cs="Arial"/>
          <w:iCs/>
        </w:rPr>
        <w:t xml:space="preserve">O </w:t>
      </w:r>
      <w:r w:rsidRPr="005623DF">
        <w:rPr>
          <w:rFonts w:ascii="Arial" w:hAnsi="Arial" w:cs="Arial"/>
          <w:b/>
          <w:bCs/>
          <w:iCs/>
        </w:rPr>
        <w:t>TRIBUNAL DE CONTAS DO ESTADO DO PARANÁ</w:t>
      </w:r>
      <w:r w:rsidRPr="005623DF">
        <w:rPr>
          <w:rFonts w:ascii="Arial" w:hAnsi="Arial" w:cs="Arial"/>
          <w:iCs/>
        </w:rPr>
        <w:t xml:space="preserve">, </w:t>
      </w:r>
      <w:r w:rsidRPr="00E3148C">
        <w:rPr>
          <w:rFonts w:ascii="Arial" w:hAnsi="Arial" w:cs="Arial"/>
        </w:rPr>
        <w:t>no uso das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atribuições que lhe foram conferidas no art. 2º, incisos I e X, da Lei Complementar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nº 113/2005 e,</w:t>
      </w:r>
    </w:p>
    <w:p w14:paraId="2111126D" w14:textId="42821DC9" w:rsidR="00655A8B" w:rsidRPr="002C3055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2C3055">
        <w:rPr>
          <w:rFonts w:ascii="Arial" w:hAnsi="Arial" w:cs="Arial"/>
        </w:rPr>
        <w:t>Considerando o que dispõe o art. 11 da Lei Federal nº 10.520, de 17 de julho</w:t>
      </w:r>
      <w:r w:rsidR="003D005A" w:rsidRPr="002C3055">
        <w:rPr>
          <w:rFonts w:ascii="Arial" w:hAnsi="Arial" w:cs="Arial"/>
        </w:rPr>
        <w:t xml:space="preserve"> </w:t>
      </w:r>
      <w:r w:rsidRPr="002C3055">
        <w:rPr>
          <w:rFonts w:ascii="Arial" w:hAnsi="Arial" w:cs="Arial"/>
        </w:rPr>
        <w:t>de 2002,</w:t>
      </w:r>
    </w:p>
    <w:p w14:paraId="44DF17D7" w14:textId="14BD6DA2" w:rsidR="00655A8B" w:rsidRPr="002C3055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2C3055">
        <w:rPr>
          <w:rFonts w:ascii="Arial" w:hAnsi="Arial" w:cs="Arial"/>
        </w:rPr>
        <w:t>Considerando o que preceitua o art. 15, inciso II da Lei Federal nº 8.666, de 21</w:t>
      </w:r>
      <w:r w:rsidR="003D005A" w:rsidRPr="002C3055">
        <w:rPr>
          <w:rFonts w:ascii="Arial" w:hAnsi="Arial" w:cs="Arial"/>
        </w:rPr>
        <w:t xml:space="preserve"> </w:t>
      </w:r>
      <w:r w:rsidRPr="002C3055">
        <w:rPr>
          <w:rFonts w:ascii="Arial" w:hAnsi="Arial" w:cs="Arial"/>
        </w:rPr>
        <w:t>de junho de 1993,</w:t>
      </w:r>
    </w:p>
    <w:p w14:paraId="18FE4B53" w14:textId="42238983" w:rsidR="00655A8B" w:rsidRPr="002C3055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2C3055">
        <w:rPr>
          <w:rFonts w:ascii="Arial" w:hAnsi="Arial" w:cs="Arial"/>
        </w:rPr>
        <w:t>Considerando o que dispõe o art. 22, da Lei Estadual nº 15.608, de 16 de</w:t>
      </w:r>
      <w:r w:rsidR="003D005A" w:rsidRPr="002C3055">
        <w:rPr>
          <w:rFonts w:ascii="Arial" w:hAnsi="Arial" w:cs="Arial"/>
        </w:rPr>
        <w:t xml:space="preserve"> </w:t>
      </w:r>
      <w:r w:rsidRPr="002C3055">
        <w:rPr>
          <w:rFonts w:ascii="Arial" w:hAnsi="Arial" w:cs="Arial"/>
        </w:rPr>
        <w:t>agosto de 2007, e</w:t>
      </w:r>
    </w:p>
    <w:p w14:paraId="029A13FB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2C3055">
        <w:rPr>
          <w:rFonts w:ascii="Arial" w:hAnsi="Arial" w:cs="Arial"/>
        </w:rPr>
        <w:t>Considerando,</w:t>
      </w:r>
      <w:r w:rsidRPr="00E3148C">
        <w:rPr>
          <w:rFonts w:ascii="Arial" w:hAnsi="Arial" w:cs="Arial"/>
        </w:rPr>
        <w:t xml:space="preserve"> ainda, as vantagens decorrentes da utilização desse Sistema para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 administração,</w:t>
      </w:r>
    </w:p>
    <w:p w14:paraId="6BFD33E9" w14:textId="77777777" w:rsidR="00655A8B" w:rsidRPr="00E3148C" w:rsidRDefault="00655A8B" w:rsidP="003D005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136E1C" w14:textId="77777777" w:rsidR="00655A8B" w:rsidRPr="00E3148C" w:rsidRDefault="00655A8B" w:rsidP="00B77B8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bCs/>
        </w:rPr>
      </w:pPr>
      <w:r w:rsidRPr="00E3148C">
        <w:rPr>
          <w:rFonts w:ascii="Arial" w:hAnsi="Arial" w:cs="Arial"/>
          <w:b/>
          <w:bCs/>
        </w:rPr>
        <w:t>RESOLVE:</w:t>
      </w:r>
    </w:p>
    <w:p w14:paraId="70740801" w14:textId="77777777" w:rsidR="00655A8B" w:rsidRPr="00E3148C" w:rsidRDefault="00655A8B" w:rsidP="003D00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1695EEB" w14:textId="77777777" w:rsidR="002C3055" w:rsidRDefault="002C3055" w:rsidP="003D0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148C">
        <w:rPr>
          <w:rFonts w:ascii="Arial" w:hAnsi="Arial" w:cs="Arial"/>
          <w:b/>
          <w:bCs/>
        </w:rPr>
        <w:t>CAPÍTULO I</w:t>
      </w:r>
    </w:p>
    <w:p w14:paraId="2E63F46B" w14:textId="1CE27CB5" w:rsidR="00655A8B" w:rsidRPr="00E3148C" w:rsidRDefault="001F6FA5" w:rsidP="003D0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148C">
        <w:rPr>
          <w:rFonts w:ascii="Arial" w:hAnsi="Arial" w:cs="Arial"/>
          <w:b/>
          <w:bCs/>
        </w:rPr>
        <w:t>DAS DISPOSIÇÕES GERAIS</w:t>
      </w:r>
    </w:p>
    <w:p w14:paraId="7E5B6D9E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1º </w:t>
      </w:r>
      <w:r w:rsidRPr="00E3148C">
        <w:rPr>
          <w:rFonts w:ascii="Arial" w:hAnsi="Arial" w:cs="Arial"/>
        </w:rPr>
        <w:t>As contratações de serviços e a aquisição de bens, no âmbito da Administração do Tribunal de Contas do Estado do Paraná quando efetuadas pelo Sistema de Registro de Preços, obedecerão ao disposto nesta Resolução.</w:t>
      </w:r>
    </w:p>
    <w:p w14:paraId="14894973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2º </w:t>
      </w:r>
      <w:r w:rsidRPr="00E3148C">
        <w:rPr>
          <w:rFonts w:ascii="Arial" w:hAnsi="Arial" w:cs="Arial"/>
        </w:rPr>
        <w:t>Para os fins desta Resolução, considera-se:</w:t>
      </w:r>
    </w:p>
    <w:p w14:paraId="71D38EC6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 - Sistema de Registro de Preços – SRP, o conjunto de procedimentos para registro formal de preços de serviços e de bens, para contratações futuras;</w:t>
      </w:r>
    </w:p>
    <w:p w14:paraId="5C194581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 - Ata de Registro de Preços, o documento vinculativo, obrigacional, com característica de compromisso, para futura contratação, onde se registram os preços, fornecedores ou prestadores de serviços e condições a serem praticadas, conforme as disposições contidas no edital e propostas apresentadas;</w:t>
      </w:r>
    </w:p>
    <w:p w14:paraId="508C3E34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lastRenderedPageBreak/>
        <w:t>III - Gerenciador do SRP, a Comissão Permanente de Licitações, que será responsável pela condução do conjunto de procedimentos do certame para registro de preços e gerenciamento da Ata de Registro de Preços dele decorrente;</w:t>
      </w:r>
    </w:p>
    <w:p w14:paraId="2F3B30A6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IV - Gestor do Contrato ou da aquisição, a unidade administrativa regimentalmente responsável pelos serviços ou produtos solicitados e que está investido das atribuições de controle e fiscalização do fornecimento dos produtos e exatidão dos serviços após a homologação da Ata de Registro de Preços;</w:t>
      </w:r>
    </w:p>
    <w:p w14:paraId="0CC62F64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 - Equipe de Apoio, integrada pelos demais membros da Comissão Permanente de Licitações que preparam o certame, elaboram os documentos, atas e editais e informações e realizam as publicações referentes à licitação.</w:t>
      </w:r>
    </w:p>
    <w:p w14:paraId="2A14D610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VI - Autoridade Competente: é o Ordenador das Despesas</w:t>
      </w:r>
    </w:p>
    <w:p w14:paraId="7C64E945" w14:textId="77777777" w:rsidR="00655A8B" w:rsidRPr="00E3148C" w:rsidRDefault="00655A8B" w:rsidP="003D005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9C695B" w14:textId="77777777" w:rsidR="001F6FA5" w:rsidRDefault="001F6FA5" w:rsidP="003D0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148C">
        <w:rPr>
          <w:rFonts w:ascii="Arial" w:hAnsi="Arial" w:cs="Arial"/>
          <w:b/>
          <w:bCs/>
        </w:rPr>
        <w:t>CAPÍTULO II</w:t>
      </w:r>
    </w:p>
    <w:p w14:paraId="4655E484" w14:textId="39423D13" w:rsidR="00655A8B" w:rsidRPr="00E3148C" w:rsidRDefault="001F6FA5" w:rsidP="003D0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148C">
        <w:rPr>
          <w:rFonts w:ascii="Arial" w:hAnsi="Arial" w:cs="Arial"/>
          <w:b/>
          <w:bCs/>
        </w:rPr>
        <w:t>DA FORMALIZAÇÃO E DA COMPETÊNCIA</w:t>
      </w:r>
    </w:p>
    <w:p w14:paraId="0DE63074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3º </w:t>
      </w:r>
      <w:r w:rsidRPr="00E3148C">
        <w:rPr>
          <w:rFonts w:ascii="Arial" w:hAnsi="Arial" w:cs="Arial"/>
        </w:rPr>
        <w:t>A licitação para registro de preços será realizada, preferencialmente, na modalidade de Pregão Eletrônico, ou Concorrência, quando devidamente justificada, do tipo menor preço, e será precedida de ampla e permanente pesquisa de mercado local.</w:t>
      </w:r>
    </w:p>
    <w:p w14:paraId="52DD9474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735B4">
        <w:rPr>
          <w:rFonts w:ascii="Arial" w:hAnsi="Arial" w:cs="Arial"/>
        </w:rPr>
        <w:t>Parágrafo único.</w:t>
      </w:r>
      <w:r w:rsidRPr="00E3148C">
        <w:rPr>
          <w:rFonts w:ascii="Arial" w:hAnsi="Arial" w:cs="Arial"/>
          <w:b/>
          <w:bCs/>
        </w:rPr>
        <w:t xml:space="preserve"> </w:t>
      </w:r>
      <w:r w:rsidRPr="00E3148C">
        <w:rPr>
          <w:rFonts w:ascii="Arial" w:hAnsi="Arial" w:cs="Arial"/>
        </w:rPr>
        <w:t>A critério do Ordenador das Despesas e mediante despacho fundamentado da autoridade competente, poderá, excepcionalmente, ser adotado, na modalidade Concorrência, o tipo técnica e preço.</w:t>
      </w:r>
    </w:p>
    <w:p w14:paraId="1994F677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4º </w:t>
      </w:r>
      <w:r w:rsidRPr="00E3148C">
        <w:rPr>
          <w:rFonts w:ascii="Arial" w:hAnsi="Arial" w:cs="Arial"/>
        </w:rPr>
        <w:t>Ao Gestor do Contrato caberá a prática dos atos de controle e administração, e ainda:</w:t>
      </w:r>
    </w:p>
    <w:p w14:paraId="02C00249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 - solicitar a realização de pesquisa de mercado para identificar os bens, serviços e respectivos valores para serem licitados;</w:t>
      </w:r>
    </w:p>
    <w:p w14:paraId="1B244FD6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 - providenciar o encaminhamento à Diretoria Econômico-Financeira - DEF da estimativa de consumo e o volume de produtos e/ou serviços a serem colocados em licitação para as necessidades do exercício;</w:t>
      </w:r>
    </w:p>
    <w:p w14:paraId="5B1789C1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III - determinar o prazo máximo de entrega do bem ou dos serviços de manutenção a serem executados;</w:t>
      </w:r>
    </w:p>
    <w:p w14:paraId="310C86C2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IV - tomar conhecimento da Ata de Registro de Preços, inclusive as alterações ocorridas, com o objetivo de assegurar, quando de sua utilização, o correto cumprimento de suas disposições depois de concluído o procedimento licitatório.</w:t>
      </w:r>
    </w:p>
    <w:p w14:paraId="489A8B8E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 - Observar a Ata de Registro de Preços, providenciando a indicação, sempre que solicitado, dos fornecedores ou prestadores de serviços, para atendimento das necessidades da Administração, obedecendo à ordem de classificação e os quantitativos de contratação definidos em Ata;</w:t>
      </w:r>
    </w:p>
    <w:p w14:paraId="6BE8A093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lastRenderedPageBreak/>
        <w:t>VI - informar ao Gerenciador do SRP, quando de sua ocorrência, a recusa do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fornecedor ou do prestador do serviço em atender as condições estabelecidas no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edital e firmadas na Ata de Registro de Preços, as divergências relativas à entrega,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as características e a origem dos bens licitados, assim como a recusa dos mesmos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em assinar o contrato;</w:t>
      </w:r>
    </w:p>
    <w:p w14:paraId="56650703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VII - controlar as quantidades dos itens com a vigência do contrato, adotando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as medidas cabíveis, visando o início de novo SRP, quando necessário;</w:t>
      </w:r>
    </w:p>
    <w:p w14:paraId="7CCACF3C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VIII - zelar, após receber a indicação do fornecedor ou prestador do serviço,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pelos demais atos relativos ao cumprimento das obrigações contratualmente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assumidas, inclusive quanto às regularidades fiscais no âmbito, federal, estadual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 municipal, durante o período de vigência do SRP;</w:t>
      </w:r>
    </w:p>
    <w:p w14:paraId="0B7D2623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IX - conduzir os procedimentos relativos a eventuais renegociações dos preços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registrados e solicitar à Autoridade Competente a aplicação das penalidades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pelo descumprimento do pactuado na Ata de Registro de Preços.</w:t>
      </w:r>
    </w:p>
    <w:p w14:paraId="5B2CD193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5º </w:t>
      </w:r>
      <w:r w:rsidRPr="00E3148C">
        <w:rPr>
          <w:rFonts w:ascii="Arial" w:hAnsi="Arial" w:cs="Arial"/>
        </w:rPr>
        <w:t>Caso os serviços sejam de natureza construtiva e de serviços atinentes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à manutenção de serviços de engenharia as especificações e o projeto-básico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caberão à Coordenadoria de Engenharia e Arquitetura – CEA.</w:t>
      </w:r>
    </w:p>
    <w:p w14:paraId="6170CB78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6º </w:t>
      </w:r>
      <w:r w:rsidRPr="00E3148C">
        <w:rPr>
          <w:rFonts w:ascii="Arial" w:hAnsi="Arial" w:cs="Arial"/>
        </w:rPr>
        <w:t>À Equipe de Apoio compete:</w:t>
      </w:r>
    </w:p>
    <w:p w14:paraId="3F3A96FB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 - consolidar as informações relativas à estimativa de consumo, sugerindo às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unidades administrativas competentes a adequação dos respectivos projetos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básicos para atender aos requisitos de padronização e racionalização, quando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necessário;</w:t>
      </w:r>
    </w:p>
    <w:p w14:paraId="45BEF399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 - promover os atos necessários à instrução processual para a realização do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procedimento licitatório pertinente, inclusive a documentação e justificativas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nos casos em que a restrição à competição for admissível pela lei;</w:t>
      </w:r>
    </w:p>
    <w:p w14:paraId="49941B4F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7º </w:t>
      </w:r>
      <w:r w:rsidRPr="00E3148C">
        <w:rPr>
          <w:rFonts w:ascii="Arial" w:hAnsi="Arial" w:cs="Arial"/>
        </w:rPr>
        <w:t>Ao Gerenciador do SRP compete:</w:t>
      </w:r>
    </w:p>
    <w:p w14:paraId="51E880A9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 - receber as informações exigidas pelo artigo 38 da Lei Federal n.º 8.666/1993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 artigo 40 da Lei Estadual nº 15.608/2007, pertinentes à licitação a ser realizada,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através de processo administrativo devidamente autuado;</w:t>
      </w:r>
    </w:p>
    <w:p w14:paraId="5F9CC0DD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 - decidir sobre a inclusão ou não dos serviços no Sistema, e decidida a inclusão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 ele caberá certificar que estejam devidamente formalizados e aprovados pela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autoridade competente;</w:t>
      </w:r>
    </w:p>
    <w:p w14:paraId="1B9FC696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III - realizar o procedimento licitatório;</w:t>
      </w:r>
    </w:p>
    <w:p w14:paraId="5B923C56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IV - elaborar a Ata de Registro e providenciar a sua assinatura e publicação;</w:t>
      </w:r>
    </w:p>
    <w:p w14:paraId="142192E6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 - indicar o Gestor do contrato no âmbito do Tribunal.</w:t>
      </w:r>
    </w:p>
    <w:p w14:paraId="670D4B5B" w14:textId="77777777" w:rsidR="00655A8B" w:rsidRPr="00E3148C" w:rsidRDefault="00655A8B" w:rsidP="003D005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811045" w14:textId="77777777" w:rsidR="001F6FA5" w:rsidRDefault="001F6FA5" w:rsidP="003D0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148C">
        <w:rPr>
          <w:rFonts w:ascii="Arial" w:hAnsi="Arial" w:cs="Arial"/>
          <w:b/>
          <w:bCs/>
        </w:rPr>
        <w:t>CAPÍTULO III</w:t>
      </w:r>
    </w:p>
    <w:p w14:paraId="0410DF0B" w14:textId="7A755FED" w:rsidR="00655A8B" w:rsidRPr="00E3148C" w:rsidRDefault="001F6FA5" w:rsidP="003D0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148C">
        <w:rPr>
          <w:rFonts w:ascii="Arial" w:hAnsi="Arial" w:cs="Arial"/>
          <w:b/>
          <w:bCs/>
        </w:rPr>
        <w:t>DO OBJETO E VIGÊNCIA</w:t>
      </w:r>
    </w:p>
    <w:p w14:paraId="174AE12F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lastRenderedPageBreak/>
        <w:t xml:space="preserve">Art. 8º </w:t>
      </w:r>
      <w:r w:rsidRPr="00E3148C">
        <w:rPr>
          <w:rFonts w:ascii="Arial" w:hAnsi="Arial" w:cs="Arial"/>
        </w:rPr>
        <w:t>O SRP será adotado, essencialmente, para a aquisição de bens ou prestação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de serviço de menor complexidade técnica que, pelas suas características, ensejam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contratações freqüentes.</w:t>
      </w:r>
    </w:p>
    <w:p w14:paraId="2EAD8631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30049">
        <w:rPr>
          <w:rFonts w:ascii="Arial" w:hAnsi="Arial" w:cs="Arial"/>
        </w:rPr>
        <w:t>Parágrafo único.</w:t>
      </w:r>
      <w:r w:rsidRPr="00E3148C">
        <w:rPr>
          <w:rFonts w:ascii="Arial" w:hAnsi="Arial" w:cs="Arial"/>
          <w:b/>
          <w:bCs/>
        </w:rPr>
        <w:t xml:space="preserve"> </w:t>
      </w:r>
      <w:r w:rsidRPr="00E3148C">
        <w:rPr>
          <w:rFonts w:ascii="Arial" w:hAnsi="Arial" w:cs="Arial"/>
        </w:rPr>
        <w:t>A aquisição de equipamentos ou contratação de serviços de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informática e de tecnologia da informação e de telecomunicações poderão ser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adquiridos por meio do SRP se na licitação a ser realizada puder ser adotado o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tipo menor preço.</w:t>
      </w:r>
    </w:p>
    <w:p w14:paraId="5201CF88" w14:textId="5F6C5120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9º </w:t>
      </w:r>
      <w:r w:rsidRPr="00E3148C">
        <w:rPr>
          <w:rFonts w:ascii="Arial" w:hAnsi="Arial" w:cs="Arial"/>
        </w:rPr>
        <w:t>O prazo máximo de vigência do Sistema Registro de Preços será de 12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(doze) meses, contado a partir da data da publicação da respectiva Ata, computadas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neste, as eventuais prorrogações.</w:t>
      </w:r>
    </w:p>
    <w:p w14:paraId="2A83640F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30049">
        <w:rPr>
          <w:rFonts w:ascii="Arial" w:hAnsi="Arial" w:cs="Arial"/>
        </w:rPr>
        <w:t>Parágrafo único.</w:t>
      </w:r>
      <w:r w:rsidRPr="00E3148C">
        <w:rPr>
          <w:rFonts w:ascii="Arial" w:hAnsi="Arial" w:cs="Arial"/>
          <w:b/>
          <w:bCs/>
        </w:rPr>
        <w:t xml:space="preserve"> </w:t>
      </w:r>
      <w:r w:rsidRPr="00E3148C">
        <w:rPr>
          <w:rFonts w:ascii="Arial" w:hAnsi="Arial" w:cs="Arial"/>
        </w:rPr>
        <w:t>Os contratos para a prestação de serviços decorrentes do SRP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terão sua vigência em consonância com as disposições contidas nos instrumentos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convocatórios e nas prescrições da Lei Federal n.º 8.666/1993 e Lei Estadual nº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15.608/2007, no que couber.</w:t>
      </w:r>
    </w:p>
    <w:p w14:paraId="0DA24A26" w14:textId="77777777" w:rsidR="00655A8B" w:rsidRPr="00E3148C" w:rsidRDefault="00655A8B" w:rsidP="003D005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6AB799" w14:textId="77777777" w:rsidR="001F6FA5" w:rsidRDefault="001F6FA5" w:rsidP="003D0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148C">
        <w:rPr>
          <w:rFonts w:ascii="Arial" w:hAnsi="Arial" w:cs="Arial"/>
          <w:b/>
          <w:bCs/>
        </w:rPr>
        <w:t>CAPÍTULO IV</w:t>
      </w:r>
    </w:p>
    <w:p w14:paraId="26035E36" w14:textId="6C0F6543" w:rsidR="00655A8B" w:rsidRPr="00E3148C" w:rsidRDefault="001F6FA5" w:rsidP="003D0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148C">
        <w:rPr>
          <w:rFonts w:ascii="Arial" w:hAnsi="Arial" w:cs="Arial"/>
          <w:b/>
          <w:bCs/>
        </w:rPr>
        <w:t>DOS PROCEDIMENTOS</w:t>
      </w:r>
    </w:p>
    <w:p w14:paraId="00EA3EF4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10. A"/>
        </w:smartTagPr>
        <w:r w:rsidRPr="00E3148C">
          <w:rPr>
            <w:rFonts w:ascii="Arial" w:hAnsi="Arial" w:cs="Arial"/>
            <w:b/>
            <w:bCs/>
          </w:rPr>
          <w:t xml:space="preserve">10. </w:t>
        </w:r>
        <w:r w:rsidRPr="00E3148C">
          <w:rPr>
            <w:rFonts w:ascii="Arial" w:hAnsi="Arial" w:cs="Arial"/>
          </w:rPr>
          <w:t>A</w:t>
        </w:r>
      </w:smartTag>
      <w:r w:rsidRPr="00E3148C">
        <w:rPr>
          <w:rFonts w:ascii="Arial" w:hAnsi="Arial" w:cs="Arial"/>
        </w:rPr>
        <w:t xml:space="preserve"> CPL ou o Pregoeiro, quando da aquisição de bens ou contratação de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serviços, poderá subdividir a quantidade total em lotes, sempre que comprovada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 viabilidade técnica e econômica, de forma a possibilitar maior competitividade,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observado, neste caso, dentre outros, a quantidade mínima, o prazo e o local de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entrega ou da prestação do serviço.</w:t>
      </w:r>
    </w:p>
    <w:p w14:paraId="357DBE0E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11. </w:t>
      </w:r>
      <w:r w:rsidRPr="00E3148C">
        <w:rPr>
          <w:rFonts w:ascii="Arial" w:hAnsi="Arial" w:cs="Arial"/>
        </w:rPr>
        <w:t>Ao preço do primeiro colocado poderão ser registrados tantos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fornecedores ou prestadores de serviço quantos necessários, para que, em função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das propostas apresentadas, seja atingida a quantidade total estimada para o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item ou lote, observando-se o seguinte:</w:t>
      </w:r>
    </w:p>
    <w:p w14:paraId="33F0E765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 - o preço registrado em Ata e a indicação dos respectivos fornecedores ou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prestadores de serviços serão divulgados no periódico - Atos do Tribunal de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Contas do Estado do Paraná e ficarão disponibilizados durante a vigência da</w:t>
      </w:r>
      <w:r w:rsidR="00FD1109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Ata de Registro de Preços;</w:t>
      </w:r>
    </w:p>
    <w:p w14:paraId="3BE9D77F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 - quando das contratações decorrentes do Sistema de Registro de Preços,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deverá ser respeitada a ordem de classificação dos fornecedores e prestadores de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serviços constantes da Ata.</w:t>
      </w:r>
    </w:p>
    <w:p w14:paraId="14FCF9C2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§1.º Excepcionalmente, a critério do Gerenciador do SRP, quando a quantidade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do primeiro colocado não for suficiente para as demandas estimadas, devidamente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 xml:space="preserve">justificada e </w:t>
      </w:r>
      <w:r w:rsidR="00D90E63" w:rsidRPr="00E3148C">
        <w:rPr>
          <w:rFonts w:ascii="Arial" w:hAnsi="Arial" w:cs="Arial"/>
        </w:rPr>
        <w:t>c</w:t>
      </w:r>
      <w:r w:rsidRPr="00E3148C">
        <w:rPr>
          <w:rFonts w:ascii="Arial" w:hAnsi="Arial" w:cs="Arial"/>
        </w:rPr>
        <w:t>omprovada a vantagem e sendo as ofertas de valor inferior ao máximo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admitido, poderão ser registrados outros preços.</w:t>
      </w:r>
    </w:p>
    <w:p w14:paraId="48063A0E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§2.º Para efeito de registro, a classificação obedecerá à ordem crescente dos preços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ofertados nas respectivas propostas, salvo quando o critério de julgamento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estiver estabelecido no edital.</w:t>
      </w:r>
    </w:p>
    <w:p w14:paraId="31EDF5DE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lastRenderedPageBreak/>
        <w:t xml:space="preserve">Art. </w:t>
      </w:r>
      <w:smartTag w:uri="urn:schemas-microsoft-com:office:smarttags" w:element="metricconverter">
        <w:smartTagPr>
          <w:attr w:name="ProductID" w:val="12. A"/>
        </w:smartTagPr>
        <w:r w:rsidRPr="00E3148C">
          <w:rPr>
            <w:rFonts w:ascii="Arial" w:hAnsi="Arial" w:cs="Arial"/>
            <w:b/>
            <w:bCs/>
          </w:rPr>
          <w:t xml:space="preserve">12. </w:t>
        </w:r>
        <w:r w:rsidRPr="00E3148C">
          <w:rPr>
            <w:rFonts w:ascii="Arial" w:hAnsi="Arial" w:cs="Arial"/>
          </w:rPr>
          <w:t>A</w:t>
        </w:r>
      </w:smartTag>
      <w:r w:rsidRPr="00E3148C">
        <w:rPr>
          <w:rFonts w:ascii="Arial" w:hAnsi="Arial" w:cs="Arial"/>
        </w:rPr>
        <w:t xml:space="preserve"> existência de preços registrados não obriga à Administração do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Tribunal às aquisições e às contratações que deles poderão advir, ficando-lhe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facultada a utilização de outros meios, respeitada a legislação relativa às licitações,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sendo assegurado ao beneficiário do registro preferência em igualdade de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condições.</w:t>
      </w:r>
    </w:p>
    <w:p w14:paraId="10FE03C4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13. </w:t>
      </w:r>
      <w:r w:rsidRPr="00E3148C">
        <w:rPr>
          <w:rFonts w:ascii="Arial" w:hAnsi="Arial" w:cs="Arial"/>
        </w:rPr>
        <w:t>Sendo os preços dos licitantes remanescentes registrados em Ata ficam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os mesmos obrigados ao fornecimento dos bens e serviços, quando solicitados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pelo Gerenciador do SRP.</w:t>
      </w:r>
    </w:p>
    <w:p w14:paraId="7BE33FEE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14. </w:t>
      </w:r>
      <w:r w:rsidRPr="00E3148C">
        <w:rPr>
          <w:rFonts w:ascii="Arial" w:hAnsi="Arial" w:cs="Arial"/>
        </w:rPr>
        <w:t>O procedimento licitatório para Registro de Preços contemplará, pelo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menos:</w:t>
      </w:r>
    </w:p>
    <w:p w14:paraId="58188379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 - edital contendo a especificação/descrição do objeto, explicitando o conjunto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de elementos necessários e suficientes, com nível de precisão adequado, para a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caracterização do produto ou serviço, inclusive definindo as respectivas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unidades de medida usualmente adotadas;</w:t>
      </w:r>
    </w:p>
    <w:p w14:paraId="3F789618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 - a estimativa de quantidades a serem adquiridas no prazo de validade do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registro;</w:t>
      </w:r>
    </w:p>
    <w:p w14:paraId="1022E818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III - o preço unitário máximo que a Administração do Tribunal se dispõe a pagar,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por contratação, considerados os locais de entrega e as estimativas de quantidades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 serem adquiridas;</w:t>
      </w:r>
    </w:p>
    <w:p w14:paraId="262E9E3D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IV - a indicação das dotações orçamentária específicas;</w:t>
      </w:r>
    </w:p>
    <w:p w14:paraId="65794281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 - a quantidade mínima de unidades a ser cotada por item, no caso de bens;</w:t>
      </w:r>
    </w:p>
    <w:p w14:paraId="77F93F7A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VI - as condições quanto aos locais, prazos de entrega, forma de pagamento e,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complementarmente, nos casos de serviços, quando cabíveis, a freqüência,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periodicidade, características do pessoal, materiais e equipamentos a serem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fornecidos e utilizados, os procedimentos que serão seguidos, cuidados, deveres,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disciplina e controles a serem adotados;</w:t>
      </w:r>
    </w:p>
    <w:p w14:paraId="30052BC0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VII - o prazo de validade do registro de preço;</w:t>
      </w:r>
    </w:p>
    <w:p w14:paraId="516C251D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VIII - o Gestor do SRP e o responsável pela Ata de Registro dos preços.</w:t>
      </w:r>
    </w:p>
    <w:p w14:paraId="3CD8A480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IX - os modelos de planilhas de custo, quando cabíveis e a respectiva minuta de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contrato, no caso de prestação de serviço;</w:t>
      </w:r>
    </w:p>
    <w:p w14:paraId="5E2B899B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X - as penalidades a serem aplicadas por descumprimento das condições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estabelecidas;</w:t>
      </w:r>
    </w:p>
    <w:p w14:paraId="474AE79C" w14:textId="2E427C05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§1º - O edital poderá admitir, como critério de adjudicação, a oferta de desconto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sobre tabela de preços praticados no mercado, nos casos de peças de veículos,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medicamentos, passagens aéreas, manutenções e outros similares.</w:t>
      </w:r>
    </w:p>
    <w:p w14:paraId="1FA41F85" w14:textId="479CA4D5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§2</w:t>
      </w:r>
      <w:r w:rsidR="00217B82" w:rsidRPr="00E3148C">
        <w:rPr>
          <w:rFonts w:ascii="Arial" w:hAnsi="Arial" w:cs="Arial"/>
        </w:rPr>
        <w:t>º</w:t>
      </w:r>
      <w:r w:rsidRPr="00E3148C">
        <w:rPr>
          <w:rFonts w:ascii="Arial" w:hAnsi="Arial" w:cs="Arial"/>
        </w:rPr>
        <w:t xml:space="preserve"> Quando o edital prever o fornecimento de bens ou prestação de serviço em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 xml:space="preserve">locais diferentes, é facultada a exigência de apresentação de proposta </w:t>
      </w:r>
      <w:r w:rsidRPr="00E3148C">
        <w:rPr>
          <w:rFonts w:ascii="Arial" w:hAnsi="Arial" w:cs="Arial"/>
        </w:rPr>
        <w:lastRenderedPageBreak/>
        <w:t>diferenciada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por local, de modo que aos preços sejam acrescidos as respectivas custos de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deslocamento.</w:t>
      </w:r>
    </w:p>
    <w:p w14:paraId="7659EE9B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15. </w:t>
      </w:r>
      <w:r w:rsidRPr="00E3148C">
        <w:rPr>
          <w:rFonts w:ascii="Arial" w:hAnsi="Arial" w:cs="Arial"/>
        </w:rPr>
        <w:t>Homologado o resultado da licitação, a Comissão de Licitação ou 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Pregoeiro, respeitada a ordem de classificação e a quantidade de itens por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licitação, convocará os interessados para assinatura da Ata de Registro de Preços,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 ser também assinada pela autoridade competente do Tribunal de Contas do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Estado do Paraná.</w:t>
      </w:r>
    </w:p>
    <w:p w14:paraId="7323A079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30049">
        <w:rPr>
          <w:rFonts w:ascii="Arial" w:hAnsi="Arial" w:cs="Arial"/>
        </w:rPr>
        <w:t>Parágrafo único.</w:t>
      </w:r>
      <w:r w:rsidRPr="00E3148C">
        <w:rPr>
          <w:rFonts w:ascii="Arial" w:hAnsi="Arial" w:cs="Arial"/>
          <w:b/>
          <w:bCs/>
        </w:rPr>
        <w:t xml:space="preserve"> </w:t>
      </w:r>
      <w:r w:rsidRPr="00E3148C">
        <w:rPr>
          <w:rFonts w:ascii="Arial" w:hAnsi="Arial" w:cs="Arial"/>
        </w:rPr>
        <w:t>A Ata de Registro de Preços, depois de cumpridos os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requisitos de publicidade, terá efeito de compromisso do fornecimento ou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da prestação do serviço nas condições estabelecidas.</w:t>
      </w:r>
    </w:p>
    <w:p w14:paraId="38D03F03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16. A"/>
        </w:smartTagPr>
        <w:r w:rsidRPr="00E3148C">
          <w:rPr>
            <w:rFonts w:ascii="Arial" w:hAnsi="Arial" w:cs="Arial"/>
            <w:b/>
            <w:bCs/>
          </w:rPr>
          <w:t xml:space="preserve">16. </w:t>
        </w:r>
        <w:r w:rsidRPr="00E3148C">
          <w:rPr>
            <w:rFonts w:ascii="Arial" w:hAnsi="Arial" w:cs="Arial"/>
          </w:rPr>
          <w:t>A</w:t>
        </w:r>
      </w:smartTag>
      <w:r w:rsidRPr="00E3148C">
        <w:rPr>
          <w:rFonts w:ascii="Arial" w:hAnsi="Arial" w:cs="Arial"/>
        </w:rPr>
        <w:t xml:space="preserve"> contratação com os fornecedores ou prestadores de serviço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registrados, após a indicação pela Comissão de Licitação ou pelo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Pregoeiro será formalizada pelo Tribunal através de contrato, emissão de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nota de empenho de despesa, autorização de compra ou outro instrumento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similar, conforme o disposto na legislação.</w:t>
      </w:r>
    </w:p>
    <w:p w14:paraId="280E3613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17. </w:t>
      </w:r>
      <w:r w:rsidRPr="00E3148C">
        <w:rPr>
          <w:rFonts w:ascii="Arial" w:hAnsi="Arial" w:cs="Arial"/>
        </w:rPr>
        <w:t>Toda e qualquer alteração que implique acréscimo nos valores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contidos na Ata de Registro de Preços deverá ser precedida da apreciação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pelo Gerenciador do SRP e da unidade administrativa solicitante dos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produtos ou serviços, que, discordando, recomendará à autoridade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competente do Tribunal as medidas a serem adotadas.</w:t>
      </w:r>
    </w:p>
    <w:p w14:paraId="443D4487" w14:textId="19D22783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§1</w:t>
      </w:r>
      <w:r w:rsidR="00217B82" w:rsidRPr="00E3148C">
        <w:rPr>
          <w:rFonts w:ascii="Arial" w:hAnsi="Arial" w:cs="Arial"/>
        </w:rPr>
        <w:t>º</w:t>
      </w:r>
      <w:r w:rsidRPr="00E3148C">
        <w:rPr>
          <w:rFonts w:ascii="Arial" w:hAnsi="Arial" w:cs="Arial"/>
        </w:rPr>
        <w:t xml:space="preserve"> O preço registrado poderá ser revisto em decorrência de eventual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redução daqueles praticados no mercado ou de fato que eleve o custo dos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serviços ou bens registrados, cabendo ao Gestor do contrato promover as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necessárias negociações junto aos fornecedores.</w:t>
      </w:r>
    </w:p>
    <w:p w14:paraId="7D7ACFC6" w14:textId="692DB6FE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§2</w:t>
      </w:r>
      <w:r w:rsidR="00217B82" w:rsidRPr="00E3148C">
        <w:rPr>
          <w:rFonts w:ascii="Arial" w:hAnsi="Arial" w:cs="Arial"/>
        </w:rPr>
        <w:t>º</w:t>
      </w:r>
      <w:r w:rsidRPr="00E3148C">
        <w:rPr>
          <w:rFonts w:ascii="Arial" w:hAnsi="Arial" w:cs="Arial"/>
        </w:rPr>
        <w:t xml:space="preserve"> Quando o preço registrado, por motivo superveniente e devidamente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comprovado, tornar-se superior ao preço praticado no mercado, o Gestor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do contrato deverá:</w:t>
      </w:r>
    </w:p>
    <w:p w14:paraId="6B81CBE0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 - convocar o fornecedor ou prestador do serviço visando a negociação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para redução do preço e sua adequação ao praticado pelo mercado;</w:t>
      </w:r>
    </w:p>
    <w:p w14:paraId="6D772E68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 - frustrada a negociação, o fornecedor ou prestador do serviço será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liberado do compromisso assumido, sujeitando-se às penalidades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previstas no edital e legislação específica em vigor;</w:t>
      </w:r>
    </w:p>
    <w:p w14:paraId="103C4A7D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III - convocar os demais fornecedores ou prestadores de serviço para igual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oportunidade de negociação.</w:t>
      </w:r>
    </w:p>
    <w:p w14:paraId="740256E1" w14:textId="2F263E38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§3</w:t>
      </w:r>
      <w:r w:rsidR="00217B82" w:rsidRPr="00E3148C">
        <w:rPr>
          <w:rFonts w:ascii="Arial" w:hAnsi="Arial" w:cs="Arial"/>
        </w:rPr>
        <w:t>º</w:t>
      </w:r>
      <w:r w:rsidRPr="00E3148C">
        <w:rPr>
          <w:rFonts w:ascii="Arial" w:hAnsi="Arial" w:cs="Arial"/>
        </w:rPr>
        <w:t xml:space="preserve"> Quando o preço de mercado tornar-se superior aos preços registrados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 o fornecedor ou prestador de serviço, mediante requerimento e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comprovação, não puder cumprir o compromisso, o Gerenciador do SRP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poderá:</w:t>
      </w:r>
    </w:p>
    <w:p w14:paraId="18CBDBCB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 - liberar o fornecedor ou o prestador de serviço do compromisso assumido,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sem aplicação de penalidade, confirmando a veracidade dos motivos e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lastRenderedPageBreak/>
        <w:t>comprovantes apresentados, desde que a comunicação ocorra antes da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autorização do fornecimento ou emissão da nota de empenho;</w:t>
      </w:r>
    </w:p>
    <w:p w14:paraId="5FBBBD81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 - convocar os demais fornecedores e prestadores de serviço para igual</w:t>
      </w:r>
      <w:r w:rsidR="00D90E63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oportunidade de negociação.</w:t>
      </w:r>
    </w:p>
    <w:p w14:paraId="4061F7FF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§ 4.</w:t>
      </w:r>
      <w:r w:rsidR="00217B82" w:rsidRPr="00E3148C">
        <w:rPr>
          <w:rFonts w:ascii="Arial" w:hAnsi="Arial" w:cs="Arial"/>
        </w:rPr>
        <w:t>º</w:t>
      </w:r>
      <w:r w:rsidRPr="00E3148C">
        <w:rPr>
          <w:rFonts w:ascii="Arial" w:hAnsi="Arial" w:cs="Arial"/>
        </w:rPr>
        <w:t xml:space="preserve"> Não havendo êxito nas negociações, a CPL deverá proceder à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revogação da Ata de Registro de Preços, adotando as medidas cabíveis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para obtenção da contratação mais vantajosa.</w:t>
      </w:r>
    </w:p>
    <w:p w14:paraId="0973CE54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18. </w:t>
      </w:r>
      <w:r w:rsidRPr="00E3148C">
        <w:rPr>
          <w:rFonts w:ascii="Arial" w:hAnsi="Arial" w:cs="Arial"/>
        </w:rPr>
        <w:t>O fornecedor do bem ou prestador do serviço poderá ter seu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registro cancelado nos seguintes casos:</w:t>
      </w:r>
    </w:p>
    <w:p w14:paraId="3ABF1414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 - descumprir as condições da Ata de Registro de Preços;</w:t>
      </w:r>
    </w:p>
    <w:p w14:paraId="4F721982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 - fornecer produtos similares não compatíveis com os especificados no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Edital;</w:t>
      </w:r>
    </w:p>
    <w:p w14:paraId="67496CB0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III - recusar-se a fornecer o produto, ou a celebrar o contrato e não retirar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o instrumento equivalente no prazo estabelecido pela Administração, sem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justificativa aceitável;</w:t>
      </w:r>
    </w:p>
    <w:p w14:paraId="06DB7B53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IV - não aceitar reduzir o seu preço registrado, na hipótese deste se tornar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superior àqueles praticados no mercado;</w:t>
      </w:r>
    </w:p>
    <w:p w14:paraId="2D16DB65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 - for declarado inidôneo para licitar ou contratar com a Administração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Pública, nos termos do inciso IV, do art. 87, da Lei Federal n.º 8.666/1993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 art. 150 da Lei Estadual nº 15.608/2007;</w:t>
      </w:r>
    </w:p>
    <w:p w14:paraId="60EB8D07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VI - for impedido de licitar e contratar com a Administração Pública do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Tribunal nos termos do art. 7.º, da Lei Federal n.º 10.520/2002;</w:t>
      </w:r>
    </w:p>
    <w:p w14:paraId="478E2F7E" w14:textId="77777777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VII - por razões de interesse público devidamente fundamentadas.</w:t>
      </w:r>
    </w:p>
    <w:p w14:paraId="34C0C878" w14:textId="1B16477E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§1º Para os casos previstos nos incisos I, II, III, IV e V, fica o fornecedor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ou prestador do serviço sujeito às penalidades previstas no edital de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licitação e legislação estadual específica em vigor.</w:t>
      </w:r>
    </w:p>
    <w:p w14:paraId="62D7794F" w14:textId="40C17A40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§2º O fornecedor ou prestador do serviço poderá solicitar o cancelamento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dos preços registrados, através de correspondência, na ocorrência de caso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fortuito, ou de força maior, devidamente comprovados, que fará parte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integrante dos autos que deram origem ao Registro de Preços, facultada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ao Tribunal a aplicação das penalidades previstas no edital de licitação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 legislação municipal específica em vigor.</w:t>
      </w:r>
    </w:p>
    <w:p w14:paraId="7F55C41B" w14:textId="597BCA6E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t>§3º No caso da não localização do fornecedor ou prestador do serviço, a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comunicação será feita mediante publicação no periódico - Atos do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Tribunal de Contas do Estado do Paraná por 01 (uma) única vez,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considerando-se cancelado o preço registrado a partir do prazo estipulado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na publicação, facultada à Autoridade Competente a aplicação das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penalidades previstas no edital de licitação e legislação municipal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específica em vigor.</w:t>
      </w:r>
    </w:p>
    <w:p w14:paraId="18513C0B" w14:textId="7D11CE5A" w:rsidR="00655A8B" w:rsidRPr="00E3148C" w:rsidRDefault="00655A8B" w:rsidP="00C10F9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</w:rPr>
        <w:lastRenderedPageBreak/>
        <w:t>§ 4º Para a autorização de fornecimento ou empenho emitido, após a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comunicação ao fornecedor ou prestador de serviço, assumem estes a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obrigação de efetuar a entrega dos materiais ou a executar os serviços pelo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valor empenhado. No caso do não cumprimento, serão aplicadas as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penalidades previstas no edital de licitação e legislação municipal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específica em vigor.</w:t>
      </w:r>
    </w:p>
    <w:p w14:paraId="7F792BC3" w14:textId="77777777" w:rsidR="00655A8B" w:rsidRPr="00E3148C" w:rsidRDefault="00655A8B" w:rsidP="003D005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3379ED" w14:textId="4318974D" w:rsidR="002C3055" w:rsidRDefault="002C3055" w:rsidP="003D0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148C">
        <w:rPr>
          <w:rFonts w:ascii="Arial" w:hAnsi="Arial" w:cs="Arial"/>
          <w:b/>
          <w:bCs/>
        </w:rPr>
        <w:t>CAPÍTULO V</w:t>
      </w:r>
    </w:p>
    <w:p w14:paraId="6690D9C3" w14:textId="6A7EE509" w:rsidR="00655A8B" w:rsidRPr="00E3148C" w:rsidRDefault="001F6FA5" w:rsidP="003D0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3148C">
        <w:rPr>
          <w:rFonts w:ascii="Arial" w:hAnsi="Arial" w:cs="Arial"/>
          <w:b/>
          <w:bCs/>
        </w:rPr>
        <w:t>DAS DISPOSIÇÕES FINAIS</w:t>
      </w:r>
    </w:p>
    <w:p w14:paraId="1C9C8FBD" w14:textId="77777777" w:rsidR="00655A8B" w:rsidRPr="00E3148C" w:rsidRDefault="00655A8B" w:rsidP="00D8524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19. </w:t>
      </w:r>
      <w:r w:rsidRPr="00E3148C">
        <w:rPr>
          <w:rFonts w:ascii="Arial" w:hAnsi="Arial" w:cs="Arial"/>
        </w:rPr>
        <w:t>O Gerenciador do SRP fará publicar, trimestralmente, no periódico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- Atos do Tribunal de Contas do Estado do Paraná os preços constantes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da Ata de Registro.</w:t>
      </w:r>
    </w:p>
    <w:p w14:paraId="3D431443" w14:textId="77777777" w:rsidR="00655A8B" w:rsidRPr="00E3148C" w:rsidRDefault="00655A8B" w:rsidP="00D8524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20. A"/>
        </w:smartTagPr>
        <w:r w:rsidRPr="00E3148C">
          <w:rPr>
            <w:rFonts w:ascii="Arial" w:hAnsi="Arial" w:cs="Arial"/>
            <w:b/>
            <w:bCs/>
          </w:rPr>
          <w:t xml:space="preserve">20. </w:t>
        </w:r>
        <w:r w:rsidRPr="00E3148C">
          <w:rPr>
            <w:rFonts w:ascii="Arial" w:hAnsi="Arial" w:cs="Arial"/>
          </w:rPr>
          <w:t>A</w:t>
        </w:r>
      </w:smartTag>
      <w:r w:rsidRPr="00E3148C">
        <w:rPr>
          <w:rFonts w:ascii="Arial" w:hAnsi="Arial" w:cs="Arial"/>
        </w:rPr>
        <w:t xml:space="preserve"> Administração deverá estipular previamente o sistema de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controle e atualização dos preços a serem registrados no Sistema de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Registro de Preços.</w:t>
      </w:r>
    </w:p>
    <w:p w14:paraId="516D1692" w14:textId="77777777" w:rsidR="00655A8B" w:rsidRPr="00E3148C" w:rsidRDefault="00655A8B" w:rsidP="00D8524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3148C">
        <w:rPr>
          <w:rFonts w:ascii="Arial" w:hAnsi="Arial" w:cs="Arial"/>
          <w:b/>
          <w:bCs/>
        </w:rPr>
        <w:t xml:space="preserve">Art. 21. </w:t>
      </w:r>
      <w:r w:rsidRPr="00E3148C">
        <w:rPr>
          <w:rFonts w:ascii="Arial" w:hAnsi="Arial" w:cs="Arial"/>
        </w:rPr>
        <w:t>Esta Resolução entrará em vigor na data de sua publicação nos</w:t>
      </w:r>
      <w:r w:rsidR="003D005A" w:rsidRPr="00E3148C">
        <w:rPr>
          <w:rFonts w:ascii="Arial" w:hAnsi="Arial" w:cs="Arial"/>
        </w:rPr>
        <w:t xml:space="preserve"> </w:t>
      </w:r>
      <w:r w:rsidRPr="00E3148C">
        <w:rPr>
          <w:rFonts w:ascii="Arial" w:hAnsi="Arial" w:cs="Arial"/>
        </w:rPr>
        <w:t>Atos Oficiais do Tribunal de Contas do Estado do Paraná.</w:t>
      </w:r>
    </w:p>
    <w:p w14:paraId="6107BCC6" w14:textId="77777777" w:rsidR="00655A8B" w:rsidRPr="00E3148C" w:rsidRDefault="00655A8B" w:rsidP="00655A8B">
      <w:pPr>
        <w:autoSpaceDE w:val="0"/>
        <w:autoSpaceDN w:val="0"/>
        <w:adjustRightInd w:val="0"/>
        <w:rPr>
          <w:rFonts w:ascii="Arial" w:hAnsi="Arial" w:cs="Arial"/>
        </w:rPr>
      </w:pPr>
    </w:p>
    <w:p w14:paraId="00E1DAB0" w14:textId="77777777" w:rsidR="00655A8B" w:rsidRPr="00E3148C" w:rsidRDefault="00655A8B" w:rsidP="00655A8B">
      <w:pPr>
        <w:autoSpaceDE w:val="0"/>
        <w:autoSpaceDN w:val="0"/>
        <w:adjustRightInd w:val="0"/>
        <w:rPr>
          <w:rFonts w:ascii="Arial" w:hAnsi="Arial" w:cs="Arial"/>
        </w:rPr>
      </w:pPr>
    </w:p>
    <w:p w14:paraId="738F54D8" w14:textId="77777777" w:rsidR="00655A8B" w:rsidRPr="005623DF" w:rsidRDefault="00655A8B" w:rsidP="005623D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623DF">
        <w:rPr>
          <w:rFonts w:ascii="Arial" w:hAnsi="Arial" w:cs="Arial"/>
        </w:rPr>
        <w:t>Sala das Sessões, em 14 de fevereiro de 2008.</w:t>
      </w:r>
    </w:p>
    <w:p w14:paraId="5CB6EA8A" w14:textId="77777777" w:rsidR="00655A8B" w:rsidRDefault="00655A8B" w:rsidP="00655A8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3FDF352" w14:textId="77777777" w:rsidR="00D85245" w:rsidRPr="00D85245" w:rsidRDefault="00D85245" w:rsidP="00655A8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050901D" w14:textId="77777777" w:rsidR="00655A8B" w:rsidRPr="005623DF" w:rsidRDefault="00655A8B" w:rsidP="00655A8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DB59C86" w14:textId="77777777" w:rsidR="00655A8B" w:rsidRPr="005623DF" w:rsidRDefault="00655A8B" w:rsidP="005623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 w:rsidRPr="005623DF">
        <w:rPr>
          <w:rFonts w:ascii="Arial" w:hAnsi="Arial" w:cs="Arial"/>
          <w:b/>
          <w:bCs/>
          <w:iCs/>
        </w:rPr>
        <w:t>NESTOR BAPTISTA</w:t>
      </w:r>
    </w:p>
    <w:p w14:paraId="1B42A16A" w14:textId="77777777" w:rsidR="00655A8B" w:rsidRPr="005623DF" w:rsidRDefault="00655A8B" w:rsidP="005623DF">
      <w:pPr>
        <w:autoSpaceDE w:val="0"/>
        <w:autoSpaceDN w:val="0"/>
        <w:adjustRightInd w:val="0"/>
        <w:jc w:val="center"/>
        <w:rPr>
          <w:rFonts w:ascii="Arial" w:hAnsi="Arial" w:cs="Arial"/>
          <w:iCs/>
        </w:rPr>
      </w:pPr>
      <w:r w:rsidRPr="005623DF">
        <w:rPr>
          <w:rFonts w:ascii="Arial" w:hAnsi="Arial" w:cs="Arial"/>
          <w:iCs/>
        </w:rPr>
        <w:t>Presidente</w:t>
      </w:r>
    </w:p>
    <w:sectPr w:rsidR="00655A8B" w:rsidRPr="005623DF" w:rsidSect="002E3CE8">
      <w:headerReference w:type="default" r:id="rId8"/>
      <w:footnotePr>
        <w:numFmt w:val="chicago"/>
      </w:footnotePr>
      <w:pgSz w:w="12240" w:h="15840"/>
      <w:pgMar w:top="1418" w:right="170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9457" w14:textId="77777777" w:rsidR="00653F50" w:rsidRDefault="00653F50">
      <w:r>
        <w:separator/>
      </w:r>
    </w:p>
  </w:endnote>
  <w:endnote w:type="continuationSeparator" w:id="0">
    <w:p w14:paraId="048C5A0D" w14:textId="77777777" w:rsidR="00653F50" w:rsidRDefault="0065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6ABB" w14:textId="77777777" w:rsidR="00653F50" w:rsidRDefault="00653F50">
      <w:r>
        <w:separator/>
      </w:r>
    </w:p>
  </w:footnote>
  <w:footnote w:type="continuationSeparator" w:id="0">
    <w:p w14:paraId="38E9221F" w14:textId="77777777" w:rsidR="00653F50" w:rsidRDefault="00653F50">
      <w:r>
        <w:continuationSeparator/>
      </w:r>
    </w:p>
  </w:footnote>
  <w:footnote w:id="1">
    <w:p w14:paraId="505FBE6A" w14:textId="77777777" w:rsidR="00B44543" w:rsidRPr="00396F18" w:rsidRDefault="00B77DEC" w:rsidP="00B44543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B44543" w:rsidRPr="00396F18">
        <w:rPr>
          <w:rFonts w:ascii="Arial" w:hAnsi="Arial" w:cs="Arial"/>
          <w:b/>
        </w:rPr>
        <w:t>Notas da Biblioteca:</w:t>
      </w:r>
    </w:p>
    <w:p w14:paraId="30D1E67A" w14:textId="3E26C0F5" w:rsidR="00B77DEC" w:rsidRDefault="00B44543" w:rsidP="00685548">
      <w:pPr>
        <w:pStyle w:val="Textodenotaderodap"/>
        <w:tabs>
          <w:tab w:val="left" w:pos="284"/>
        </w:tabs>
        <w:ind w:left="142"/>
        <w:jc w:val="both"/>
      </w:pPr>
      <w:r w:rsidRPr="007D6BC2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7D6BC2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Pr="007D6BC2">
          <w:rPr>
            <w:rStyle w:val="Hyperlink"/>
            <w:rFonts w:ascii="Arial" w:hAnsi="Arial" w:cs="Arial"/>
            <w:bCs/>
          </w:rPr>
          <w:t>,</w:t>
        </w:r>
        <w:r w:rsidRPr="007D6BC2">
          <w:rPr>
            <w:rStyle w:val="Hyperlink"/>
            <w:rFonts w:ascii="Arial" w:hAnsi="Arial" w:cs="Arial"/>
          </w:rPr>
          <w:t xml:space="preserve"> Curitiba, PR, n. 211, 7 ago. 2009, p. 98</w:t>
        </w:r>
      </w:hyperlink>
      <w:r w:rsidRPr="007D6BC2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B180" w14:textId="3D71B30C" w:rsidR="00D51126" w:rsidRDefault="00D51126" w:rsidP="00BC7915">
    <w:pPr>
      <w:pStyle w:val="Cabealho"/>
      <w:ind w:firstLine="709"/>
      <w:jc w:val="center"/>
      <w:rPr>
        <w:b/>
        <w:sz w:val="36"/>
      </w:rPr>
    </w:pPr>
    <w:r>
      <w:rPr>
        <w:noProof/>
      </w:rPr>
      <w:pict w14:anchorId="5CE56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1025" type="#_x0000_t75" style="position:absolute;left:0;text-align:left;margin-left:10.2pt;margin-top:4.75pt;width:42.85pt;height:52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379 0 -379 21291 21600 21291 21600 0 -379 0">
          <v:imagedata r:id="rId1" r:href="rId2"/>
          <w10:wrap type="tight"/>
        </v:shape>
      </w:pict>
    </w:r>
    <w:r w:rsidR="00BC7915">
      <w:rPr>
        <w:b/>
        <w:sz w:val="36"/>
      </w:rPr>
      <w:t xml:space="preserve">  </w:t>
    </w:r>
  </w:p>
  <w:p w14:paraId="505091E4" w14:textId="5610571C" w:rsidR="00BC7915" w:rsidRDefault="00BC7915" w:rsidP="00BC7915">
    <w:pPr>
      <w:pStyle w:val="Cabealho"/>
      <w:ind w:firstLine="709"/>
      <w:jc w:val="center"/>
      <w:rPr>
        <w:rFonts w:ascii="Arial" w:hAnsi="Arial" w:cs="Arial"/>
        <w:b/>
        <w:sz w:val="28"/>
        <w:szCs w:val="28"/>
      </w:rPr>
    </w:pPr>
    <w:r>
      <w:rPr>
        <w:b/>
        <w:sz w:val="36"/>
      </w:rPr>
      <w:t xml:space="preserve"> </w:t>
    </w:r>
    <w:r w:rsidRPr="00D71B89">
      <w:rPr>
        <w:rFonts w:ascii="Arial" w:hAnsi="Arial" w:cs="Arial"/>
        <w:b/>
        <w:sz w:val="28"/>
        <w:szCs w:val="28"/>
      </w:rPr>
      <w:t>TRIBUNAL DE CONTAS DO ESTADO DO PARANÁ</w:t>
    </w:r>
  </w:p>
  <w:p w14:paraId="57355DAF" w14:textId="77777777" w:rsidR="00D51126" w:rsidRDefault="00D51126" w:rsidP="00BC7915">
    <w:pPr>
      <w:pStyle w:val="Cabealho"/>
      <w:ind w:firstLine="709"/>
      <w:jc w:val="center"/>
      <w:rPr>
        <w:rFonts w:cs="Arial"/>
        <w:b/>
        <w:sz w:val="28"/>
        <w:szCs w:val="28"/>
      </w:rPr>
    </w:pPr>
  </w:p>
  <w:p w14:paraId="0604F0C4" w14:textId="271DCDED" w:rsidR="00217B82" w:rsidRPr="002E3CE8" w:rsidRDefault="00217B82" w:rsidP="002E3C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4701A"/>
    <w:multiLevelType w:val="hybridMultilevel"/>
    <w:tmpl w:val="76FE652E"/>
    <w:lvl w:ilvl="0" w:tplc="BA7A8B5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558591">
    <w:abstractNumId w:val="0"/>
  </w:num>
  <w:num w:numId="2" w16cid:durableId="214342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A8B"/>
    <w:rsid w:val="00177A0D"/>
    <w:rsid w:val="001F6FA5"/>
    <w:rsid w:val="00217B82"/>
    <w:rsid w:val="002C3055"/>
    <w:rsid w:val="002E3CE8"/>
    <w:rsid w:val="003D005A"/>
    <w:rsid w:val="00430049"/>
    <w:rsid w:val="004365D4"/>
    <w:rsid w:val="005623DF"/>
    <w:rsid w:val="00653F50"/>
    <w:rsid w:val="00655A8B"/>
    <w:rsid w:val="00685548"/>
    <w:rsid w:val="00910F33"/>
    <w:rsid w:val="00B44543"/>
    <w:rsid w:val="00B77B84"/>
    <w:rsid w:val="00B77DEC"/>
    <w:rsid w:val="00BC7915"/>
    <w:rsid w:val="00C10F9E"/>
    <w:rsid w:val="00C25EE1"/>
    <w:rsid w:val="00D51126"/>
    <w:rsid w:val="00D838B0"/>
    <w:rsid w:val="00D85245"/>
    <w:rsid w:val="00D90E63"/>
    <w:rsid w:val="00E3148C"/>
    <w:rsid w:val="00E735B4"/>
    <w:rsid w:val="00F52943"/>
    <w:rsid w:val="00F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486011C"/>
  <w15:chartTrackingRefBased/>
  <w15:docId w15:val="{FB249B52-586B-4EAB-B68B-1D369755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217B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17B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C7915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B77DE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77DEC"/>
  </w:style>
  <w:style w:type="character" w:styleId="Refdenotaderodap">
    <w:name w:val="footnote reference"/>
    <w:rsid w:val="00B77DEC"/>
    <w:rPr>
      <w:vertAlign w:val="superscript"/>
    </w:rPr>
  </w:style>
  <w:style w:type="paragraph" w:customStyle="1" w:styleId="Paragrafo">
    <w:name w:val="Paragrafo"/>
    <w:basedOn w:val="Normal"/>
    <w:rsid w:val="00B44543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styleId="Hyperlink">
    <w:name w:val="Hyperlink"/>
    <w:uiPriority w:val="99"/>
    <w:rsid w:val="00B44543"/>
    <w:rPr>
      <w:color w:val="0000FF"/>
      <w:u w:val="single"/>
    </w:rPr>
  </w:style>
  <w:style w:type="character" w:styleId="Forte">
    <w:name w:val="Strong"/>
    <w:uiPriority w:val="22"/>
    <w:qFormat/>
    <w:rsid w:val="004365D4"/>
    <w:rPr>
      <w:b/>
      <w:bCs/>
    </w:rPr>
  </w:style>
  <w:style w:type="character" w:customStyle="1" w:styleId="apple-converted-space">
    <w:name w:val="apple-converted-space"/>
    <w:rsid w:val="0043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09/8/pdf/00000395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r.gov.br/seec/simbolos/brasao_pequen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4E68-8B0D-478C-B941-5E7BCE1D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2603</Words>
  <Characters>14062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10/2008</vt:lpstr>
    </vt:vector>
  </TitlesOfParts>
  <Company>TCE-PR</Company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10/2008</dc:title>
  <dc:subject/>
  <dc:creator>TC509400</dc:creator>
  <cp:keywords/>
  <dc:description/>
  <cp:lastModifiedBy>Yarusya Fonseca</cp:lastModifiedBy>
  <cp:revision>21</cp:revision>
  <dcterms:created xsi:type="dcterms:W3CDTF">2022-07-06T21:21:00Z</dcterms:created>
  <dcterms:modified xsi:type="dcterms:W3CDTF">2022-07-06T21:37:00Z</dcterms:modified>
</cp:coreProperties>
</file>