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9CF9" w14:textId="78CA9250" w:rsidR="00E45C94" w:rsidRPr="00F53EDA" w:rsidRDefault="00E45C94" w:rsidP="00EC58BE">
      <w:pPr>
        <w:pStyle w:val="Corpodetexto"/>
        <w:spacing w:before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53EDA">
        <w:rPr>
          <w:rFonts w:ascii="Arial" w:hAnsi="Arial" w:cs="Arial"/>
          <w:b/>
          <w:sz w:val="28"/>
          <w:szCs w:val="28"/>
        </w:rPr>
        <w:t>RESOLUÇÃO</w:t>
      </w:r>
      <w:r w:rsidR="00EC58BE">
        <w:rPr>
          <w:rFonts w:ascii="Arial" w:hAnsi="Arial" w:cs="Arial"/>
          <w:b/>
          <w:sz w:val="28"/>
          <w:szCs w:val="28"/>
        </w:rPr>
        <w:t xml:space="preserve"> Nº </w:t>
      </w:r>
      <w:r w:rsidR="00865126">
        <w:rPr>
          <w:rFonts w:ascii="Arial" w:hAnsi="Arial" w:cs="Arial"/>
          <w:b/>
          <w:sz w:val="28"/>
          <w:szCs w:val="28"/>
        </w:rPr>
        <w:t>67/2018</w:t>
      </w:r>
      <w:r w:rsidR="00F21B6B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6E989CFA" w14:textId="14DDE5AD" w:rsidR="00E45C94" w:rsidRPr="003323BD" w:rsidRDefault="00E45C94" w:rsidP="00E45C94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3323BD">
        <w:rPr>
          <w:rFonts w:cs="Arial"/>
          <w:i/>
          <w:szCs w:val="22"/>
        </w:rPr>
        <w:t xml:space="preserve">Dispõe sobre alterações </w:t>
      </w:r>
      <w:r w:rsidR="004E16ED" w:rsidRPr="003323BD">
        <w:rPr>
          <w:rFonts w:cs="Arial"/>
          <w:i/>
          <w:szCs w:val="22"/>
        </w:rPr>
        <w:t>d</w:t>
      </w:r>
      <w:r w:rsidRPr="003323BD">
        <w:rPr>
          <w:rFonts w:cs="Arial"/>
          <w:i/>
          <w:szCs w:val="22"/>
        </w:rPr>
        <w:t>o Regimento Interno</w:t>
      </w:r>
      <w:r w:rsidR="003323BD" w:rsidRPr="003323BD">
        <w:rPr>
          <w:rFonts w:cs="Arial"/>
          <w:i/>
          <w:szCs w:val="22"/>
        </w:rPr>
        <w:t>.</w:t>
      </w:r>
    </w:p>
    <w:p w14:paraId="6E989CFB" w14:textId="3A47D7BA" w:rsidR="00E45C94" w:rsidRPr="0035260C" w:rsidRDefault="00E45C94" w:rsidP="00E45C9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3323BD">
        <w:rPr>
          <w:bCs/>
          <w:sz w:val="24"/>
        </w:rPr>
        <w:t xml:space="preserve">O </w:t>
      </w:r>
      <w:r w:rsidRPr="0035260C">
        <w:rPr>
          <w:b/>
          <w:sz w:val="24"/>
        </w:rPr>
        <w:t>TRIBUNAL DE CONTAS DO ESTADO DO PARANÁ</w:t>
      </w:r>
      <w:r w:rsidRPr="0035260C">
        <w:rPr>
          <w:sz w:val="24"/>
        </w:rPr>
        <w:t xml:space="preserve">, no uso das atribuições contidas nos </w:t>
      </w:r>
      <w:proofErr w:type="spellStart"/>
      <w:r w:rsidRPr="0035260C">
        <w:rPr>
          <w:sz w:val="24"/>
        </w:rPr>
        <w:t>arts</w:t>
      </w:r>
      <w:proofErr w:type="spellEnd"/>
      <w:r w:rsidRPr="0035260C">
        <w:rPr>
          <w:sz w:val="24"/>
        </w:rPr>
        <w:t xml:space="preserve">. 2º, I, 116, XII, e parágrafo único, da Lei Complementar nº 113, de 15 de dezembro de 2005, e no art. 5º, XIII, do Regimento Interno, e com base no art. 167 da citada Lei Complementar nº 113/2005, c/c os </w:t>
      </w:r>
      <w:proofErr w:type="spellStart"/>
      <w:r w:rsidRPr="0035260C">
        <w:rPr>
          <w:sz w:val="24"/>
        </w:rPr>
        <w:t>arts</w:t>
      </w:r>
      <w:proofErr w:type="spellEnd"/>
      <w:r w:rsidRPr="0035260C">
        <w:rPr>
          <w:sz w:val="24"/>
        </w:rPr>
        <w:t xml:space="preserve">. 188 a 191, também do Regimento Interno, e considerando o </w:t>
      </w:r>
      <w:hyperlink r:id="rId7" w:history="1">
        <w:r w:rsidRPr="00273630">
          <w:rPr>
            <w:rStyle w:val="Hyperlink"/>
            <w:sz w:val="24"/>
          </w:rPr>
          <w:t xml:space="preserve">Acórdão nº </w:t>
        </w:r>
        <w:r w:rsidR="00EC58BE" w:rsidRPr="00273630">
          <w:rPr>
            <w:rStyle w:val="Hyperlink"/>
            <w:sz w:val="24"/>
          </w:rPr>
          <w:t>3.561/2018</w:t>
        </w:r>
        <w:r w:rsidRPr="00273630">
          <w:rPr>
            <w:rStyle w:val="Hyperlink"/>
            <w:sz w:val="24"/>
          </w:rPr>
          <w:t xml:space="preserve"> – Tribunal Pleno</w:t>
        </w:r>
      </w:hyperlink>
      <w:r w:rsidRPr="0035260C">
        <w:rPr>
          <w:sz w:val="24"/>
        </w:rPr>
        <w:t xml:space="preserve">, Processo nº </w:t>
      </w:r>
      <w:r w:rsidR="00EC58BE">
        <w:rPr>
          <w:sz w:val="24"/>
        </w:rPr>
        <w:t>576230/2018,</w:t>
      </w:r>
    </w:p>
    <w:p w14:paraId="6E989CFC" w14:textId="77777777" w:rsidR="00E45C94" w:rsidRPr="00123AE6" w:rsidRDefault="00E45C94" w:rsidP="00E45C94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23AE6">
        <w:rPr>
          <w:rFonts w:ascii="Arial" w:hAnsi="Arial" w:cs="Arial"/>
          <w:b/>
          <w:bCs/>
          <w:color w:val="000000"/>
          <w:sz w:val="24"/>
          <w:szCs w:val="24"/>
        </w:rPr>
        <w:t>RESOLVE</w:t>
      </w:r>
    </w:p>
    <w:p w14:paraId="6E989CFD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3323BD">
        <w:rPr>
          <w:rFonts w:cs="Arial"/>
          <w:b/>
          <w:sz w:val="24"/>
        </w:rPr>
        <w:t>Art. 1º</w:t>
      </w:r>
      <w:r w:rsidRPr="003323BD">
        <w:rPr>
          <w:rFonts w:cs="Arial"/>
          <w:sz w:val="24"/>
        </w:rPr>
        <w:t xml:space="preserve"> </w:t>
      </w:r>
      <w:r w:rsidR="00153DFD" w:rsidRPr="003323BD">
        <w:rPr>
          <w:rFonts w:cs="Arial"/>
          <w:bCs w:val="0"/>
          <w:sz w:val="24"/>
        </w:rPr>
        <w:t>O § 1º do art. 177 do Regimento Interno</w:t>
      </w:r>
      <w:r w:rsidRPr="003323BD">
        <w:rPr>
          <w:rFonts w:cs="Arial"/>
          <w:bCs w:val="0"/>
          <w:sz w:val="24"/>
        </w:rPr>
        <w:t xml:space="preserve"> </w:t>
      </w:r>
      <w:r w:rsidRPr="003323BD">
        <w:rPr>
          <w:rFonts w:cs="Arial"/>
          <w:sz w:val="24"/>
        </w:rPr>
        <w:t>passa a vigorar com as seguintes alterações:</w:t>
      </w:r>
    </w:p>
    <w:p w14:paraId="6E989CFE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“</w:t>
      </w:r>
      <w:r w:rsidRPr="003323BD">
        <w:rPr>
          <w:rFonts w:cs="Arial"/>
          <w:sz w:val="24"/>
          <w:u w:val="single"/>
        </w:rPr>
        <w:t>Art. 177.</w:t>
      </w:r>
      <w:r w:rsidRPr="003323BD">
        <w:rPr>
          <w:rFonts w:cs="Arial"/>
          <w:sz w:val="24"/>
        </w:rPr>
        <w:t xml:space="preserve"> [...]</w:t>
      </w:r>
    </w:p>
    <w:p w14:paraId="6E989CFF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§ 1º Os órgãos auxiliares estarão diretamente vinculados à Presidência do Tribunal de Contas, excetuados os do § 2°, do art. 176.”</w:t>
      </w:r>
    </w:p>
    <w:p w14:paraId="6E989D00" w14:textId="77777777" w:rsidR="00BB52FE" w:rsidRPr="003323BD" w:rsidRDefault="00BB52FE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b/>
          <w:sz w:val="24"/>
        </w:rPr>
        <w:t xml:space="preserve">Art. 2º </w:t>
      </w:r>
      <w:r w:rsidRPr="003323BD">
        <w:rPr>
          <w:rFonts w:cs="Arial"/>
          <w:sz w:val="24"/>
        </w:rPr>
        <w:t>Ficam incluídos no Regimento Interno os seguintes dispositivos:</w:t>
      </w:r>
    </w:p>
    <w:p w14:paraId="6E989D01" w14:textId="77777777" w:rsidR="00BB52FE" w:rsidRPr="003323BD" w:rsidRDefault="00BB52FE" w:rsidP="00BB52F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“</w:t>
      </w:r>
      <w:r w:rsidRPr="003323BD">
        <w:rPr>
          <w:rFonts w:cs="Arial"/>
          <w:sz w:val="24"/>
          <w:u w:val="single"/>
        </w:rPr>
        <w:t>Art. 176.</w:t>
      </w:r>
      <w:r w:rsidRPr="003323BD">
        <w:rPr>
          <w:rFonts w:cs="Arial"/>
          <w:sz w:val="24"/>
        </w:rPr>
        <w:t xml:space="preserve"> [...]</w:t>
      </w:r>
    </w:p>
    <w:p w14:paraId="6E989D02" w14:textId="77777777" w:rsidR="00BB52FE" w:rsidRPr="003323BD" w:rsidRDefault="00BB52FE" w:rsidP="00BB52F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§ 1º [...]</w:t>
      </w:r>
    </w:p>
    <w:p w14:paraId="6E989D03" w14:textId="77777777" w:rsidR="00BB52FE" w:rsidRPr="003323BD" w:rsidRDefault="00BB52FE" w:rsidP="00BB52F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[...]</w:t>
      </w:r>
    </w:p>
    <w:p w14:paraId="6E989D04" w14:textId="77777777" w:rsidR="00BB52FE" w:rsidRPr="003323BD" w:rsidRDefault="00BB52FE" w:rsidP="00BB52F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i/>
          <w:sz w:val="24"/>
        </w:rPr>
        <w:t>i</w:t>
      </w:r>
      <w:r w:rsidRPr="003323BD">
        <w:rPr>
          <w:rFonts w:cs="Arial"/>
          <w:sz w:val="24"/>
        </w:rPr>
        <w:t>) Sanções Administrativas;</w:t>
      </w:r>
    </w:p>
    <w:p w14:paraId="6E989D05" w14:textId="77777777" w:rsidR="00BB52FE" w:rsidRPr="003323BD" w:rsidRDefault="00BB52FE" w:rsidP="00BB52F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i/>
          <w:sz w:val="24"/>
        </w:rPr>
        <w:t>j</w:t>
      </w:r>
      <w:r w:rsidRPr="003323BD">
        <w:rPr>
          <w:rFonts w:cs="Arial"/>
          <w:sz w:val="24"/>
        </w:rPr>
        <w:t xml:space="preserve">) </w:t>
      </w:r>
      <w:r w:rsidR="004706A9" w:rsidRPr="003323BD">
        <w:rPr>
          <w:rFonts w:cs="Arial"/>
          <w:sz w:val="24"/>
        </w:rPr>
        <w:t>Procedimentos Patrimoniais</w:t>
      </w:r>
      <w:r w:rsidRPr="003323BD">
        <w:rPr>
          <w:rFonts w:cs="Arial"/>
          <w:sz w:val="24"/>
        </w:rPr>
        <w:t>.”</w:t>
      </w:r>
    </w:p>
    <w:p w14:paraId="6E989D06" w14:textId="77777777" w:rsidR="00BB52FE" w:rsidRPr="003323BD" w:rsidRDefault="00BB52FE" w:rsidP="00BB52F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[...]</w:t>
      </w:r>
    </w:p>
    <w:p w14:paraId="6E989D07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“</w:t>
      </w:r>
      <w:r w:rsidRPr="003323BD">
        <w:rPr>
          <w:rFonts w:cs="Arial"/>
          <w:sz w:val="24"/>
          <w:u w:val="single"/>
        </w:rPr>
        <w:t>Art. 186-D.</w:t>
      </w:r>
      <w:r w:rsidRPr="003323BD">
        <w:rPr>
          <w:rFonts w:cs="Arial"/>
          <w:sz w:val="24"/>
        </w:rPr>
        <w:t xml:space="preserve"> Compete à Comissão de Sanções Administrativas as atividades relacionadas à condução e à instrução do procedimento de aplicação de sanções administrativas previsto no Título IV, Capítulo V, Seção III, da Lei Estadual nº 15.608</w:t>
      </w:r>
      <w:r w:rsidR="006C29E7" w:rsidRPr="003323BD">
        <w:rPr>
          <w:rFonts w:cs="Arial"/>
          <w:sz w:val="24"/>
        </w:rPr>
        <w:t>/</w:t>
      </w:r>
      <w:r w:rsidR="00F53EDA" w:rsidRPr="003323BD">
        <w:rPr>
          <w:rFonts w:cs="Arial"/>
          <w:sz w:val="24"/>
        </w:rPr>
        <w:t>2007,</w:t>
      </w:r>
      <w:r w:rsidRPr="003323BD">
        <w:rPr>
          <w:rFonts w:cs="Arial"/>
          <w:sz w:val="24"/>
        </w:rPr>
        <w:t xml:space="preserve"> e demais atividades correlatas definidas em ato normativo próprio.</w:t>
      </w:r>
    </w:p>
    <w:p w14:paraId="6E989D08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lastRenderedPageBreak/>
        <w:t xml:space="preserve">Parágrafo único. Observado o disposto no </w:t>
      </w:r>
      <w:r w:rsidRPr="003323BD">
        <w:rPr>
          <w:rFonts w:cs="Arial"/>
          <w:i/>
          <w:sz w:val="24"/>
        </w:rPr>
        <w:t>caput</w:t>
      </w:r>
      <w:r w:rsidRPr="003323BD">
        <w:rPr>
          <w:rFonts w:cs="Arial"/>
          <w:sz w:val="24"/>
        </w:rPr>
        <w:t xml:space="preserve"> do art. 177, fica vedada a recondução da totalidade dos membros desta comissão para o período subsequente.”</w:t>
      </w:r>
    </w:p>
    <w:p w14:paraId="6E989D09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“</w:t>
      </w:r>
      <w:r w:rsidRPr="003323BD">
        <w:rPr>
          <w:rFonts w:cs="Arial"/>
          <w:sz w:val="24"/>
          <w:u w:val="single"/>
        </w:rPr>
        <w:t>Art. 186-E.</w:t>
      </w:r>
      <w:r w:rsidRPr="003323BD">
        <w:rPr>
          <w:rFonts w:cs="Arial"/>
          <w:sz w:val="24"/>
        </w:rPr>
        <w:t xml:space="preserve"> Compete à </w:t>
      </w:r>
      <w:r w:rsidR="00153DFD" w:rsidRPr="003323BD">
        <w:rPr>
          <w:rFonts w:cs="Arial"/>
          <w:sz w:val="24"/>
        </w:rPr>
        <w:t>Comissão de Procedimentos Patrimoniais</w:t>
      </w:r>
      <w:r w:rsidRPr="003323BD">
        <w:rPr>
          <w:rFonts w:cs="Arial"/>
          <w:sz w:val="24"/>
        </w:rPr>
        <w:t>:</w:t>
      </w:r>
    </w:p>
    <w:p w14:paraId="6E989D0A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I - receber os bens objetos de doação ou permuta, caso não haja designação específica para tal ato;</w:t>
      </w:r>
    </w:p>
    <w:p w14:paraId="6E989D0B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II - avaliar ou reavaliar os bens do TCE</w:t>
      </w:r>
      <w:r w:rsidR="006428E5" w:rsidRPr="003323BD">
        <w:rPr>
          <w:rFonts w:cs="Arial"/>
          <w:sz w:val="24"/>
        </w:rPr>
        <w:t>-</w:t>
      </w:r>
      <w:r w:rsidRPr="003323BD">
        <w:rPr>
          <w:rFonts w:cs="Arial"/>
          <w:sz w:val="24"/>
        </w:rPr>
        <w:t>PR no caso de alienação e quando exigido pelas normas contábeis ou patrimoniais em vigor, desde que não haja designação específica para tal ato;</w:t>
      </w:r>
    </w:p>
    <w:p w14:paraId="6E989D0C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III - realizar o inventário periódico dos bens móveis permanentes do Tribunal, exceto os do acervo bibliográfico, ou propor a designação específica, por portaria, de comissão para executar essa atividade, na forma de ato normativo próprio;</w:t>
      </w:r>
    </w:p>
    <w:p w14:paraId="6E989D0D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IV - identificar a situação patrimonial e o estado de conservação dos bens inventariados por conta própria e suas necessidades de manutenção e reparo;</w:t>
      </w:r>
    </w:p>
    <w:p w14:paraId="6E989D0E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V - classificar os bens passíveis de disponibilidade de uso em ocioso, recuperável, antieconômico ou irrecuperável;</w:t>
      </w:r>
    </w:p>
    <w:p w14:paraId="6E989D0F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VI - declarar inservível ou desnecessário bem ocioso, recuperável, antieconômico ou irrecuperável, cuja permanência ou remanejamento no âmbito do TCE-PR seja julgado desaconselhável ou inexequível;</w:t>
      </w:r>
    </w:p>
    <w:p w14:paraId="6E989D10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VII - deliberar sobre a baixa de bens permanentes, propondo o modo, os critérios e a forma de desfazimento dos bens declarados inservíveis ou desnecessários; e</w:t>
      </w:r>
    </w:p>
    <w:p w14:paraId="6E989D11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VIII - realizar outras atividades correlatas definidas em ato normativo próprio.</w:t>
      </w:r>
    </w:p>
    <w:p w14:paraId="6E989D12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>§ 1º A Comissão será composta, preferencialmente, por servidores lotados em diferentes unidades, sendo pelo menos um deles proveniente da Área de Patrimônio e Almoxarifado.</w:t>
      </w:r>
    </w:p>
    <w:p w14:paraId="6E989D13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3323BD">
        <w:rPr>
          <w:rFonts w:cs="Arial"/>
          <w:sz w:val="24"/>
        </w:rPr>
        <w:t xml:space="preserve">§ 2º Observado o disposto no </w:t>
      </w:r>
      <w:r w:rsidRPr="003323BD">
        <w:rPr>
          <w:rFonts w:cs="Arial"/>
          <w:i/>
          <w:sz w:val="24"/>
        </w:rPr>
        <w:t>caput</w:t>
      </w:r>
      <w:r w:rsidRPr="003323BD">
        <w:rPr>
          <w:rFonts w:cs="Arial"/>
          <w:sz w:val="24"/>
        </w:rPr>
        <w:t xml:space="preserve"> do art. 177, fica vedada a recondução da totalidade dos membros desta comissão para o período subsequente.”</w:t>
      </w:r>
    </w:p>
    <w:p w14:paraId="6E989D14" w14:textId="77777777" w:rsidR="00E45C94" w:rsidRPr="003323BD" w:rsidRDefault="00E45C94" w:rsidP="00E45C9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jc w:val="left"/>
        <w:rPr>
          <w:rFonts w:cs="Arial"/>
          <w:sz w:val="24"/>
        </w:rPr>
      </w:pPr>
      <w:r w:rsidRPr="003323BD">
        <w:rPr>
          <w:rFonts w:cs="Arial"/>
          <w:b/>
          <w:sz w:val="24"/>
        </w:rPr>
        <w:t xml:space="preserve">Art. </w:t>
      </w:r>
      <w:r w:rsidR="00BB52FE" w:rsidRPr="003323BD">
        <w:rPr>
          <w:rFonts w:cs="Arial"/>
          <w:b/>
          <w:sz w:val="24"/>
        </w:rPr>
        <w:t>3</w:t>
      </w:r>
      <w:r w:rsidRPr="003323BD">
        <w:rPr>
          <w:rFonts w:cs="Arial"/>
          <w:b/>
          <w:sz w:val="24"/>
        </w:rPr>
        <w:t>º</w:t>
      </w:r>
      <w:r w:rsidRPr="003323BD">
        <w:rPr>
          <w:rFonts w:cs="Arial"/>
          <w:sz w:val="24"/>
        </w:rPr>
        <w:t xml:space="preserve"> Esta Resolução entra em vigor na data de sua publicação.</w:t>
      </w:r>
    </w:p>
    <w:p w14:paraId="6E989D15" w14:textId="77777777" w:rsidR="00E45C94" w:rsidRDefault="00E45C94" w:rsidP="003323B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jc w:val="center"/>
        <w:rPr>
          <w:rFonts w:cs="Arial"/>
          <w:sz w:val="24"/>
        </w:rPr>
      </w:pPr>
      <w:r w:rsidRPr="003323BD">
        <w:rPr>
          <w:rFonts w:cs="Arial"/>
          <w:sz w:val="24"/>
        </w:rPr>
        <w:t xml:space="preserve">Curitiba, </w:t>
      </w:r>
      <w:r w:rsidR="00C460DE" w:rsidRPr="003323BD">
        <w:rPr>
          <w:rFonts w:cs="Arial"/>
          <w:sz w:val="24"/>
        </w:rPr>
        <w:t>30 de novembro de 201</w:t>
      </w:r>
      <w:r w:rsidR="006428E5" w:rsidRPr="003323BD">
        <w:rPr>
          <w:rFonts w:cs="Arial"/>
          <w:sz w:val="24"/>
        </w:rPr>
        <w:t>8</w:t>
      </w:r>
      <w:r w:rsidRPr="003323BD">
        <w:rPr>
          <w:rFonts w:cs="Arial"/>
          <w:sz w:val="24"/>
        </w:rPr>
        <w:t>.</w:t>
      </w:r>
    </w:p>
    <w:p w14:paraId="3F5ED0C4" w14:textId="77777777" w:rsidR="00071F42" w:rsidRPr="003323BD" w:rsidRDefault="00071F42" w:rsidP="003323B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jc w:val="center"/>
        <w:rPr>
          <w:rFonts w:cs="Arial"/>
          <w:sz w:val="24"/>
        </w:rPr>
      </w:pPr>
    </w:p>
    <w:p w14:paraId="6E989D16" w14:textId="77777777" w:rsidR="00C460DE" w:rsidRPr="00C460DE" w:rsidRDefault="00C460DE" w:rsidP="00C460DE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C460DE">
        <w:rPr>
          <w:rFonts w:ascii="Arial" w:hAnsi="Arial" w:cs="Arial"/>
          <w:color w:val="808080"/>
          <w:sz w:val="24"/>
        </w:rPr>
        <w:t>- assinatura digital -</w:t>
      </w:r>
    </w:p>
    <w:p w14:paraId="6E989D17" w14:textId="77777777" w:rsidR="00C460DE" w:rsidRPr="00C460DE" w:rsidRDefault="00C460DE" w:rsidP="00C460D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460DE">
        <w:rPr>
          <w:rFonts w:ascii="Arial" w:hAnsi="Arial" w:cs="Arial"/>
          <w:sz w:val="24"/>
        </w:rPr>
        <w:t>Conselheiro</w:t>
      </w:r>
      <w:r>
        <w:rPr>
          <w:rFonts w:ascii="Arial" w:hAnsi="Arial" w:cs="Arial"/>
          <w:b/>
          <w:sz w:val="24"/>
        </w:rPr>
        <w:t xml:space="preserve"> </w:t>
      </w:r>
      <w:r w:rsidRPr="00C460DE">
        <w:rPr>
          <w:rFonts w:ascii="Arial" w:hAnsi="Arial" w:cs="Arial"/>
          <w:b/>
          <w:sz w:val="24"/>
        </w:rPr>
        <w:t>JOSÉ DURVAL MATTOS DO AMARAL</w:t>
      </w:r>
    </w:p>
    <w:p w14:paraId="6E989D18" w14:textId="77777777" w:rsidR="00601474" w:rsidRPr="00C460DE" w:rsidRDefault="00C460DE" w:rsidP="00C460D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jc w:val="center"/>
        <w:rPr>
          <w:rFonts w:cs="Arial"/>
          <w:noProof/>
          <w:sz w:val="24"/>
        </w:rPr>
      </w:pPr>
      <w:r w:rsidRPr="00C460DE">
        <w:rPr>
          <w:rFonts w:cs="Arial"/>
          <w:sz w:val="24"/>
          <w:szCs w:val="22"/>
        </w:rPr>
        <w:t>Presidente</w:t>
      </w:r>
    </w:p>
    <w:sectPr w:rsidR="00601474" w:rsidRPr="00C460DE" w:rsidSect="003323BD">
      <w:headerReference w:type="default" r:id="rId8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D68F" w14:textId="77777777" w:rsidR="00AC43A2" w:rsidRDefault="00AC43A2">
      <w:pPr>
        <w:spacing w:after="0" w:line="240" w:lineRule="auto"/>
      </w:pPr>
      <w:r>
        <w:separator/>
      </w:r>
    </w:p>
  </w:endnote>
  <w:endnote w:type="continuationSeparator" w:id="0">
    <w:p w14:paraId="18EC86C4" w14:textId="77777777" w:rsidR="00AC43A2" w:rsidRDefault="00AC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E0EF" w14:textId="77777777" w:rsidR="00AC43A2" w:rsidRDefault="00AC43A2">
      <w:pPr>
        <w:spacing w:after="0" w:line="240" w:lineRule="auto"/>
      </w:pPr>
      <w:r>
        <w:separator/>
      </w:r>
    </w:p>
  </w:footnote>
  <w:footnote w:type="continuationSeparator" w:id="0">
    <w:p w14:paraId="22F55F77" w14:textId="77777777" w:rsidR="00AC43A2" w:rsidRDefault="00AC43A2">
      <w:pPr>
        <w:spacing w:after="0" w:line="240" w:lineRule="auto"/>
      </w:pPr>
      <w:r>
        <w:continuationSeparator/>
      </w:r>
    </w:p>
  </w:footnote>
  <w:footnote w:id="1">
    <w:p w14:paraId="3AA5963A" w14:textId="77777777" w:rsidR="005B1F8A" w:rsidRPr="006C7624" w:rsidRDefault="00F21B6B" w:rsidP="005B1F8A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5B1F8A" w:rsidRPr="006C7624">
        <w:rPr>
          <w:rFonts w:ascii="Arial" w:hAnsi="Arial" w:cs="Arial"/>
          <w:b/>
        </w:rPr>
        <w:t>Notas da Biblioteca:</w:t>
      </w:r>
    </w:p>
    <w:p w14:paraId="7D80F32D" w14:textId="13FB92AE" w:rsidR="005B1F8A" w:rsidRPr="006C7624" w:rsidRDefault="005B1F8A" w:rsidP="001627D2">
      <w:pPr>
        <w:pStyle w:val="Textodenotaderodap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6C7624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530AA1" w:rsidRPr="006C7624">
          <w:rPr>
            <w:rStyle w:val="Hyperlink"/>
            <w:rFonts w:ascii="Arial" w:hAnsi="Arial" w:cs="Arial"/>
          </w:rPr>
          <w:t>Diário Eletrônico do Tribunal de Contas do Estado do Paraná, Curitiba, PR, n. 1964, 7 dez. 2018, p. 12</w:t>
        </w:r>
      </w:hyperlink>
      <w:r w:rsidR="00530AA1" w:rsidRPr="006C7624">
        <w:rPr>
          <w:rFonts w:ascii="Arial" w:hAnsi="Arial" w:cs="Arial"/>
        </w:rPr>
        <w:t>.</w:t>
      </w:r>
    </w:p>
    <w:p w14:paraId="5B054A34" w14:textId="77777777" w:rsidR="001627D2" w:rsidRPr="00E06EA4" w:rsidRDefault="001627D2" w:rsidP="001627D2">
      <w:pPr>
        <w:pStyle w:val="Textodenotaderodap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E06EA4">
        <w:rPr>
          <w:rFonts w:ascii="Arial" w:hAnsi="Arial" w:cs="Arial"/>
          <w:sz w:val="18"/>
          <w:szCs w:val="18"/>
        </w:rPr>
        <w:t xml:space="preserve">Origem: Processo n. 57623-0/2018 – </w:t>
      </w:r>
      <w:hyperlink r:id="rId2" w:history="1">
        <w:r w:rsidRPr="009A1E28">
          <w:rPr>
            <w:rStyle w:val="Hyperlink"/>
            <w:rFonts w:ascii="Arial" w:hAnsi="Arial" w:cs="Arial"/>
            <w:sz w:val="18"/>
            <w:szCs w:val="18"/>
          </w:rPr>
          <w:t>Acórdão n.</w:t>
        </w:r>
        <w:r w:rsidRPr="009A1E28">
          <w:rPr>
            <w:rStyle w:val="Hyperlink"/>
            <w:rFonts w:ascii="Arial" w:eastAsia="Times New Roman" w:hAnsi="Arial" w:cs="Arial"/>
            <w:sz w:val="18"/>
            <w:szCs w:val="18"/>
          </w:rPr>
          <w:t xml:space="preserve"> 3561/2018 </w:t>
        </w:r>
        <w:r w:rsidRPr="009A1E28">
          <w:rPr>
            <w:rStyle w:val="Hyperlink"/>
            <w:rFonts w:ascii="Arial" w:hAnsi="Arial" w:cs="Arial"/>
            <w:sz w:val="18"/>
            <w:szCs w:val="18"/>
          </w:rPr>
          <w:t>- Tribunal Pleno</w:t>
        </w:r>
      </w:hyperlink>
      <w:r w:rsidRPr="00E06EA4">
        <w:rPr>
          <w:rFonts w:ascii="Arial" w:hAnsi="Arial" w:cs="Arial"/>
          <w:sz w:val="18"/>
          <w:szCs w:val="18"/>
        </w:rPr>
        <w:t>.</w:t>
      </w:r>
    </w:p>
    <w:p w14:paraId="74FCA200" w14:textId="77777777" w:rsidR="001627D2" w:rsidRPr="00E06EA4" w:rsidRDefault="001627D2" w:rsidP="001627D2">
      <w:pPr>
        <w:pStyle w:val="Textodenotaderodap"/>
        <w:numPr>
          <w:ilvl w:val="0"/>
          <w:numId w:val="6"/>
        </w:numPr>
        <w:spacing w:after="0" w:line="240" w:lineRule="auto"/>
        <w:ind w:left="426" w:hanging="284"/>
        <w:jc w:val="both"/>
        <w:rPr>
          <w:rStyle w:val="Hyperlink"/>
          <w:rFonts w:ascii="Arial" w:hAnsi="Arial" w:cs="Arial"/>
          <w:sz w:val="18"/>
          <w:szCs w:val="18"/>
        </w:rPr>
      </w:pPr>
      <w:r w:rsidRPr="00E06EA4">
        <w:rPr>
          <w:rFonts w:ascii="Arial" w:hAnsi="Arial" w:cs="Arial"/>
          <w:b/>
          <w:bCs/>
          <w:sz w:val="18"/>
          <w:szCs w:val="18"/>
        </w:rPr>
        <w:t>Altera</w:t>
      </w:r>
      <w:r w:rsidRPr="00E06EA4">
        <w:rPr>
          <w:rFonts w:ascii="Arial" w:hAnsi="Arial" w:cs="Arial"/>
          <w:sz w:val="18"/>
          <w:szCs w:val="18"/>
        </w:rPr>
        <w:t xml:space="preserve">: </w:t>
      </w:r>
      <w:hyperlink r:id="rId3" w:history="1">
        <w:r w:rsidRPr="00E06EA4">
          <w:rPr>
            <w:rStyle w:val="Hyperlink"/>
            <w:rFonts w:ascii="Arial" w:hAnsi="Arial" w:cs="Arial"/>
            <w:sz w:val="18"/>
            <w:szCs w:val="18"/>
          </w:rPr>
          <w:t>Resolução n. 1, de 24 de janeiro de 2006 - Regimento Interno</w:t>
        </w:r>
      </w:hyperlink>
      <w:r w:rsidRPr="00E06EA4">
        <w:rPr>
          <w:rStyle w:val="Hyperlink"/>
          <w:rFonts w:ascii="Arial" w:hAnsi="Arial" w:cs="Arial"/>
          <w:sz w:val="18"/>
          <w:szCs w:val="18"/>
        </w:rPr>
        <w:t xml:space="preserve"> (e alterações posteriores).</w:t>
      </w:r>
    </w:p>
    <w:p w14:paraId="0E5C06AB" w14:textId="1ADFD689" w:rsidR="00F21B6B" w:rsidRDefault="001627D2" w:rsidP="001627D2">
      <w:pPr>
        <w:pStyle w:val="Textodenotaderodap"/>
        <w:numPr>
          <w:ilvl w:val="0"/>
          <w:numId w:val="6"/>
        </w:numPr>
        <w:ind w:left="426" w:hanging="284"/>
        <w:jc w:val="both"/>
      </w:pPr>
      <w:r w:rsidRPr="00E06EA4">
        <w:rPr>
          <w:rStyle w:val="Forte"/>
          <w:rFonts w:ascii="Arial" w:hAnsi="Arial" w:cs="Arial"/>
          <w:sz w:val="18"/>
          <w:szCs w:val="18"/>
        </w:rPr>
        <w:t xml:space="preserve">Ver </w:t>
      </w:r>
      <w:hyperlink r:id="rId4" w:history="1">
        <w:r w:rsidRPr="00797B7B">
          <w:rPr>
            <w:rStyle w:val="Hyperlink"/>
            <w:rFonts w:ascii="Arial" w:hAnsi="Arial" w:cs="Arial"/>
            <w:sz w:val="18"/>
            <w:szCs w:val="18"/>
          </w:rPr>
          <w:t>alterações posteriores</w:t>
        </w:r>
      </w:hyperlink>
      <w:r w:rsidRPr="00E06EA4">
        <w:rPr>
          <w:rFonts w:ascii="Arial" w:hAnsi="Arial" w:cs="Arial"/>
          <w:b/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9D1D" w14:textId="77777777" w:rsidR="00D05C4F" w:rsidRDefault="00071F42" w:rsidP="003323BD">
    <w:pPr>
      <w:keepLines/>
      <w:spacing w:before="480" w:after="60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 w14:anchorId="6E989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ao_pr_pequeno" style="position:absolute;left:0;text-align:left;margin-left:4.85pt;margin-top:5.05pt;width:44.05pt;height:51.6pt;z-index:251657728;visibility:visible">
          <v:imagedata r:id="rId1" o:title="brasao_pr_pequeno"/>
        </v:shape>
      </w:pict>
    </w:r>
    <w:r w:rsidR="00D05C4F" w:rsidRPr="00347E10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3CAB"/>
    <w:multiLevelType w:val="hybridMultilevel"/>
    <w:tmpl w:val="CEA2D8B4"/>
    <w:lvl w:ilvl="0" w:tplc="159C6F1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hint="default"/>
        <w:b/>
        <w:bCs/>
        <w:i w:val="0"/>
        <w:iCs w:val="0"/>
        <w:strike w:val="0"/>
        <w:color w:val="auto"/>
        <w:sz w:val="24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color w:val="000000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rFonts w:hint="default"/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" w15:restartNumberingAfterBreak="0">
    <w:nsid w:val="25F84F73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B42E3"/>
    <w:multiLevelType w:val="hybridMultilevel"/>
    <w:tmpl w:val="3074574C"/>
    <w:lvl w:ilvl="0" w:tplc="07E89E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7960A80"/>
    <w:multiLevelType w:val="hybridMultilevel"/>
    <w:tmpl w:val="7C2890A2"/>
    <w:lvl w:ilvl="0" w:tplc="14C420AC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97EE9"/>
    <w:multiLevelType w:val="hybridMultilevel"/>
    <w:tmpl w:val="639A7B46"/>
    <w:lvl w:ilvl="0" w:tplc="97702C9C">
      <w:start w:val="1"/>
      <w:numFmt w:val="upperRoman"/>
      <w:lvlText w:val="%1."/>
      <w:lvlJc w:val="right"/>
      <w:pPr>
        <w:ind w:left="643" w:hanging="360"/>
      </w:pPr>
      <w:rPr>
        <w:b w:val="0"/>
        <w:sz w:val="1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011899">
    <w:abstractNumId w:val="1"/>
  </w:num>
  <w:num w:numId="2" w16cid:durableId="866068353">
    <w:abstractNumId w:val="3"/>
  </w:num>
  <w:num w:numId="3" w16cid:durableId="1475412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674935">
    <w:abstractNumId w:val="2"/>
  </w:num>
  <w:num w:numId="5" w16cid:durableId="1432820442">
    <w:abstractNumId w:val="4"/>
  </w:num>
  <w:num w:numId="6" w16cid:durableId="139909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6B8"/>
    <w:rsid w:val="0003057E"/>
    <w:rsid w:val="00035EEF"/>
    <w:rsid w:val="00041A10"/>
    <w:rsid w:val="00045566"/>
    <w:rsid w:val="000502B0"/>
    <w:rsid w:val="0005240E"/>
    <w:rsid w:val="00071F42"/>
    <w:rsid w:val="00083826"/>
    <w:rsid w:val="00095F0D"/>
    <w:rsid w:val="000C70B1"/>
    <w:rsid w:val="000D5178"/>
    <w:rsid w:val="00145C7F"/>
    <w:rsid w:val="0014694B"/>
    <w:rsid w:val="00153DFD"/>
    <w:rsid w:val="00160E78"/>
    <w:rsid w:val="001627D2"/>
    <w:rsid w:val="001907D7"/>
    <w:rsid w:val="001A3B71"/>
    <w:rsid w:val="001A79E0"/>
    <w:rsid w:val="001C3A65"/>
    <w:rsid w:val="001E4220"/>
    <w:rsid w:val="001F22F2"/>
    <w:rsid w:val="0023055D"/>
    <w:rsid w:val="00255327"/>
    <w:rsid w:val="00255D6F"/>
    <w:rsid w:val="002676B8"/>
    <w:rsid w:val="00273630"/>
    <w:rsid w:val="0027746B"/>
    <w:rsid w:val="00285AD3"/>
    <w:rsid w:val="00286E20"/>
    <w:rsid w:val="002A38B3"/>
    <w:rsid w:val="002B32B3"/>
    <w:rsid w:val="002F1AFC"/>
    <w:rsid w:val="002F2C9A"/>
    <w:rsid w:val="0031232D"/>
    <w:rsid w:val="003323BD"/>
    <w:rsid w:val="00347950"/>
    <w:rsid w:val="003A2F76"/>
    <w:rsid w:val="003A520E"/>
    <w:rsid w:val="003D0537"/>
    <w:rsid w:val="00407081"/>
    <w:rsid w:val="004229DF"/>
    <w:rsid w:val="004354DA"/>
    <w:rsid w:val="00435677"/>
    <w:rsid w:val="00450097"/>
    <w:rsid w:val="004631DA"/>
    <w:rsid w:val="004706A9"/>
    <w:rsid w:val="00497F99"/>
    <w:rsid w:val="004A1A9B"/>
    <w:rsid w:val="004E16ED"/>
    <w:rsid w:val="005006A7"/>
    <w:rsid w:val="005163CD"/>
    <w:rsid w:val="005307F9"/>
    <w:rsid w:val="00530AA1"/>
    <w:rsid w:val="005528AF"/>
    <w:rsid w:val="005B1F8A"/>
    <w:rsid w:val="005E7191"/>
    <w:rsid w:val="005E753F"/>
    <w:rsid w:val="00601474"/>
    <w:rsid w:val="00617CBB"/>
    <w:rsid w:val="00630407"/>
    <w:rsid w:val="00635D7C"/>
    <w:rsid w:val="006428E5"/>
    <w:rsid w:val="00652FC5"/>
    <w:rsid w:val="006A60E3"/>
    <w:rsid w:val="006C152F"/>
    <w:rsid w:val="006C29E7"/>
    <w:rsid w:val="006C7624"/>
    <w:rsid w:val="006C77E6"/>
    <w:rsid w:val="006F0309"/>
    <w:rsid w:val="007255DD"/>
    <w:rsid w:val="007305D3"/>
    <w:rsid w:val="0075744C"/>
    <w:rsid w:val="00760796"/>
    <w:rsid w:val="007646B4"/>
    <w:rsid w:val="007778C6"/>
    <w:rsid w:val="00790C94"/>
    <w:rsid w:val="007A560A"/>
    <w:rsid w:val="007A5944"/>
    <w:rsid w:val="007B1057"/>
    <w:rsid w:val="007F62E0"/>
    <w:rsid w:val="00865126"/>
    <w:rsid w:val="008857B0"/>
    <w:rsid w:val="008A0057"/>
    <w:rsid w:val="008F219C"/>
    <w:rsid w:val="009227DA"/>
    <w:rsid w:val="00930118"/>
    <w:rsid w:val="00937535"/>
    <w:rsid w:val="0094456A"/>
    <w:rsid w:val="00987BEA"/>
    <w:rsid w:val="009B3B37"/>
    <w:rsid w:val="009E6CB6"/>
    <w:rsid w:val="00A144C0"/>
    <w:rsid w:val="00A3061E"/>
    <w:rsid w:val="00A37987"/>
    <w:rsid w:val="00A63CD3"/>
    <w:rsid w:val="00A90E87"/>
    <w:rsid w:val="00AA5AFE"/>
    <w:rsid w:val="00AB1D12"/>
    <w:rsid w:val="00AB5B0F"/>
    <w:rsid w:val="00AC43A2"/>
    <w:rsid w:val="00AE7A53"/>
    <w:rsid w:val="00AF2303"/>
    <w:rsid w:val="00B21E90"/>
    <w:rsid w:val="00B245C2"/>
    <w:rsid w:val="00B329E9"/>
    <w:rsid w:val="00BB52FE"/>
    <w:rsid w:val="00BF07C9"/>
    <w:rsid w:val="00C04616"/>
    <w:rsid w:val="00C0790D"/>
    <w:rsid w:val="00C30C65"/>
    <w:rsid w:val="00C37B8A"/>
    <w:rsid w:val="00C43147"/>
    <w:rsid w:val="00C460DE"/>
    <w:rsid w:val="00C66F8F"/>
    <w:rsid w:val="00CD0A97"/>
    <w:rsid w:val="00D05C4F"/>
    <w:rsid w:val="00D15C36"/>
    <w:rsid w:val="00D44E1A"/>
    <w:rsid w:val="00D632F1"/>
    <w:rsid w:val="00D66640"/>
    <w:rsid w:val="00DA08D3"/>
    <w:rsid w:val="00E1232F"/>
    <w:rsid w:val="00E336FC"/>
    <w:rsid w:val="00E45C94"/>
    <w:rsid w:val="00EA3669"/>
    <w:rsid w:val="00EA4828"/>
    <w:rsid w:val="00EA7E4C"/>
    <w:rsid w:val="00EC58BE"/>
    <w:rsid w:val="00EC7F2B"/>
    <w:rsid w:val="00ED0B57"/>
    <w:rsid w:val="00EE05E8"/>
    <w:rsid w:val="00F21B6B"/>
    <w:rsid w:val="00F256EA"/>
    <w:rsid w:val="00F34E88"/>
    <w:rsid w:val="00F53EDA"/>
    <w:rsid w:val="00F651E3"/>
    <w:rsid w:val="00F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89CF9"/>
  <w15:chartTrackingRefBased/>
  <w15:docId w15:val="{0BA57780-F99A-4F4C-9A30-871E0DC3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2676B8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sid w:val="002676B8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ArtigosOrdinais">
    <w:name w:val="ArtigosOrdinais"/>
    <w:basedOn w:val="Normal"/>
    <w:rsid w:val="002676B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Default">
    <w:name w:val="Default"/>
    <w:rsid w:val="002676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menta">
    <w:name w:val="Ementa"/>
    <w:basedOn w:val="Normal"/>
    <w:rsid w:val="002676B8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2676B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676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676B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676B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676B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67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52FC5"/>
    <w:rPr>
      <w:rFonts w:ascii="Segoe UI" w:hAnsi="Segoe UI" w:cs="Segoe UI"/>
      <w:sz w:val="18"/>
      <w:szCs w:val="18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45C94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45C94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E45C9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umera10">
    <w:name w:val="Numera10"/>
    <w:basedOn w:val="Normal"/>
    <w:link w:val="Numera10CharChar"/>
    <w:uiPriority w:val="99"/>
    <w:rsid w:val="00E45C94"/>
    <w:pPr>
      <w:numPr>
        <w:numId w:val="1"/>
      </w:numPr>
      <w:spacing w:before="120" w:after="120" w:line="240" w:lineRule="auto"/>
      <w:jc w:val="both"/>
    </w:pPr>
    <w:rPr>
      <w:rFonts w:ascii="Arial" w:eastAsia="Times New Roman" w:hAnsi="Arial"/>
      <w:sz w:val="24"/>
      <w:szCs w:val="24"/>
      <w:lang w:val="x-none" w:eastAsia="pt-BR"/>
    </w:rPr>
  </w:style>
  <w:style w:type="character" w:customStyle="1" w:styleId="Numera10CharChar">
    <w:name w:val="Numera10 Char Char"/>
    <w:link w:val="Numera10"/>
    <w:uiPriority w:val="99"/>
    <w:locked/>
    <w:rsid w:val="00E45C94"/>
    <w:rPr>
      <w:rFonts w:ascii="Arial" w:eastAsia="Times New Roman" w:hAnsi="Arial"/>
      <w:sz w:val="24"/>
      <w:szCs w:val="24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460D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C460DE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F21B6B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B6B"/>
    <w:rPr>
      <w:lang w:eastAsia="en-US"/>
    </w:rPr>
  </w:style>
  <w:style w:type="character" w:styleId="Refdenotaderodap">
    <w:name w:val="footnote reference"/>
    <w:uiPriority w:val="99"/>
    <w:semiHidden/>
    <w:unhideWhenUsed/>
    <w:rsid w:val="00F21B6B"/>
    <w:rPr>
      <w:vertAlign w:val="superscript"/>
    </w:rPr>
  </w:style>
  <w:style w:type="character" w:styleId="Hyperlink">
    <w:name w:val="Hyperlink"/>
    <w:uiPriority w:val="99"/>
    <w:rsid w:val="005B1F8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73630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162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18/11/pdf/0033313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-de-24-de-janeiro-de-2006-regimento-interno/1403/area/10" TargetMode="External"/><Relationship Id="rId2" Type="http://schemas.openxmlformats.org/officeDocument/2006/relationships/hyperlink" Target="https://www1.tce.pr.gov.br/multimidia/2018/11/pdf/00333138.pdf" TargetMode="External"/><Relationship Id="rId1" Type="http://schemas.openxmlformats.org/officeDocument/2006/relationships/hyperlink" Target="http://www1.tce.pr.gov.br/multimidia/2018/12/pdf/00333454.pdf" TargetMode="External"/><Relationship Id="rId4" Type="http://schemas.openxmlformats.org/officeDocument/2006/relationships/hyperlink" Target="https://www1.tce.pr.gov.br/conteudo/resolucao-n-67-de-30-de-novembro-de-2018/319548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14</cp:revision>
  <cp:lastPrinted>2018-07-03T18:07:00Z</cp:lastPrinted>
  <dcterms:created xsi:type="dcterms:W3CDTF">2018-12-07T14:38:00Z</dcterms:created>
  <dcterms:modified xsi:type="dcterms:W3CDTF">2022-07-15T18:04:00Z</dcterms:modified>
</cp:coreProperties>
</file>