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09BFA" w14:textId="23CF035B" w:rsidR="00E94343" w:rsidRPr="00C32236" w:rsidRDefault="00E94343" w:rsidP="00E94343">
      <w:pPr>
        <w:spacing w:before="240" w:after="120" w:line="240" w:lineRule="auto"/>
        <w:rPr>
          <w:rFonts w:ascii="Arial" w:hAnsi="Arial" w:cs="Arial"/>
          <w:b/>
          <w:bCs/>
          <w:sz w:val="28"/>
          <w:szCs w:val="28"/>
        </w:rPr>
      </w:pPr>
      <w:r w:rsidRPr="00C32236">
        <w:rPr>
          <w:rFonts w:ascii="Arial" w:hAnsi="Arial" w:cs="Arial"/>
          <w:b/>
          <w:bCs/>
          <w:sz w:val="28"/>
          <w:szCs w:val="28"/>
        </w:rPr>
        <w:t>INSTRUÇÃO NORMATIVA Nº 107/2015</w:t>
      </w:r>
      <w:r w:rsidR="007D6951">
        <w:rPr>
          <w:rStyle w:val="Refdenotaderodap"/>
          <w:rFonts w:ascii="Arial" w:hAnsi="Arial" w:cs="Arial"/>
          <w:b/>
          <w:bCs/>
          <w:sz w:val="28"/>
          <w:szCs w:val="28"/>
        </w:rPr>
        <w:footnoteReference w:id="1"/>
      </w:r>
    </w:p>
    <w:p w14:paraId="5A2CB28A" w14:textId="77777777" w:rsidR="00E94343" w:rsidRDefault="00E94343" w:rsidP="00E94343">
      <w:pPr>
        <w:adjustRightInd w:val="0"/>
        <w:spacing w:before="360" w:after="360" w:line="240" w:lineRule="auto"/>
        <w:ind w:left="4253" w:firstLine="0"/>
        <w:rPr>
          <w:rFonts w:ascii="Arial" w:hAnsi="Arial" w:cs="Arial"/>
          <w:i/>
          <w:iCs/>
          <w:sz w:val="22"/>
          <w:szCs w:val="22"/>
        </w:rPr>
      </w:pPr>
      <w:r>
        <w:rPr>
          <w:rFonts w:ascii="Arial" w:hAnsi="Arial" w:cs="Arial"/>
          <w:i/>
          <w:iCs/>
          <w:sz w:val="22"/>
          <w:szCs w:val="22"/>
        </w:rPr>
        <w:t>Dispõe sobre os critérios de análise e os parâmetros de conformidade do módulo de aposentadoria do Sistema de Atos de Pessoal (SIAP) no âmbito do Tribunal de Contas do Estado do Paraná.</w:t>
      </w:r>
    </w:p>
    <w:p w14:paraId="7FCA4779" w14:textId="77777777" w:rsidR="00E94343" w:rsidRDefault="00E94343" w:rsidP="00E94343">
      <w:pPr>
        <w:adjustRightInd w:val="0"/>
        <w:spacing w:after="0" w:line="240" w:lineRule="auto"/>
        <w:ind w:firstLine="1134"/>
        <w:rPr>
          <w:rFonts w:ascii="Arial" w:hAnsi="Arial" w:cs="Arial"/>
          <w:szCs w:val="24"/>
        </w:rPr>
      </w:pPr>
      <w:r w:rsidRPr="00274E12">
        <w:rPr>
          <w:rFonts w:ascii="Arial" w:hAnsi="Arial" w:cs="Arial"/>
          <w:szCs w:val="24"/>
        </w:rPr>
        <w:t>O</w:t>
      </w:r>
      <w:r>
        <w:rPr>
          <w:rFonts w:ascii="Arial" w:hAnsi="Arial" w:cs="Arial"/>
          <w:b/>
          <w:bCs/>
          <w:szCs w:val="24"/>
        </w:rPr>
        <w:t xml:space="preserve"> TRIBUNAL DE CONTAS DO ESTADO DO PARANÁ</w:t>
      </w:r>
      <w:r>
        <w:rPr>
          <w:rFonts w:ascii="Arial" w:hAnsi="Arial" w:cs="Arial"/>
          <w:szCs w:val="24"/>
        </w:rPr>
        <w:t xml:space="preserve">, no uso das atribuições contidas no art. 2º, I, da Lei Complementar nº 113, de 15 de dezembro de 2005, e no art. 5º, XIII, do Regimento Interno, e com base nos </w:t>
      </w:r>
      <w:proofErr w:type="spellStart"/>
      <w:r>
        <w:rPr>
          <w:rFonts w:ascii="Arial" w:hAnsi="Arial" w:cs="Arial"/>
          <w:szCs w:val="24"/>
        </w:rPr>
        <w:t>arts</w:t>
      </w:r>
      <w:proofErr w:type="spellEnd"/>
      <w:r>
        <w:rPr>
          <w:rFonts w:ascii="Arial" w:hAnsi="Arial" w:cs="Arial"/>
          <w:szCs w:val="24"/>
        </w:rPr>
        <w:t>. 187, II, 193 a 196, e 299-A, § 4º, também do Regimento Interno,</w:t>
      </w:r>
    </w:p>
    <w:p w14:paraId="0E24EA04" w14:textId="77777777" w:rsidR="00E94343" w:rsidRDefault="00E94343" w:rsidP="00E94343">
      <w:pPr>
        <w:adjustRightInd w:val="0"/>
        <w:spacing w:before="240" w:after="240" w:line="240" w:lineRule="auto"/>
        <w:ind w:firstLine="1134"/>
        <w:rPr>
          <w:rFonts w:ascii="Arial" w:hAnsi="Arial" w:cs="Arial"/>
          <w:b/>
          <w:bCs/>
          <w:szCs w:val="24"/>
        </w:rPr>
      </w:pPr>
      <w:r>
        <w:rPr>
          <w:rFonts w:ascii="Arial" w:hAnsi="Arial" w:cs="Arial"/>
          <w:b/>
          <w:bCs/>
          <w:szCs w:val="24"/>
        </w:rPr>
        <w:t>RESOLVE</w:t>
      </w:r>
    </w:p>
    <w:p w14:paraId="39325513" w14:textId="77777777" w:rsidR="00E94343" w:rsidRDefault="00E94343" w:rsidP="00FE31CA">
      <w:pPr>
        <w:adjustRightInd w:val="0"/>
        <w:spacing w:before="120" w:after="0" w:line="240" w:lineRule="auto"/>
        <w:ind w:firstLine="1134"/>
        <w:rPr>
          <w:rFonts w:ascii="Arial" w:hAnsi="Arial" w:cs="Arial"/>
          <w:szCs w:val="24"/>
        </w:rPr>
      </w:pPr>
      <w:r>
        <w:rPr>
          <w:rFonts w:ascii="Arial" w:hAnsi="Arial" w:cs="Arial"/>
          <w:b/>
          <w:bCs/>
          <w:szCs w:val="24"/>
        </w:rPr>
        <w:t xml:space="preserve">Art. 1º </w:t>
      </w:r>
      <w:r>
        <w:rPr>
          <w:rFonts w:ascii="Arial" w:hAnsi="Arial" w:cs="Arial"/>
          <w:szCs w:val="24"/>
        </w:rPr>
        <w:t>Os atos de inativação, encaminhados por meio de Sistema de Atos de Pessoal (SIAP), serão analisados eletronicamente a partir dos parâmetros definidos nesta Instrução Normativa, para verificação da sua legalidade e identificação de irregularidades, inconsistências ou omissões no lançamento dos dados.</w:t>
      </w:r>
    </w:p>
    <w:p w14:paraId="5AF68787" w14:textId="77777777" w:rsidR="00E94343" w:rsidRDefault="00E94343" w:rsidP="00FE31CA">
      <w:pPr>
        <w:adjustRightInd w:val="0"/>
        <w:spacing w:before="120" w:after="0" w:line="240" w:lineRule="auto"/>
        <w:ind w:firstLine="1134"/>
        <w:rPr>
          <w:rFonts w:ascii="Arial" w:hAnsi="Arial" w:cs="Arial"/>
          <w:szCs w:val="24"/>
        </w:rPr>
      </w:pPr>
      <w:r>
        <w:rPr>
          <w:rFonts w:ascii="Arial" w:hAnsi="Arial" w:cs="Arial"/>
          <w:szCs w:val="24"/>
        </w:rPr>
        <w:t>Parágrafo único. A análise eletrônica dos atos de pensão, de revisão de pensão e de revisão de proventos, encaminhados por meio de Sistema de Atos de Pessoal (SIAP), terá seus parâmetros definidos em Instrução Normativa própria.</w:t>
      </w:r>
    </w:p>
    <w:p w14:paraId="3EBA26C7" w14:textId="77777777" w:rsidR="00E94343" w:rsidRDefault="00E94343" w:rsidP="00FE31CA">
      <w:pPr>
        <w:adjustRightInd w:val="0"/>
        <w:spacing w:before="120" w:after="0" w:line="240" w:lineRule="auto"/>
        <w:ind w:firstLine="1134"/>
        <w:rPr>
          <w:rFonts w:ascii="Arial" w:hAnsi="Arial" w:cs="Arial"/>
          <w:szCs w:val="24"/>
        </w:rPr>
      </w:pPr>
      <w:r>
        <w:rPr>
          <w:rFonts w:ascii="Arial" w:hAnsi="Arial" w:cs="Arial"/>
          <w:b/>
          <w:bCs/>
          <w:szCs w:val="24"/>
        </w:rPr>
        <w:t xml:space="preserve">Art. 2º </w:t>
      </w:r>
      <w:r>
        <w:rPr>
          <w:rFonts w:ascii="Arial" w:hAnsi="Arial" w:cs="Arial"/>
          <w:szCs w:val="24"/>
        </w:rPr>
        <w:t>A análise eletrônica compreenderá regras de captação, pré-análise e análise.</w:t>
      </w:r>
    </w:p>
    <w:p w14:paraId="066E66E1" w14:textId="77777777" w:rsidR="00E94343" w:rsidRDefault="00E94343" w:rsidP="00FE31CA">
      <w:pPr>
        <w:adjustRightInd w:val="0"/>
        <w:spacing w:before="120" w:after="0" w:line="240" w:lineRule="auto"/>
        <w:ind w:firstLine="1134"/>
        <w:rPr>
          <w:rFonts w:ascii="Arial" w:hAnsi="Arial" w:cs="Arial"/>
          <w:szCs w:val="24"/>
        </w:rPr>
      </w:pPr>
      <w:r>
        <w:rPr>
          <w:rFonts w:ascii="Arial" w:hAnsi="Arial" w:cs="Arial"/>
          <w:szCs w:val="24"/>
        </w:rPr>
        <w:t>§ 1º As regras de captação impedem o envio de informações incompletas e inconsistentes e o envio de atos nos quais não se verifica o preenchimento dos requisitos legais para a concessão da aposentadoria.</w:t>
      </w:r>
    </w:p>
    <w:p w14:paraId="546D7D42" w14:textId="77777777" w:rsidR="00E94343" w:rsidRDefault="00E94343" w:rsidP="00FE31CA">
      <w:pPr>
        <w:adjustRightInd w:val="0"/>
        <w:spacing w:before="120" w:after="0" w:line="240" w:lineRule="auto"/>
        <w:ind w:firstLine="1134"/>
        <w:rPr>
          <w:rFonts w:ascii="Arial" w:hAnsi="Arial" w:cs="Arial"/>
          <w:szCs w:val="24"/>
        </w:rPr>
      </w:pPr>
      <w:r>
        <w:rPr>
          <w:rFonts w:ascii="Arial" w:hAnsi="Arial" w:cs="Arial"/>
          <w:szCs w:val="24"/>
        </w:rPr>
        <w:t>§ 2º As regras de pré-análise aperfeiçoam-se a partir de juízo do responsável pelo exame do processo, no momento da apreciação do seu conteúdo pela Unidade Técnica responsável pela análise.</w:t>
      </w:r>
    </w:p>
    <w:p w14:paraId="076B3DAC" w14:textId="77777777" w:rsidR="00E94343" w:rsidRDefault="00E94343" w:rsidP="00FE31CA">
      <w:pPr>
        <w:adjustRightInd w:val="0"/>
        <w:spacing w:before="120" w:after="0" w:line="240" w:lineRule="auto"/>
        <w:ind w:firstLine="1134"/>
        <w:rPr>
          <w:rFonts w:ascii="Arial" w:hAnsi="Arial" w:cs="Arial"/>
          <w:szCs w:val="24"/>
        </w:rPr>
      </w:pPr>
      <w:r>
        <w:rPr>
          <w:rFonts w:ascii="Arial" w:hAnsi="Arial" w:cs="Arial"/>
          <w:szCs w:val="24"/>
        </w:rPr>
        <w:t>§ 3º As regras de análise são aplicadas automaticamente pelo sistema analisador (AGEN), independentemente de juízo do responsável pelo exame do processo, no momento da apreciação do seu conteúdo pela Unidade Técnica responsável pela análise.</w:t>
      </w:r>
    </w:p>
    <w:p w14:paraId="3829AA27" w14:textId="77777777" w:rsidR="00E94343" w:rsidRDefault="00E94343" w:rsidP="00FE31CA">
      <w:pPr>
        <w:adjustRightInd w:val="0"/>
        <w:spacing w:before="120" w:after="0" w:line="240" w:lineRule="auto"/>
        <w:ind w:firstLine="1134"/>
        <w:rPr>
          <w:rFonts w:ascii="Arial" w:hAnsi="Arial" w:cs="Arial"/>
          <w:szCs w:val="24"/>
        </w:rPr>
      </w:pPr>
      <w:r>
        <w:rPr>
          <w:rFonts w:ascii="Arial" w:hAnsi="Arial" w:cs="Arial"/>
          <w:szCs w:val="24"/>
        </w:rPr>
        <w:t>§ 4º As regras de análise eletrônica podem ser concomitantemente de captação e de análise.</w:t>
      </w:r>
    </w:p>
    <w:p w14:paraId="31717CA0" w14:textId="77777777" w:rsidR="00E94343" w:rsidRDefault="00E94343" w:rsidP="00FE31CA">
      <w:pPr>
        <w:adjustRightInd w:val="0"/>
        <w:spacing w:before="120" w:after="0" w:line="240" w:lineRule="auto"/>
        <w:ind w:firstLine="1134"/>
        <w:rPr>
          <w:rFonts w:ascii="Arial" w:hAnsi="Arial" w:cs="Arial"/>
          <w:szCs w:val="24"/>
        </w:rPr>
      </w:pPr>
      <w:r>
        <w:rPr>
          <w:rFonts w:ascii="Arial" w:hAnsi="Arial" w:cs="Arial"/>
          <w:b/>
          <w:bCs/>
          <w:szCs w:val="24"/>
        </w:rPr>
        <w:lastRenderedPageBreak/>
        <w:t xml:space="preserve">Art. 3º </w:t>
      </w:r>
      <w:r>
        <w:rPr>
          <w:rFonts w:ascii="Arial" w:hAnsi="Arial" w:cs="Arial"/>
          <w:szCs w:val="24"/>
        </w:rPr>
        <w:t>Os critérios de análise e os parâmetros de conformidade do módulo de aposentadoria do Sistema de Atos de Pessoal (SIAP), conforme previsto no art. 2º, são os seguintes:</w:t>
      </w:r>
    </w:p>
    <w:p w14:paraId="69C6D386" w14:textId="77777777" w:rsidR="00E94343" w:rsidRDefault="00E94343" w:rsidP="00FE31CA">
      <w:pPr>
        <w:adjustRightInd w:val="0"/>
        <w:spacing w:before="120" w:after="0" w:line="240" w:lineRule="auto"/>
        <w:ind w:firstLine="1134"/>
        <w:rPr>
          <w:rFonts w:ascii="Arial" w:hAnsi="Arial" w:cs="Arial"/>
          <w:szCs w:val="24"/>
        </w:rPr>
      </w:pPr>
      <w:r>
        <w:rPr>
          <w:rFonts w:ascii="Arial" w:hAnsi="Arial" w:cs="Arial"/>
          <w:szCs w:val="24"/>
        </w:rPr>
        <w:t>I – critérios de verificação do cumprimento dos requisitos legais gerais para a concessão da aposentadoria:</w:t>
      </w:r>
    </w:p>
    <w:p w14:paraId="0BADADE0" w14:textId="77777777" w:rsidR="00E94343" w:rsidRPr="004E7338" w:rsidRDefault="00E94343" w:rsidP="00FE31CA">
      <w:pPr>
        <w:adjustRightInd w:val="0"/>
        <w:spacing w:before="120" w:after="0" w:line="240" w:lineRule="auto"/>
        <w:ind w:firstLine="1134"/>
        <w:rPr>
          <w:rFonts w:ascii="Arial" w:hAnsi="Arial" w:cs="Arial"/>
          <w:szCs w:val="24"/>
        </w:rPr>
      </w:pPr>
      <w:r w:rsidRPr="004E7338">
        <w:rPr>
          <w:rFonts w:ascii="Arial" w:hAnsi="Arial" w:cs="Arial"/>
          <w:szCs w:val="24"/>
        </w:rPr>
        <w:t>a) idade;</w:t>
      </w:r>
    </w:p>
    <w:p w14:paraId="20F416F6" w14:textId="77777777" w:rsidR="00E94343" w:rsidRPr="004E7338" w:rsidRDefault="00E94343" w:rsidP="00FE31CA">
      <w:pPr>
        <w:adjustRightInd w:val="0"/>
        <w:spacing w:before="120" w:after="0" w:line="240" w:lineRule="auto"/>
        <w:ind w:firstLine="1134"/>
        <w:rPr>
          <w:rFonts w:ascii="Arial" w:hAnsi="Arial" w:cs="Arial"/>
          <w:szCs w:val="24"/>
        </w:rPr>
      </w:pPr>
      <w:r w:rsidRPr="004E7338">
        <w:rPr>
          <w:rFonts w:ascii="Arial" w:hAnsi="Arial" w:cs="Arial"/>
          <w:szCs w:val="24"/>
        </w:rPr>
        <w:t>b) tempo de contribuição;</w:t>
      </w:r>
    </w:p>
    <w:p w14:paraId="55E1E119" w14:textId="77777777" w:rsidR="00E94343" w:rsidRPr="004E7338" w:rsidRDefault="00E94343" w:rsidP="00FE31CA">
      <w:pPr>
        <w:spacing w:before="120" w:after="0" w:line="240" w:lineRule="auto"/>
        <w:ind w:firstLine="1134"/>
        <w:rPr>
          <w:rFonts w:ascii="Arial" w:hAnsi="Arial" w:cs="Arial"/>
          <w:szCs w:val="24"/>
        </w:rPr>
      </w:pPr>
      <w:r w:rsidRPr="004E7338">
        <w:rPr>
          <w:rFonts w:ascii="Arial" w:hAnsi="Arial" w:cs="Arial"/>
          <w:szCs w:val="24"/>
        </w:rPr>
        <w:t>c) inexistência de períodos paralelos de contribuição;</w:t>
      </w:r>
    </w:p>
    <w:p w14:paraId="55854E34" w14:textId="77777777" w:rsidR="00E94343" w:rsidRPr="004E7338" w:rsidRDefault="00E94343" w:rsidP="00FE31CA">
      <w:pPr>
        <w:adjustRightInd w:val="0"/>
        <w:spacing w:before="120" w:after="0" w:line="240" w:lineRule="auto"/>
        <w:ind w:firstLine="1134"/>
        <w:rPr>
          <w:rFonts w:ascii="Arial" w:hAnsi="Arial" w:cs="Arial"/>
          <w:szCs w:val="24"/>
        </w:rPr>
      </w:pPr>
      <w:r w:rsidRPr="004E7338">
        <w:rPr>
          <w:rFonts w:ascii="Arial" w:hAnsi="Arial" w:cs="Arial"/>
          <w:szCs w:val="24"/>
        </w:rPr>
        <w:t>d) inexistência de cômputo de tempo posterior à publicação do ato de aposentadoria para fins de concessão do benefício;</w:t>
      </w:r>
    </w:p>
    <w:p w14:paraId="7615FDB9" w14:textId="77777777" w:rsidR="00E94343" w:rsidRPr="004E7338" w:rsidRDefault="00E94343" w:rsidP="00FE31CA">
      <w:pPr>
        <w:adjustRightInd w:val="0"/>
        <w:spacing w:before="120" w:after="0" w:line="240" w:lineRule="auto"/>
        <w:ind w:firstLine="1134"/>
        <w:rPr>
          <w:rFonts w:ascii="Arial" w:hAnsi="Arial" w:cs="Arial"/>
          <w:szCs w:val="24"/>
        </w:rPr>
      </w:pPr>
      <w:r w:rsidRPr="004E7338">
        <w:rPr>
          <w:rFonts w:ascii="Arial" w:hAnsi="Arial" w:cs="Arial"/>
          <w:szCs w:val="24"/>
        </w:rPr>
        <w:t>e) existência de data de nascimento vinculada ao CPF do servidor, conforme dados da Receita Federal;</w:t>
      </w:r>
    </w:p>
    <w:p w14:paraId="44B3A46F" w14:textId="77777777" w:rsidR="00E94343" w:rsidRPr="004E7338" w:rsidRDefault="00E94343" w:rsidP="00FE31CA">
      <w:pPr>
        <w:adjustRightInd w:val="0"/>
        <w:spacing w:before="120" w:after="0" w:line="240" w:lineRule="auto"/>
        <w:ind w:firstLine="1134"/>
        <w:rPr>
          <w:rFonts w:ascii="Arial" w:hAnsi="Arial" w:cs="Arial"/>
          <w:szCs w:val="24"/>
        </w:rPr>
      </w:pPr>
      <w:r w:rsidRPr="004E7338">
        <w:rPr>
          <w:rFonts w:ascii="Arial" w:hAnsi="Arial" w:cs="Arial"/>
          <w:szCs w:val="24"/>
        </w:rPr>
        <w:t>f) sexo do servidor vinculado ao CPF do servidor, conforme dados da Receita Federal;</w:t>
      </w:r>
    </w:p>
    <w:p w14:paraId="3AB8047A" w14:textId="77777777" w:rsidR="00E94343" w:rsidRPr="004E7338" w:rsidRDefault="00E94343" w:rsidP="00FE31CA">
      <w:pPr>
        <w:adjustRightInd w:val="0"/>
        <w:spacing w:before="120" w:after="0" w:line="240" w:lineRule="auto"/>
        <w:ind w:firstLine="1134"/>
        <w:rPr>
          <w:rFonts w:ascii="Arial" w:hAnsi="Arial" w:cs="Arial"/>
          <w:szCs w:val="24"/>
        </w:rPr>
      </w:pPr>
      <w:r w:rsidRPr="004E7338">
        <w:rPr>
          <w:rFonts w:ascii="Arial" w:hAnsi="Arial" w:cs="Arial"/>
          <w:szCs w:val="24"/>
        </w:rPr>
        <w:t>g) existência de prévio cadastro do Quadro de Cargos, Cargo e Função do servidor no SIAP – Quadro de Cargos, quando disponível;</w:t>
      </w:r>
    </w:p>
    <w:p w14:paraId="4090811B" w14:textId="77777777" w:rsidR="00E94343" w:rsidRPr="004E7338" w:rsidRDefault="00E94343" w:rsidP="00FE31CA">
      <w:pPr>
        <w:adjustRightInd w:val="0"/>
        <w:spacing w:before="120" w:after="0" w:line="240" w:lineRule="auto"/>
        <w:ind w:firstLine="1134"/>
        <w:rPr>
          <w:rFonts w:ascii="Arial" w:hAnsi="Arial" w:cs="Arial"/>
          <w:szCs w:val="24"/>
        </w:rPr>
      </w:pPr>
      <w:r w:rsidRPr="004E7338">
        <w:rPr>
          <w:rFonts w:ascii="Arial" w:hAnsi="Arial" w:cs="Arial"/>
          <w:szCs w:val="24"/>
        </w:rPr>
        <w:t>h) consistência da cronologia de datas informadas;</w:t>
      </w:r>
    </w:p>
    <w:p w14:paraId="02B5B8E9" w14:textId="77777777" w:rsidR="00E94343" w:rsidRPr="004E7338" w:rsidRDefault="00E94343" w:rsidP="00FE31CA">
      <w:pPr>
        <w:adjustRightInd w:val="0"/>
        <w:spacing w:before="120" w:after="0" w:line="240" w:lineRule="auto"/>
        <w:ind w:firstLine="1134"/>
        <w:rPr>
          <w:rFonts w:ascii="Arial" w:hAnsi="Arial" w:cs="Arial"/>
          <w:szCs w:val="24"/>
        </w:rPr>
      </w:pPr>
      <w:r w:rsidRPr="004E7338">
        <w:rPr>
          <w:rFonts w:ascii="Arial" w:hAnsi="Arial" w:cs="Arial"/>
          <w:szCs w:val="24"/>
        </w:rPr>
        <w:t>i) regularidade dos tempos computados para a concessão da aposentadoria;</w:t>
      </w:r>
    </w:p>
    <w:p w14:paraId="10837CCB" w14:textId="77777777" w:rsidR="00E94343" w:rsidRPr="004E7338" w:rsidRDefault="00E94343" w:rsidP="00FE31CA">
      <w:pPr>
        <w:adjustRightInd w:val="0"/>
        <w:spacing w:before="120" w:after="0" w:line="240" w:lineRule="auto"/>
        <w:ind w:firstLine="1134"/>
        <w:rPr>
          <w:rFonts w:ascii="Arial" w:hAnsi="Arial" w:cs="Arial"/>
          <w:szCs w:val="24"/>
        </w:rPr>
      </w:pPr>
      <w:r w:rsidRPr="004E7338">
        <w:rPr>
          <w:rFonts w:ascii="Arial" w:hAnsi="Arial" w:cs="Arial"/>
          <w:szCs w:val="24"/>
        </w:rPr>
        <w:t>j) existência de mais de um processo de aposentadoria para o mesmo servidor;</w:t>
      </w:r>
    </w:p>
    <w:p w14:paraId="1F57296E" w14:textId="77777777" w:rsidR="00E94343" w:rsidRPr="004E7338" w:rsidRDefault="00E94343" w:rsidP="00FE31CA">
      <w:pPr>
        <w:adjustRightInd w:val="0"/>
        <w:spacing w:before="120" w:after="0" w:line="240" w:lineRule="auto"/>
        <w:ind w:firstLine="1134"/>
        <w:rPr>
          <w:rFonts w:ascii="Arial" w:hAnsi="Arial" w:cs="Arial"/>
          <w:szCs w:val="24"/>
        </w:rPr>
      </w:pPr>
      <w:r w:rsidRPr="004E7338">
        <w:rPr>
          <w:rFonts w:ascii="Arial" w:hAnsi="Arial" w:cs="Arial"/>
          <w:szCs w:val="24"/>
        </w:rPr>
        <w:t>k) acúmulo de cargos e/ou aposentadorias pelo servidor;</w:t>
      </w:r>
    </w:p>
    <w:p w14:paraId="6DDD157C" w14:textId="77777777" w:rsidR="00E94343" w:rsidRPr="004E7338" w:rsidRDefault="00E94343" w:rsidP="00FE31CA">
      <w:pPr>
        <w:adjustRightInd w:val="0"/>
        <w:spacing w:before="120" w:after="0" w:line="240" w:lineRule="auto"/>
        <w:ind w:firstLine="1134"/>
        <w:rPr>
          <w:rFonts w:ascii="Arial" w:hAnsi="Arial" w:cs="Arial"/>
          <w:szCs w:val="24"/>
        </w:rPr>
      </w:pPr>
      <w:r w:rsidRPr="004E7338">
        <w:rPr>
          <w:rFonts w:ascii="Arial" w:hAnsi="Arial" w:cs="Arial"/>
          <w:szCs w:val="24"/>
        </w:rPr>
        <w:t>l) registro da admissão do servidor neste Tribunal de Contas.</w:t>
      </w:r>
    </w:p>
    <w:p w14:paraId="558E1C8C" w14:textId="77777777" w:rsidR="00E94343" w:rsidRDefault="00E94343" w:rsidP="00FE31CA">
      <w:pPr>
        <w:adjustRightInd w:val="0"/>
        <w:spacing w:before="120" w:after="0" w:line="240" w:lineRule="auto"/>
        <w:ind w:firstLine="1134"/>
        <w:rPr>
          <w:rFonts w:ascii="Arial" w:hAnsi="Arial" w:cs="Arial"/>
          <w:szCs w:val="24"/>
        </w:rPr>
      </w:pPr>
      <w:r>
        <w:rPr>
          <w:rFonts w:ascii="Arial" w:hAnsi="Arial" w:cs="Arial"/>
          <w:szCs w:val="24"/>
        </w:rPr>
        <w:t>II – critérios de verificação do cumprimento dos requisitos legais específicos para a concessão da aposentadoria (aplicáveis a determinadas aposentadorias, conforme o caso):</w:t>
      </w:r>
    </w:p>
    <w:p w14:paraId="47EA1348" w14:textId="77777777" w:rsidR="00E94343" w:rsidRPr="004E7338" w:rsidRDefault="00E94343" w:rsidP="00FE31CA">
      <w:pPr>
        <w:adjustRightInd w:val="0"/>
        <w:spacing w:before="120" w:after="0" w:line="240" w:lineRule="auto"/>
        <w:ind w:firstLine="1134"/>
        <w:rPr>
          <w:rFonts w:ascii="Arial" w:hAnsi="Arial" w:cs="Arial"/>
          <w:szCs w:val="24"/>
        </w:rPr>
      </w:pPr>
      <w:r w:rsidRPr="004E7338">
        <w:rPr>
          <w:rFonts w:ascii="Arial" w:hAnsi="Arial" w:cs="Arial"/>
          <w:szCs w:val="24"/>
        </w:rPr>
        <w:t>a) data de ingresso do servidor no serviço público;</w:t>
      </w:r>
    </w:p>
    <w:p w14:paraId="79F284A0" w14:textId="77777777" w:rsidR="00E94343" w:rsidRPr="004E7338" w:rsidRDefault="00E94343" w:rsidP="00FE31CA">
      <w:pPr>
        <w:adjustRightInd w:val="0"/>
        <w:spacing w:before="120" w:after="0" w:line="240" w:lineRule="auto"/>
        <w:ind w:firstLine="1134"/>
        <w:rPr>
          <w:rFonts w:ascii="Arial" w:hAnsi="Arial" w:cs="Arial"/>
          <w:szCs w:val="24"/>
        </w:rPr>
      </w:pPr>
      <w:r w:rsidRPr="004E7338">
        <w:rPr>
          <w:rFonts w:ascii="Arial" w:hAnsi="Arial" w:cs="Arial"/>
          <w:szCs w:val="24"/>
        </w:rPr>
        <w:t>b) tempo do servidor no cargo;</w:t>
      </w:r>
    </w:p>
    <w:p w14:paraId="67D6D54D" w14:textId="77777777" w:rsidR="00E94343" w:rsidRPr="004E7338" w:rsidRDefault="00E94343" w:rsidP="00FE31CA">
      <w:pPr>
        <w:adjustRightInd w:val="0"/>
        <w:spacing w:before="120" w:after="0" w:line="240" w:lineRule="auto"/>
        <w:ind w:firstLine="1134"/>
        <w:rPr>
          <w:rFonts w:ascii="Arial" w:hAnsi="Arial" w:cs="Arial"/>
          <w:szCs w:val="24"/>
        </w:rPr>
      </w:pPr>
      <w:r w:rsidRPr="004E7338">
        <w:rPr>
          <w:rFonts w:ascii="Arial" w:hAnsi="Arial" w:cs="Arial"/>
          <w:szCs w:val="24"/>
        </w:rPr>
        <w:t>c) tempo do servidor na carreira;</w:t>
      </w:r>
    </w:p>
    <w:p w14:paraId="37C1C975" w14:textId="77777777" w:rsidR="00E94343" w:rsidRPr="004E7338" w:rsidRDefault="00E94343" w:rsidP="00FE31CA">
      <w:pPr>
        <w:adjustRightInd w:val="0"/>
        <w:spacing w:before="120" w:after="0" w:line="240" w:lineRule="auto"/>
        <w:ind w:firstLine="1134"/>
        <w:rPr>
          <w:rFonts w:ascii="Arial" w:hAnsi="Arial" w:cs="Arial"/>
          <w:szCs w:val="24"/>
        </w:rPr>
      </w:pPr>
      <w:r w:rsidRPr="004E7338">
        <w:rPr>
          <w:rFonts w:ascii="Arial" w:hAnsi="Arial" w:cs="Arial"/>
          <w:szCs w:val="24"/>
        </w:rPr>
        <w:t>d) tempo do servidor no serviço público;</w:t>
      </w:r>
    </w:p>
    <w:p w14:paraId="205A6938" w14:textId="77777777" w:rsidR="00E94343" w:rsidRPr="004E7338" w:rsidRDefault="00E94343" w:rsidP="00FE31CA">
      <w:pPr>
        <w:adjustRightInd w:val="0"/>
        <w:spacing w:before="120" w:after="0" w:line="240" w:lineRule="auto"/>
        <w:ind w:firstLine="1134"/>
        <w:rPr>
          <w:rFonts w:ascii="Arial" w:hAnsi="Arial" w:cs="Arial"/>
          <w:szCs w:val="24"/>
        </w:rPr>
      </w:pPr>
      <w:r w:rsidRPr="004E7338">
        <w:rPr>
          <w:rFonts w:ascii="Arial" w:hAnsi="Arial" w:cs="Arial"/>
          <w:szCs w:val="24"/>
        </w:rPr>
        <w:t>e) cálculo de “bônus” e “pedágio” dos tempos de contribuição;</w:t>
      </w:r>
    </w:p>
    <w:p w14:paraId="47834968" w14:textId="77777777" w:rsidR="00E94343" w:rsidRPr="004E7338" w:rsidRDefault="00E94343" w:rsidP="00FE31CA">
      <w:pPr>
        <w:adjustRightInd w:val="0"/>
        <w:spacing w:before="120" w:after="0" w:line="240" w:lineRule="auto"/>
        <w:ind w:firstLine="1134"/>
        <w:rPr>
          <w:rFonts w:ascii="Arial" w:hAnsi="Arial" w:cs="Arial"/>
          <w:szCs w:val="24"/>
        </w:rPr>
      </w:pPr>
      <w:r w:rsidRPr="004E7338">
        <w:rPr>
          <w:rFonts w:ascii="Arial" w:hAnsi="Arial" w:cs="Arial"/>
          <w:szCs w:val="24"/>
        </w:rPr>
        <w:t>f) motivo da invalidez;</w:t>
      </w:r>
    </w:p>
    <w:p w14:paraId="12A4003D" w14:textId="77777777" w:rsidR="00E94343" w:rsidRPr="004E7338" w:rsidRDefault="00E94343" w:rsidP="00FE31CA">
      <w:pPr>
        <w:adjustRightInd w:val="0"/>
        <w:spacing w:before="120" w:after="0" w:line="240" w:lineRule="auto"/>
        <w:ind w:firstLine="1134"/>
        <w:rPr>
          <w:rFonts w:ascii="Arial" w:hAnsi="Arial" w:cs="Arial"/>
          <w:szCs w:val="24"/>
        </w:rPr>
      </w:pPr>
      <w:r w:rsidRPr="004E7338">
        <w:rPr>
          <w:rFonts w:ascii="Arial" w:hAnsi="Arial" w:cs="Arial"/>
          <w:szCs w:val="24"/>
        </w:rPr>
        <w:t>g) tempo de atividade policial;</w:t>
      </w:r>
    </w:p>
    <w:p w14:paraId="38A9D564" w14:textId="77777777" w:rsidR="00E94343" w:rsidRPr="004E7338" w:rsidRDefault="00E94343" w:rsidP="00FE31CA">
      <w:pPr>
        <w:adjustRightInd w:val="0"/>
        <w:spacing w:before="120" w:after="0" w:line="240" w:lineRule="auto"/>
        <w:ind w:firstLine="1134"/>
        <w:rPr>
          <w:rFonts w:ascii="Arial" w:hAnsi="Arial" w:cs="Arial"/>
          <w:szCs w:val="24"/>
        </w:rPr>
      </w:pPr>
      <w:r w:rsidRPr="004E7338">
        <w:rPr>
          <w:rFonts w:ascii="Arial" w:hAnsi="Arial" w:cs="Arial"/>
          <w:szCs w:val="24"/>
        </w:rPr>
        <w:t>h) tempo de atividade militar especial;</w:t>
      </w:r>
    </w:p>
    <w:p w14:paraId="666C1DC4" w14:textId="77777777" w:rsidR="00E94343" w:rsidRPr="004E7338" w:rsidRDefault="00E94343" w:rsidP="00FE31CA">
      <w:pPr>
        <w:adjustRightInd w:val="0"/>
        <w:spacing w:before="120" w:after="0" w:line="240" w:lineRule="auto"/>
        <w:ind w:firstLine="1134"/>
        <w:rPr>
          <w:rFonts w:ascii="Arial" w:hAnsi="Arial" w:cs="Arial"/>
          <w:szCs w:val="24"/>
        </w:rPr>
      </w:pPr>
      <w:r w:rsidRPr="004E7338">
        <w:rPr>
          <w:rFonts w:ascii="Arial" w:hAnsi="Arial" w:cs="Arial"/>
          <w:szCs w:val="24"/>
        </w:rPr>
        <w:t>i) tempo de serviço prestado ao Estado do Paraná;</w:t>
      </w:r>
    </w:p>
    <w:p w14:paraId="5CBECA22" w14:textId="77777777" w:rsidR="00E94343" w:rsidRPr="004E7338" w:rsidRDefault="00E94343" w:rsidP="00FE31CA">
      <w:pPr>
        <w:adjustRightInd w:val="0"/>
        <w:spacing w:before="120" w:after="0" w:line="240" w:lineRule="auto"/>
        <w:ind w:firstLine="1134"/>
        <w:rPr>
          <w:rFonts w:ascii="Arial" w:hAnsi="Arial" w:cs="Arial"/>
          <w:szCs w:val="24"/>
        </w:rPr>
      </w:pPr>
      <w:r w:rsidRPr="004E7338">
        <w:rPr>
          <w:rFonts w:ascii="Arial" w:hAnsi="Arial" w:cs="Arial"/>
          <w:szCs w:val="24"/>
        </w:rPr>
        <w:t>j) tempo de serviço à corporação;</w:t>
      </w:r>
    </w:p>
    <w:p w14:paraId="1E5D63B4" w14:textId="77777777" w:rsidR="00E94343" w:rsidRPr="004E7338" w:rsidRDefault="00E94343" w:rsidP="00FE31CA">
      <w:pPr>
        <w:adjustRightInd w:val="0"/>
        <w:spacing w:before="120" w:after="0" w:line="240" w:lineRule="auto"/>
        <w:ind w:firstLine="1134"/>
        <w:rPr>
          <w:rFonts w:ascii="Arial" w:hAnsi="Arial" w:cs="Arial"/>
          <w:szCs w:val="24"/>
        </w:rPr>
      </w:pPr>
      <w:r w:rsidRPr="004E7338">
        <w:rPr>
          <w:rFonts w:ascii="Arial" w:hAnsi="Arial" w:cs="Arial"/>
          <w:szCs w:val="24"/>
        </w:rPr>
        <w:lastRenderedPageBreak/>
        <w:t>k) tempo de serviço de magistério;</w:t>
      </w:r>
    </w:p>
    <w:p w14:paraId="7FC6B2B3" w14:textId="77777777" w:rsidR="00E94343" w:rsidRPr="004E7338" w:rsidRDefault="00E94343" w:rsidP="00FE31CA">
      <w:pPr>
        <w:adjustRightInd w:val="0"/>
        <w:spacing w:before="120" w:after="0" w:line="240" w:lineRule="auto"/>
        <w:ind w:firstLine="1134"/>
        <w:rPr>
          <w:rFonts w:ascii="Arial" w:hAnsi="Arial" w:cs="Arial"/>
          <w:szCs w:val="24"/>
        </w:rPr>
      </w:pPr>
      <w:r w:rsidRPr="004E7338">
        <w:rPr>
          <w:rFonts w:ascii="Arial" w:hAnsi="Arial" w:cs="Arial"/>
          <w:szCs w:val="24"/>
        </w:rPr>
        <w:t>l) data de aquisição do direito.</w:t>
      </w:r>
    </w:p>
    <w:p w14:paraId="04C273B8" w14:textId="77777777" w:rsidR="00E94343" w:rsidRDefault="00E94343" w:rsidP="00FE31CA">
      <w:pPr>
        <w:adjustRightInd w:val="0"/>
        <w:spacing w:before="120" w:after="0" w:line="240" w:lineRule="auto"/>
        <w:ind w:firstLine="1134"/>
        <w:rPr>
          <w:rFonts w:ascii="Arial" w:hAnsi="Arial" w:cs="Arial"/>
          <w:szCs w:val="24"/>
        </w:rPr>
      </w:pPr>
      <w:r>
        <w:rPr>
          <w:rFonts w:ascii="Arial" w:hAnsi="Arial" w:cs="Arial"/>
          <w:szCs w:val="24"/>
        </w:rPr>
        <w:t>III – critérios de verificação e de conformidade dos processos de aposentadoria com as disposições normativas pertinentes do Tribunal de Contas:</w:t>
      </w:r>
    </w:p>
    <w:p w14:paraId="32DE0288" w14:textId="77777777" w:rsidR="00E94343" w:rsidRPr="004E7338" w:rsidRDefault="00E94343" w:rsidP="00FE31CA">
      <w:pPr>
        <w:adjustRightInd w:val="0"/>
        <w:spacing w:before="120" w:after="0" w:line="240" w:lineRule="auto"/>
        <w:ind w:firstLine="1134"/>
        <w:rPr>
          <w:rFonts w:ascii="Arial" w:hAnsi="Arial" w:cs="Arial"/>
          <w:szCs w:val="24"/>
        </w:rPr>
      </w:pPr>
      <w:r w:rsidRPr="004E7338">
        <w:rPr>
          <w:rFonts w:ascii="Arial" w:hAnsi="Arial" w:cs="Arial"/>
          <w:szCs w:val="24"/>
        </w:rPr>
        <w:t>a) juntada dos documentos obrigatórios previstos na Instrução Normativa vigente;</w:t>
      </w:r>
    </w:p>
    <w:p w14:paraId="0A13E716" w14:textId="77777777" w:rsidR="00E94343" w:rsidRPr="004E7338" w:rsidRDefault="00E94343" w:rsidP="00FE31CA">
      <w:pPr>
        <w:adjustRightInd w:val="0"/>
        <w:spacing w:before="120" w:after="0" w:line="240" w:lineRule="auto"/>
        <w:ind w:firstLine="1134"/>
        <w:rPr>
          <w:rFonts w:ascii="Arial" w:hAnsi="Arial" w:cs="Arial"/>
          <w:szCs w:val="24"/>
        </w:rPr>
      </w:pPr>
      <w:r w:rsidRPr="004E7338">
        <w:rPr>
          <w:rFonts w:ascii="Arial" w:hAnsi="Arial" w:cs="Arial"/>
          <w:szCs w:val="24"/>
        </w:rPr>
        <w:t>b) compatibilidade entre o conteúdo dos documentos anexados e o previsto na Instrução Normativa vigente;</w:t>
      </w:r>
    </w:p>
    <w:p w14:paraId="3894FC00" w14:textId="77777777" w:rsidR="00E94343" w:rsidRPr="004E7338" w:rsidRDefault="00E94343" w:rsidP="00FE31CA">
      <w:pPr>
        <w:adjustRightInd w:val="0"/>
        <w:spacing w:before="120" w:after="0" w:line="240" w:lineRule="auto"/>
        <w:ind w:firstLine="1134"/>
        <w:rPr>
          <w:rFonts w:ascii="Arial" w:hAnsi="Arial" w:cs="Arial"/>
          <w:szCs w:val="24"/>
        </w:rPr>
      </w:pPr>
      <w:r w:rsidRPr="004E7338">
        <w:rPr>
          <w:rFonts w:ascii="Arial" w:hAnsi="Arial" w:cs="Arial"/>
          <w:szCs w:val="24"/>
        </w:rPr>
        <w:t>c) compatibilidade entre os dados informados no Sistema de Atos de Pessoal (SIAP) e os documentos apresentados;</w:t>
      </w:r>
    </w:p>
    <w:p w14:paraId="2CECDF65" w14:textId="77777777" w:rsidR="00E94343" w:rsidRPr="004E7338" w:rsidRDefault="00E94343" w:rsidP="00FE31CA">
      <w:pPr>
        <w:spacing w:before="120" w:after="0" w:line="240" w:lineRule="auto"/>
        <w:ind w:firstLine="1134"/>
        <w:rPr>
          <w:rFonts w:ascii="Arial" w:hAnsi="Arial" w:cs="Arial"/>
          <w:szCs w:val="24"/>
        </w:rPr>
      </w:pPr>
      <w:r w:rsidRPr="004E7338">
        <w:rPr>
          <w:rFonts w:ascii="Arial" w:hAnsi="Arial" w:cs="Arial"/>
          <w:szCs w:val="24"/>
        </w:rPr>
        <w:t>d) observância do prazo de envio do processo.</w:t>
      </w:r>
    </w:p>
    <w:p w14:paraId="1642DF04" w14:textId="77777777" w:rsidR="00E94343" w:rsidRPr="004E7338" w:rsidRDefault="00E94343" w:rsidP="00FE31CA">
      <w:pPr>
        <w:adjustRightInd w:val="0"/>
        <w:spacing w:before="120" w:after="0" w:line="240" w:lineRule="auto"/>
        <w:ind w:firstLine="1134"/>
        <w:rPr>
          <w:rFonts w:ascii="Arial" w:hAnsi="Arial" w:cs="Arial"/>
          <w:szCs w:val="24"/>
        </w:rPr>
      </w:pPr>
      <w:r w:rsidRPr="004E7338">
        <w:rPr>
          <w:rFonts w:ascii="Arial" w:hAnsi="Arial" w:cs="Arial"/>
          <w:szCs w:val="24"/>
        </w:rPr>
        <w:t>IV – critérios de verificação da regularidade do valor dos proventos concedidos pelo ato de concessão de aposentadoria:</w:t>
      </w:r>
    </w:p>
    <w:p w14:paraId="1E724E35" w14:textId="77777777" w:rsidR="00E94343" w:rsidRPr="004E7338" w:rsidRDefault="00E94343" w:rsidP="00FE31CA">
      <w:pPr>
        <w:adjustRightInd w:val="0"/>
        <w:spacing w:before="120" w:after="0" w:line="240" w:lineRule="auto"/>
        <w:ind w:firstLine="1134"/>
        <w:rPr>
          <w:rFonts w:ascii="Arial" w:hAnsi="Arial" w:cs="Arial"/>
          <w:szCs w:val="24"/>
        </w:rPr>
      </w:pPr>
      <w:r w:rsidRPr="004E7338">
        <w:rPr>
          <w:rFonts w:ascii="Arial" w:hAnsi="Arial" w:cs="Arial"/>
          <w:szCs w:val="24"/>
        </w:rPr>
        <w:t>a) existência de previsão legal autorizadora da incorporação da verba nos proventos, conforme informado no SIAP - Quadro de Verbas;</w:t>
      </w:r>
    </w:p>
    <w:p w14:paraId="222F121C" w14:textId="77777777" w:rsidR="00E94343" w:rsidRPr="004E7338" w:rsidRDefault="00E94343" w:rsidP="00FE31CA">
      <w:pPr>
        <w:adjustRightInd w:val="0"/>
        <w:spacing w:before="120" w:after="0" w:line="240" w:lineRule="auto"/>
        <w:ind w:firstLine="1134"/>
        <w:rPr>
          <w:rFonts w:ascii="Arial" w:hAnsi="Arial" w:cs="Arial"/>
          <w:szCs w:val="24"/>
        </w:rPr>
      </w:pPr>
      <w:r w:rsidRPr="004E7338">
        <w:rPr>
          <w:rFonts w:ascii="Arial" w:hAnsi="Arial" w:cs="Arial"/>
          <w:szCs w:val="24"/>
        </w:rPr>
        <w:t>b) valor do índice de contribuição previdenciária;</w:t>
      </w:r>
    </w:p>
    <w:p w14:paraId="02D68143" w14:textId="77777777" w:rsidR="00E94343" w:rsidRPr="004E7338" w:rsidRDefault="00E94343" w:rsidP="00FE31CA">
      <w:pPr>
        <w:adjustRightInd w:val="0"/>
        <w:spacing w:before="120" w:after="0" w:line="240" w:lineRule="auto"/>
        <w:ind w:firstLine="1134"/>
        <w:rPr>
          <w:rFonts w:ascii="Arial" w:hAnsi="Arial" w:cs="Arial"/>
          <w:szCs w:val="24"/>
        </w:rPr>
      </w:pPr>
      <w:r w:rsidRPr="004E7338">
        <w:rPr>
          <w:rFonts w:ascii="Arial" w:hAnsi="Arial" w:cs="Arial"/>
          <w:szCs w:val="24"/>
        </w:rPr>
        <w:t>c) relação entre verba incorporada e cargo efetivo;</w:t>
      </w:r>
    </w:p>
    <w:p w14:paraId="7A298695" w14:textId="77777777" w:rsidR="00E94343" w:rsidRPr="004E7338" w:rsidRDefault="00E94343" w:rsidP="00FE31CA">
      <w:pPr>
        <w:adjustRightInd w:val="0"/>
        <w:spacing w:before="120" w:after="0" w:line="240" w:lineRule="auto"/>
        <w:ind w:firstLine="1134"/>
        <w:rPr>
          <w:rFonts w:ascii="Arial" w:hAnsi="Arial" w:cs="Arial"/>
          <w:szCs w:val="24"/>
        </w:rPr>
      </w:pPr>
      <w:r w:rsidRPr="004E7338">
        <w:rPr>
          <w:rFonts w:ascii="Arial" w:hAnsi="Arial" w:cs="Arial"/>
          <w:szCs w:val="24"/>
        </w:rPr>
        <w:t>d) observância do princípio da contributividade na inclusão das verbas transitórias;</w:t>
      </w:r>
    </w:p>
    <w:p w14:paraId="261CF885" w14:textId="77777777" w:rsidR="00E94343" w:rsidRPr="004E7338" w:rsidRDefault="00E94343" w:rsidP="00FE31CA">
      <w:pPr>
        <w:adjustRightInd w:val="0"/>
        <w:spacing w:before="120" w:after="0" w:line="240" w:lineRule="auto"/>
        <w:ind w:firstLine="1134"/>
        <w:rPr>
          <w:rFonts w:ascii="Arial" w:hAnsi="Arial" w:cs="Arial"/>
          <w:szCs w:val="24"/>
        </w:rPr>
      </w:pPr>
      <w:r w:rsidRPr="004E7338">
        <w:rPr>
          <w:rFonts w:ascii="Arial" w:hAnsi="Arial" w:cs="Arial"/>
          <w:szCs w:val="24"/>
        </w:rPr>
        <w:t>e) existência de previsão legal para a incorporação da verba;</w:t>
      </w:r>
    </w:p>
    <w:p w14:paraId="4076D092" w14:textId="77777777" w:rsidR="00E94343" w:rsidRPr="004E7338" w:rsidRDefault="00E94343" w:rsidP="00FE31CA">
      <w:pPr>
        <w:adjustRightInd w:val="0"/>
        <w:spacing w:before="120" w:after="0" w:line="240" w:lineRule="auto"/>
        <w:ind w:firstLine="1134"/>
        <w:rPr>
          <w:rFonts w:ascii="Arial" w:hAnsi="Arial" w:cs="Arial"/>
          <w:szCs w:val="24"/>
        </w:rPr>
      </w:pPr>
      <w:r w:rsidRPr="004E7338">
        <w:rPr>
          <w:rFonts w:ascii="Arial" w:hAnsi="Arial" w:cs="Arial"/>
          <w:szCs w:val="24"/>
        </w:rPr>
        <w:t>f) regularidade de inclusão ou exclusão de verba da remuneração para fins de comparação com a média;</w:t>
      </w:r>
    </w:p>
    <w:p w14:paraId="292C4B1B" w14:textId="77777777" w:rsidR="00E94343" w:rsidRPr="004E7338" w:rsidRDefault="00E94343" w:rsidP="00FE31CA">
      <w:pPr>
        <w:adjustRightInd w:val="0"/>
        <w:spacing w:before="120" w:after="0" w:line="240" w:lineRule="auto"/>
        <w:ind w:firstLine="1134"/>
        <w:rPr>
          <w:rFonts w:ascii="Arial" w:hAnsi="Arial" w:cs="Arial"/>
          <w:szCs w:val="24"/>
        </w:rPr>
      </w:pPr>
      <w:r w:rsidRPr="004E7338">
        <w:rPr>
          <w:rFonts w:ascii="Arial" w:hAnsi="Arial" w:cs="Arial"/>
          <w:szCs w:val="24"/>
        </w:rPr>
        <w:t>g) proporcionalidade entre verbas que compõem a remuneração e/ou os proventos, nos casos cabíveis;</w:t>
      </w:r>
    </w:p>
    <w:p w14:paraId="234A0B06" w14:textId="77777777" w:rsidR="00E94343" w:rsidRPr="004E7338" w:rsidRDefault="00E94343" w:rsidP="00FE31CA">
      <w:pPr>
        <w:adjustRightInd w:val="0"/>
        <w:spacing w:before="120" w:after="0" w:line="240" w:lineRule="auto"/>
        <w:ind w:firstLine="1134"/>
        <w:rPr>
          <w:rFonts w:ascii="Arial" w:hAnsi="Arial" w:cs="Arial"/>
          <w:szCs w:val="24"/>
        </w:rPr>
      </w:pPr>
      <w:r w:rsidRPr="004E7338">
        <w:rPr>
          <w:rFonts w:ascii="Arial" w:hAnsi="Arial" w:cs="Arial"/>
          <w:szCs w:val="24"/>
        </w:rPr>
        <w:t>h) cálculo do redutor e de excedente, nos casos cabíveis;</w:t>
      </w:r>
    </w:p>
    <w:p w14:paraId="6A95B234" w14:textId="77777777" w:rsidR="00E94343" w:rsidRPr="004E7338" w:rsidRDefault="00E94343" w:rsidP="00FE31CA">
      <w:pPr>
        <w:adjustRightInd w:val="0"/>
        <w:spacing w:before="120" w:after="0" w:line="240" w:lineRule="auto"/>
        <w:ind w:firstLine="1134"/>
        <w:rPr>
          <w:rFonts w:ascii="Arial" w:hAnsi="Arial" w:cs="Arial"/>
          <w:szCs w:val="24"/>
        </w:rPr>
      </w:pPr>
      <w:r w:rsidRPr="004E7338">
        <w:rPr>
          <w:rFonts w:ascii="Arial" w:hAnsi="Arial" w:cs="Arial"/>
          <w:szCs w:val="24"/>
        </w:rPr>
        <w:t>i) proporcionalidade dos proventos, nos casos cabíveis;</w:t>
      </w:r>
    </w:p>
    <w:p w14:paraId="0BE26A9B" w14:textId="77777777" w:rsidR="00E94343" w:rsidRPr="004E7338" w:rsidRDefault="00E94343" w:rsidP="00FE31CA">
      <w:pPr>
        <w:adjustRightInd w:val="0"/>
        <w:spacing w:before="120" w:after="0" w:line="240" w:lineRule="auto"/>
        <w:ind w:firstLine="1134"/>
        <w:rPr>
          <w:rFonts w:ascii="Arial" w:hAnsi="Arial" w:cs="Arial"/>
          <w:szCs w:val="24"/>
        </w:rPr>
      </w:pPr>
      <w:r w:rsidRPr="004E7338">
        <w:rPr>
          <w:rFonts w:ascii="Arial" w:hAnsi="Arial" w:cs="Arial"/>
          <w:szCs w:val="24"/>
        </w:rPr>
        <w:t>j) cálculo da média das 80% maiores remunerações, nos casos cabíveis;</w:t>
      </w:r>
    </w:p>
    <w:p w14:paraId="08207D80" w14:textId="77777777" w:rsidR="00E94343" w:rsidRPr="004E7338" w:rsidRDefault="00E94343" w:rsidP="00FE31CA">
      <w:pPr>
        <w:adjustRightInd w:val="0"/>
        <w:spacing w:before="120" w:after="0" w:line="240" w:lineRule="auto"/>
        <w:ind w:firstLine="1134"/>
        <w:rPr>
          <w:rFonts w:ascii="Arial" w:hAnsi="Arial" w:cs="Arial"/>
          <w:szCs w:val="24"/>
        </w:rPr>
      </w:pPr>
      <w:r w:rsidRPr="004E7338">
        <w:rPr>
          <w:rFonts w:ascii="Arial" w:hAnsi="Arial" w:cs="Arial"/>
          <w:szCs w:val="24"/>
        </w:rPr>
        <w:t>k) comparação entre média e última remuneração, nos casos cabíveis;</w:t>
      </w:r>
    </w:p>
    <w:p w14:paraId="617B4C06" w14:textId="77777777" w:rsidR="00E94343" w:rsidRPr="004E7338" w:rsidRDefault="00E94343" w:rsidP="00FE31CA">
      <w:pPr>
        <w:adjustRightInd w:val="0"/>
        <w:spacing w:before="120" w:after="0" w:line="240" w:lineRule="auto"/>
        <w:ind w:firstLine="1134"/>
        <w:rPr>
          <w:rFonts w:ascii="Arial" w:hAnsi="Arial" w:cs="Arial"/>
          <w:szCs w:val="24"/>
        </w:rPr>
      </w:pPr>
      <w:r w:rsidRPr="004E7338">
        <w:rPr>
          <w:rFonts w:ascii="Arial" w:hAnsi="Arial" w:cs="Arial"/>
          <w:szCs w:val="24"/>
        </w:rPr>
        <w:t>l) cálculo dos proventos baseado na remuneração do servidor, nos casos cabíveis.</w:t>
      </w:r>
    </w:p>
    <w:p w14:paraId="522068AE" w14:textId="77777777" w:rsidR="00E94343" w:rsidRPr="004E7338" w:rsidRDefault="00E94343" w:rsidP="00FE31CA">
      <w:pPr>
        <w:adjustRightInd w:val="0"/>
        <w:spacing w:before="120" w:after="0" w:line="240" w:lineRule="auto"/>
        <w:ind w:firstLine="1134"/>
        <w:rPr>
          <w:rFonts w:ascii="Arial" w:hAnsi="Arial" w:cs="Arial"/>
          <w:szCs w:val="24"/>
        </w:rPr>
      </w:pPr>
      <w:r w:rsidRPr="004E7338">
        <w:rPr>
          <w:rFonts w:ascii="Arial" w:hAnsi="Arial" w:cs="Arial"/>
          <w:szCs w:val="24"/>
        </w:rPr>
        <w:t>V – critérios de verificação e de conformidade do ato de concessão de aposentadoria:</w:t>
      </w:r>
    </w:p>
    <w:p w14:paraId="405CC7A2" w14:textId="77777777" w:rsidR="00E94343" w:rsidRPr="004E7338" w:rsidRDefault="00E94343" w:rsidP="00FE31CA">
      <w:pPr>
        <w:adjustRightInd w:val="0"/>
        <w:spacing w:before="120" w:after="0" w:line="240" w:lineRule="auto"/>
        <w:ind w:firstLine="1134"/>
        <w:rPr>
          <w:rFonts w:ascii="Arial" w:hAnsi="Arial" w:cs="Arial"/>
          <w:szCs w:val="24"/>
        </w:rPr>
      </w:pPr>
      <w:r w:rsidRPr="004E7338">
        <w:rPr>
          <w:rFonts w:ascii="Arial" w:hAnsi="Arial" w:cs="Arial"/>
          <w:szCs w:val="24"/>
        </w:rPr>
        <w:t>a) suficiência e correção dos dados contidos no ato de concessão da aposentadoria;</w:t>
      </w:r>
    </w:p>
    <w:p w14:paraId="42636552" w14:textId="77777777" w:rsidR="00E94343" w:rsidRPr="004E7338" w:rsidRDefault="00E94343" w:rsidP="00FE31CA">
      <w:pPr>
        <w:adjustRightInd w:val="0"/>
        <w:spacing w:before="120" w:after="0" w:line="240" w:lineRule="auto"/>
        <w:ind w:firstLine="1134"/>
        <w:rPr>
          <w:rFonts w:ascii="Arial" w:hAnsi="Arial" w:cs="Arial"/>
          <w:szCs w:val="24"/>
        </w:rPr>
      </w:pPr>
      <w:r w:rsidRPr="004E7338">
        <w:rPr>
          <w:rFonts w:ascii="Arial" w:hAnsi="Arial" w:cs="Arial"/>
          <w:szCs w:val="24"/>
        </w:rPr>
        <w:t>b) publicidade do ato.</w:t>
      </w:r>
    </w:p>
    <w:p w14:paraId="7A32E1F6" w14:textId="77777777" w:rsidR="00E94343" w:rsidRDefault="00E94343" w:rsidP="00FE31CA">
      <w:pPr>
        <w:adjustRightInd w:val="0"/>
        <w:spacing w:before="120" w:after="0" w:line="240" w:lineRule="auto"/>
        <w:ind w:firstLine="1134"/>
        <w:rPr>
          <w:rFonts w:ascii="Arial" w:hAnsi="Arial" w:cs="Arial"/>
          <w:szCs w:val="24"/>
        </w:rPr>
      </w:pPr>
      <w:r>
        <w:rPr>
          <w:rFonts w:ascii="Arial" w:hAnsi="Arial" w:cs="Arial"/>
          <w:szCs w:val="24"/>
        </w:rPr>
        <w:lastRenderedPageBreak/>
        <w:t>Parágrafo único. Os critérios de verificação e de conformidade dispostos neste artigo poderão ser alterados, nos termos do art. 9º desta Instrução Normativa.</w:t>
      </w:r>
    </w:p>
    <w:p w14:paraId="0D139F25" w14:textId="77777777" w:rsidR="00E94343" w:rsidRDefault="00E94343" w:rsidP="00FE31CA">
      <w:pPr>
        <w:adjustRightInd w:val="0"/>
        <w:spacing w:before="120" w:after="0" w:line="240" w:lineRule="auto"/>
        <w:ind w:firstLine="1134"/>
        <w:rPr>
          <w:rFonts w:ascii="Arial" w:hAnsi="Arial" w:cs="Arial"/>
          <w:szCs w:val="24"/>
        </w:rPr>
      </w:pPr>
      <w:r>
        <w:rPr>
          <w:rFonts w:ascii="Arial" w:hAnsi="Arial" w:cs="Arial"/>
          <w:b/>
          <w:bCs/>
          <w:szCs w:val="24"/>
        </w:rPr>
        <w:t xml:space="preserve">Art. 4º </w:t>
      </w:r>
      <w:r>
        <w:rPr>
          <w:rFonts w:ascii="Arial" w:hAnsi="Arial" w:cs="Arial"/>
          <w:szCs w:val="24"/>
        </w:rPr>
        <w:t>Os atos de inativação encaminhados por meio de Sistema de Atos de Pessoal (SIAP) serão autuados inicialmente como Requerimento de Análise Técnica – Ato de Inativação, sendo enviados diretamente para a Diretoria de Controle de Atos de Pessoal – DICAP.</w:t>
      </w:r>
    </w:p>
    <w:p w14:paraId="44CCFCD2" w14:textId="77777777" w:rsidR="00E94343" w:rsidRDefault="00E94343" w:rsidP="00FE31CA">
      <w:pPr>
        <w:adjustRightInd w:val="0"/>
        <w:spacing w:before="120" w:after="0" w:line="240" w:lineRule="auto"/>
        <w:ind w:firstLine="1134"/>
        <w:rPr>
          <w:rFonts w:ascii="Arial" w:hAnsi="Arial" w:cs="Arial"/>
          <w:szCs w:val="24"/>
        </w:rPr>
      </w:pPr>
      <w:r>
        <w:rPr>
          <w:rFonts w:ascii="Arial" w:hAnsi="Arial" w:cs="Arial"/>
          <w:b/>
          <w:bCs/>
          <w:szCs w:val="24"/>
        </w:rPr>
        <w:t xml:space="preserve">Art. 5º </w:t>
      </w:r>
      <w:r>
        <w:rPr>
          <w:rFonts w:ascii="Arial" w:hAnsi="Arial" w:cs="Arial"/>
          <w:szCs w:val="24"/>
        </w:rPr>
        <w:t>A DICAP realizará análise eletrônica individual em cada processo de ato de inativação, ficando o resultado registrado no sistema para eventual consulta.</w:t>
      </w:r>
    </w:p>
    <w:p w14:paraId="070BEED7" w14:textId="77777777" w:rsidR="00E94343" w:rsidRDefault="00E94343" w:rsidP="00FE31CA">
      <w:pPr>
        <w:adjustRightInd w:val="0"/>
        <w:spacing w:before="120" w:after="0" w:line="240" w:lineRule="auto"/>
        <w:ind w:firstLine="1134"/>
        <w:rPr>
          <w:rFonts w:ascii="Arial" w:hAnsi="Arial" w:cs="Arial"/>
          <w:szCs w:val="24"/>
        </w:rPr>
      </w:pPr>
      <w:r>
        <w:rPr>
          <w:rFonts w:ascii="Arial" w:hAnsi="Arial" w:cs="Arial"/>
          <w:szCs w:val="24"/>
        </w:rPr>
        <w:t>§ 1º Os atos que forem considerados aptos para o registro serão relacionados em lista, na qual constarão as principais informações, como número do processo, nome do servidor, número do ato, data de publicação.</w:t>
      </w:r>
    </w:p>
    <w:p w14:paraId="6FD66CD1" w14:textId="77777777" w:rsidR="00E94343" w:rsidRDefault="00E94343" w:rsidP="00FE31CA">
      <w:pPr>
        <w:adjustRightInd w:val="0"/>
        <w:spacing w:before="120" w:after="0" w:line="240" w:lineRule="auto"/>
        <w:ind w:firstLine="1134"/>
        <w:rPr>
          <w:rFonts w:ascii="Arial" w:hAnsi="Arial" w:cs="Arial"/>
          <w:szCs w:val="24"/>
        </w:rPr>
      </w:pPr>
      <w:r>
        <w:rPr>
          <w:rFonts w:ascii="Arial" w:hAnsi="Arial" w:cs="Arial"/>
          <w:szCs w:val="24"/>
        </w:rPr>
        <w:t>§ 2º A lista, finalizada a critério da Unidade Técnica, será disponibilizada para homologação do Presidente.</w:t>
      </w:r>
    </w:p>
    <w:p w14:paraId="3F9F3776" w14:textId="77777777" w:rsidR="00E94343" w:rsidRDefault="00E94343" w:rsidP="00FE31CA">
      <w:pPr>
        <w:adjustRightInd w:val="0"/>
        <w:spacing w:before="120" w:after="0" w:line="240" w:lineRule="auto"/>
        <w:ind w:firstLine="1134"/>
        <w:rPr>
          <w:rFonts w:ascii="Arial" w:hAnsi="Arial" w:cs="Arial"/>
          <w:szCs w:val="24"/>
        </w:rPr>
      </w:pPr>
      <w:r>
        <w:rPr>
          <w:rFonts w:ascii="Arial" w:hAnsi="Arial" w:cs="Arial"/>
          <w:szCs w:val="24"/>
        </w:rPr>
        <w:t>§ 3º O despacho de homologação, contendo a lista dos atos de aposentadoria aptos para registro, será publicado no Diário Eletrônico do Tribunal de Contas do Estado do Paraná.</w:t>
      </w:r>
    </w:p>
    <w:p w14:paraId="5A1F89ED" w14:textId="77777777" w:rsidR="00E94343" w:rsidRDefault="00E94343" w:rsidP="00FE31CA">
      <w:pPr>
        <w:adjustRightInd w:val="0"/>
        <w:spacing w:before="120" w:after="0" w:line="240" w:lineRule="auto"/>
        <w:ind w:firstLine="1134"/>
        <w:rPr>
          <w:rFonts w:ascii="Arial" w:hAnsi="Arial" w:cs="Arial"/>
          <w:szCs w:val="24"/>
        </w:rPr>
      </w:pPr>
      <w:r>
        <w:rPr>
          <w:rFonts w:ascii="Arial" w:hAnsi="Arial" w:cs="Arial"/>
          <w:szCs w:val="24"/>
        </w:rPr>
        <w:t>§ 4º No caso de discordância com relação a registro de ato de aposentadoria relacionado na lista, o Presidente determinará a exclusão e o encaminhamento do processo respectivo à Diretoria de Protocolo para distribuição e regular processamento, nos termos do art. 333, I a V, do Regimento Interno.</w:t>
      </w:r>
    </w:p>
    <w:p w14:paraId="06FB1DB2" w14:textId="77777777" w:rsidR="00E94343" w:rsidRDefault="00E94343" w:rsidP="00FE31CA">
      <w:pPr>
        <w:adjustRightInd w:val="0"/>
        <w:spacing w:before="120" w:after="0" w:line="240" w:lineRule="auto"/>
        <w:ind w:firstLine="1134"/>
        <w:rPr>
          <w:rFonts w:ascii="Arial" w:hAnsi="Arial" w:cs="Arial"/>
          <w:szCs w:val="24"/>
        </w:rPr>
      </w:pPr>
      <w:r>
        <w:rPr>
          <w:rFonts w:ascii="Arial" w:hAnsi="Arial" w:cs="Arial"/>
          <w:b/>
          <w:bCs/>
          <w:szCs w:val="24"/>
        </w:rPr>
        <w:t xml:space="preserve">Art. 6º </w:t>
      </w:r>
      <w:r>
        <w:rPr>
          <w:rFonts w:ascii="Arial" w:hAnsi="Arial" w:cs="Arial"/>
          <w:szCs w:val="24"/>
        </w:rPr>
        <w:t>Será emitida certidão individualizada de registro pela Diretoria de Controle de Atos de Pessoal nos processos contidos na lista homologada pelo Presidente.</w:t>
      </w:r>
    </w:p>
    <w:p w14:paraId="6AAEEBE9" w14:textId="77777777" w:rsidR="00E94343" w:rsidRDefault="00E94343" w:rsidP="00FE31CA">
      <w:pPr>
        <w:adjustRightInd w:val="0"/>
        <w:spacing w:before="120" w:after="0" w:line="240" w:lineRule="auto"/>
        <w:ind w:firstLine="1134"/>
        <w:rPr>
          <w:rFonts w:ascii="Arial" w:hAnsi="Arial" w:cs="Arial"/>
          <w:szCs w:val="24"/>
        </w:rPr>
      </w:pPr>
      <w:r>
        <w:rPr>
          <w:rFonts w:ascii="Arial" w:hAnsi="Arial" w:cs="Arial"/>
          <w:b/>
          <w:bCs/>
          <w:szCs w:val="24"/>
        </w:rPr>
        <w:t xml:space="preserve">Art. 7º </w:t>
      </w:r>
      <w:r>
        <w:rPr>
          <w:rFonts w:ascii="Arial" w:hAnsi="Arial" w:cs="Arial"/>
          <w:szCs w:val="24"/>
        </w:rPr>
        <w:t>Os atos cuja análise eletrônica identificar irregularidades, inconsistências ou omissões no lançamento dos dados serão encaminhados à Diretoria de Protocolo para distribuição e regular processamento, nos termos do art. 333, I a V, do Regimento Interno.</w:t>
      </w:r>
    </w:p>
    <w:p w14:paraId="539D36F7" w14:textId="77777777" w:rsidR="00E94343" w:rsidRDefault="00E94343" w:rsidP="00FE31CA">
      <w:pPr>
        <w:adjustRightInd w:val="0"/>
        <w:spacing w:before="120" w:after="0" w:line="240" w:lineRule="auto"/>
        <w:ind w:firstLine="1134"/>
        <w:rPr>
          <w:rFonts w:ascii="Arial" w:hAnsi="Arial" w:cs="Arial"/>
          <w:szCs w:val="24"/>
        </w:rPr>
      </w:pPr>
      <w:r>
        <w:rPr>
          <w:rFonts w:ascii="Arial" w:hAnsi="Arial" w:cs="Arial"/>
          <w:b/>
          <w:bCs/>
          <w:szCs w:val="24"/>
        </w:rPr>
        <w:t xml:space="preserve">Art. 8º </w:t>
      </w:r>
      <w:r>
        <w:rPr>
          <w:rFonts w:ascii="Arial" w:hAnsi="Arial" w:cs="Arial"/>
          <w:szCs w:val="24"/>
        </w:rPr>
        <w:t>Fica autorizada implementação de procedimentos de integração de sistemas com o SIAP, destinados à alimentação automática de dados, devendo, em cada caso, o processo de integração ser previamente autorizado pela Diretoria de Controle de Atos de Pessoal.</w:t>
      </w:r>
    </w:p>
    <w:p w14:paraId="51527C18" w14:textId="77777777" w:rsidR="00E94343" w:rsidRDefault="00E94343" w:rsidP="00FE31CA">
      <w:pPr>
        <w:adjustRightInd w:val="0"/>
        <w:spacing w:before="120" w:after="0" w:line="240" w:lineRule="auto"/>
        <w:ind w:firstLine="1134"/>
        <w:rPr>
          <w:rFonts w:ascii="Arial" w:hAnsi="Arial" w:cs="Arial"/>
          <w:szCs w:val="24"/>
        </w:rPr>
      </w:pPr>
      <w:r>
        <w:rPr>
          <w:rFonts w:ascii="Arial" w:hAnsi="Arial" w:cs="Arial"/>
          <w:b/>
          <w:bCs/>
          <w:szCs w:val="24"/>
        </w:rPr>
        <w:t xml:space="preserve">Art. 9º </w:t>
      </w:r>
      <w:r>
        <w:rPr>
          <w:rFonts w:ascii="Arial" w:hAnsi="Arial" w:cs="Arial"/>
          <w:szCs w:val="24"/>
        </w:rPr>
        <w:t xml:space="preserve">A matriz contendo as regras de captação, pré-análise e análise, suas descrições e casos de aplicação, será disponibilizada na página da </w:t>
      </w:r>
      <w:r>
        <w:rPr>
          <w:rFonts w:ascii="Arial" w:hAnsi="Arial" w:cs="Arial"/>
          <w:i/>
          <w:iCs/>
          <w:szCs w:val="24"/>
        </w:rPr>
        <w:t xml:space="preserve">intranet </w:t>
      </w:r>
      <w:r>
        <w:rPr>
          <w:rFonts w:ascii="Arial" w:hAnsi="Arial" w:cs="Arial"/>
          <w:szCs w:val="24"/>
        </w:rPr>
        <w:t>do Tribunal de Contas, assegurando-se aos Conselheiros, Auditores e Ministério Público de Contas a verificação dos parâmetros de conformidade do Sistema.</w:t>
      </w:r>
    </w:p>
    <w:p w14:paraId="646F80CE" w14:textId="77777777" w:rsidR="00E94343" w:rsidRDefault="00E94343" w:rsidP="00FE31CA">
      <w:pPr>
        <w:adjustRightInd w:val="0"/>
        <w:spacing w:before="120" w:after="0" w:line="240" w:lineRule="auto"/>
        <w:ind w:firstLine="1134"/>
        <w:rPr>
          <w:rFonts w:ascii="Arial" w:hAnsi="Arial" w:cs="Arial"/>
          <w:szCs w:val="24"/>
        </w:rPr>
      </w:pPr>
      <w:r>
        <w:rPr>
          <w:rFonts w:ascii="Arial" w:hAnsi="Arial" w:cs="Arial"/>
          <w:szCs w:val="24"/>
        </w:rPr>
        <w:t xml:space="preserve">§ 1º As modificações e atualizações da matriz de regras realizadas pela Diretoria de Controle de Atos de Pessoal, passíveis de influir na análise </w:t>
      </w:r>
      <w:r>
        <w:rPr>
          <w:rFonts w:ascii="Arial" w:hAnsi="Arial" w:cs="Arial"/>
          <w:szCs w:val="24"/>
        </w:rPr>
        <w:lastRenderedPageBreak/>
        <w:t xml:space="preserve">eletrônica dos atos de aposentadoria, serão publicadas na página da </w:t>
      </w:r>
      <w:r>
        <w:rPr>
          <w:rFonts w:ascii="Arial" w:hAnsi="Arial" w:cs="Arial"/>
          <w:i/>
          <w:iCs/>
          <w:szCs w:val="24"/>
        </w:rPr>
        <w:t xml:space="preserve">intranet </w:t>
      </w:r>
      <w:r>
        <w:rPr>
          <w:rFonts w:ascii="Arial" w:hAnsi="Arial" w:cs="Arial"/>
          <w:szCs w:val="24"/>
        </w:rPr>
        <w:t>do Tribunal de Contas.</w:t>
      </w:r>
    </w:p>
    <w:p w14:paraId="24AD41BE" w14:textId="77777777" w:rsidR="00E94343" w:rsidRDefault="00E94343" w:rsidP="00FE31CA">
      <w:pPr>
        <w:adjustRightInd w:val="0"/>
        <w:spacing w:before="120" w:after="0" w:line="240" w:lineRule="auto"/>
        <w:ind w:firstLine="1134"/>
        <w:rPr>
          <w:rFonts w:ascii="Arial" w:hAnsi="Arial" w:cs="Arial"/>
          <w:szCs w:val="24"/>
        </w:rPr>
      </w:pPr>
      <w:r>
        <w:rPr>
          <w:rFonts w:ascii="Arial" w:hAnsi="Arial" w:cs="Arial"/>
          <w:szCs w:val="24"/>
        </w:rPr>
        <w:t>§ 2º Eventual questionamento ou proposta de alteração, apresentado por Conselheiros, Auditores ou membros do Ministério Público de Contas sobre o conteúdo da matriz de regras, deverá ser analisado por comissão temporária, nos termos do art. 178 do Regimento Interno.</w:t>
      </w:r>
    </w:p>
    <w:p w14:paraId="25BFE6DF" w14:textId="77777777" w:rsidR="00E94343" w:rsidRDefault="00E94343" w:rsidP="00FE31CA">
      <w:pPr>
        <w:adjustRightInd w:val="0"/>
        <w:spacing w:before="120" w:after="0" w:line="240" w:lineRule="auto"/>
        <w:ind w:firstLine="1134"/>
        <w:rPr>
          <w:rFonts w:ascii="Arial" w:hAnsi="Arial" w:cs="Arial"/>
          <w:szCs w:val="24"/>
        </w:rPr>
      </w:pPr>
      <w:r>
        <w:rPr>
          <w:rFonts w:ascii="Arial" w:hAnsi="Arial" w:cs="Arial"/>
          <w:b/>
          <w:bCs/>
          <w:szCs w:val="24"/>
        </w:rPr>
        <w:t xml:space="preserve">Art. 10. </w:t>
      </w:r>
      <w:r>
        <w:rPr>
          <w:rFonts w:ascii="Arial" w:hAnsi="Arial" w:cs="Arial"/>
          <w:szCs w:val="24"/>
        </w:rPr>
        <w:t>Esta Instrução Normativa entra em vigor na data de sua publicação.</w:t>
      </w:r>
    </w:p>
    <w:p w14:paraId="6187DF96" w14:textId="77777777" w:rsidR="00131CB5" w:rsidRDefault="00131CB5" w:rsidP="004E7338">
      <w:pPr>
        <w:adjustRightInd w:val="0"/>
        <w:spacing w:before="240" w:after="0" w:line="240" w:lineRule="auto"/>
        <w:ind w:firstLine="1134"/>
        <w:rPr>
          <w:rFonts w:ascii="Arial" w:hAnsi="Arial" w:cs="Arial"/>
          <w:szCs w:val="24"/>
        </w:rPr>
      </w:pPr>
    </w:p>
    <w:p w14:paraId="4E08D27A" w14:textId="77777777" w:rsidR="00E94343" w:rsidRDefault="00E94343" w:rsidP="00975061">
      <w:pPr>
        <w:adjustRightInd w:val="0"/>
        <w:spacing w:before="240" w:after="0" w:line="240" w:lineRule="auto"/>
        <w:ind w:firstLine="0"/>
        <w:jc w:val="center"/>
        <w:rPr>
          <w:rFonts w:ascii="Arial" w:hAnsi="Arial" w:cs="Arial"/>
          <w:szCs w:val="24"/>
        </w:rPr>
      </w:pPr>
      <w:r>
        <w:rPr>
          <w:rFonts w:ascii="Arial" w:hAnsi="Arial" w:cs="Arial"/>
          <w:szCs w:val="24"/>
        </w:rPr>
        <w:t>Curitiba, 28 de maio de 2015.</w:t>
      </w:r>
    </w:p>
    <w:p w14:paraId="061838A2" w14:textId="77777777" w:rsidR="00975061" w:rsidRDefault="00975061" w:rsidP="00975061">
      <w:pPr>
        <w:adjustRightInd w:val="0"/>
        <w:spacing w:before="240" w:after="0" w:line="240" w:lineRule="auto"/>
        <w:ind w:firstLine="0"/>
        <w:jc w:val="center"/>
        <w:rPr>
          <w:rFonts w:ascii="Arial" w:hAnsi="Arial" w:cs="Arial"/>
          <w:szCs w:val="24"/>
        </w:rPr>
      </w:pPr>
    </w:p>
    <w:p w14:paraId="437F6784" w14:textId="77777777" w:rsidR="00E94343" w:rsidRDefault="00E94343" w:rsidP="00975061">
      <w:pPr>
        <w:adjustRightInd w:val="0"/>
        <w:spacing w:before="240" w:after="0" w:line="240" w:lineRule="auto"/>
        <w:ind w:firstLine="0"/>
        <w:jc w:val="center"/>
        <w:rPr>
          <w:rFonts w:ascii="Arial" w:hAnsi="Arial" w:cs="Arial"/>
          <w:szCs w:val="24"/>
        </w:rPr>
      </w:pPr>
      <w:r>
        <w:rPr>
          <w:rFonts w:ascii="Arial" w:hAnsi="Arial" w:cs="Arial"/>
          <w:szCs w:val="24"/>
        </w:rPr>
        <w:t xml:space="preserve">Conselheiro </w:t>
      </w:r>
      <w:r>
        <w:rPr>
          <w:rFonts w:ascii="Arial" w:hAnsi="Arial" w:cs="Arial"/>
          <w:b/>
          <w:szCs w:val="24"/>
        </w:rPr>
        <w:t>IVAN LELIS BONILHA</w:t>
      </w:r>
    </w:p>
    <w:p w14:paraId="09B2FA97" w14:textId="77777777" w:rsidR="00506B62" w:rsidRDefault="00E94343" w:rsidP="00975061">
      <w:pPr>
        <w:spacing w:before="0" w:after="120" w:line="240" w:lineRule="auto"/>
        <w:ind w:firstLine="0"/>
        <w:jc w:val="center"/>
      </w:pPr>
      <w:r>
        <w:rPr>
          <w:rFonts w:ascii="Arial" w:hAnsi="Arial" w:cs="Arial"/>
          <w:szCs w:val="24"/>
        </w:rPr>
        <w:t>Presidente do Tribunal de Contas do Estado do Paraná</w:t>
      </w:r>
    </w:p>
    <w:sectPr w:rsidR="00506B62" w:rsidSect="004E7338">
      <w:headerReference w:type="default" r:id="rId7"/>
      <w:footnotePr>
        <w:numFmt w:val="chicago"/>
      </w:footnotePr>
      <w:pgSz w:w="11906" w:h="16838"/>
      <w:pgMar w:top="1418" w:right="1701"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EC299" w14:textId="77777777" w:rsidR="00D14088" w:rsidRDefault="00D14088" w:rsidP="00C91CA6">
      <w:pPr>
        <w:spacing w:before="0" w:after="0" w:line="240" w:lineRule="auto"/>
      </w:pPr>
      <w:r>
        <w:separator/>
      </w:r>
    </w:p>
  </w:endnote>
  <w:endnote w:type="continuationSeparator" w:id="0">
    <w:p w14:paraId="329DD2C9" w14:textId="77777777" w:rsidR="00D14088" w:rsidRDefault="00D14088" w:rsidP="00C91CA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7367F" w14:textId="77777777" w:rsidR="00D14088" w:rsidRDefault="00D14088" w:rsidP="00B15E25">
      <w:pPr>
        <w:spacing w:before="0" w:after="0" w:line="240" w:lineRule="auto"/>
        <w:ind w:firstLine="0"/>
      </w:pPr>
      <w:r>
        <w:separator/>
      </w:r>
    </w:p>
  </w:footnote>
  <w:footnote w:type="continuationSeparator" w:id="0">
    <w:p w14:paraId="0DBC1CC1" w14:textId="77777777" w:rsidR="00D14088" w:rsidRDefault="00D14088" w:rsidP="00C91CA6">
      <w:pPr>
        <w:spacing w:before="0" w:after="0" w:line="240" w:lineRule="auto"/>
      </w:pPr>
      <w:r>
        <w:continuationSeparator/>
      </w:r>
    </w:p>
  </w:footnote>
  <w:footnote w:id="1">
    <w:p w14:paraId="5863AB55" w14:textId="77777777" w:rsidR="007D6951" w:rsidRPr="00205F2C" w:rsidRDefault="007D6951" w:rsidP="00205F2C">
      <w:pPr>
        <w:pStyle w:val="Textodenotaderodap"/>
        <w:spacing w:before="0" w:after="0" w:line="240" w:lineRule="auto"/>
        <w:ind w:firstLine="0"/>
        <w:contextualSpacing/>
        <w:rPr>
          <w:rFonts w:ascii="Arial" w:hAnsi="Arial" w:cs="Arial"/>
        </w:rPr>
      </w:pPr>
      <w:r>
        <w:rPr>
          <w:rStyle w:val="Refdenotaderodap"/>
        </w:rPr>
        <w:footnoteRef/>
      </w:r>
      <w:r w:rsidRPr="00205F2C">
        <w:rPr>
          <w:rFonts w:ascii="Arial" w:hAnsi="Arial" w:cs="Arial"/>
        </w:rPr>
        <w:t xml:space="preserve"> </w:t>
      </w:r>
      <w:bookmarkStart w:id="0" w:name="_Hlk9321415"/>
      <w:r w:rsidRPr="00205F2C">
        <w:rPr>
          <w:rFonts w:ascii="Arial" w:hAnsi="Arial" w:cs="Arial"/>
          <w:b/>
        </w:rPr>
        <w:t>Notas da Biblioteca:</w:t>
      </w:r>
    </w:p>
    <w:bookmarkEnd w:id="0"/>
    <w:p w14:paraId="02B0ADEE" w14:textId="5C608792" w:rsidR="007D6951" w:rsidRPr="00205F2C" w:rsidRDefault="007D6951" w:rsidP="00205F2C">
      <w:pPr>
        <w:pStyle w:val="PargrafodaLista"/>
        <w:numPr>
          <w:ilvl w:val="0"/>
          <w:numId w:val="1"/>
        </w:numPr>
        <w:autoSpaceDE/>
        <w:autoSpaceDN/>
        <w:spacing w:before="0" w:after="0" w:line="240" w:lineRule="auto"/>
        <w:ind w:left="426" w:hanging="284"/>
        <w:rPr>
          <w:rFonts w:ascii="Arial" w:hAnsi="Arial" w:cs="Arial"/>
          <w:color w:val="0000FF"/>
          <w:sz w:val="20"/>
          <w:u w:val="single"/>
        </w:rPr>
      </w:pPr>
      <w:r w:rsidRPr="00205F2C">
        <w:rPr>
          <w:rFonts w:ascii="Arial" w:hAnsi="Arial" w:cs="Arial"/>
          <w:bCs/>
          <w:sz w:val="20"/>
        </w:rPr>
        <w:t xml:space="preserve">Este texto não substitui o publicado no periódico: </w:t>
      </w:r>
      <w:hyperlink r:id="rId1" w:history="1">
        <w:r w:rsidR="006E77ED" w:rsidRPr="00A50625">
          <w:rPr>
            <w:rStyle w:val="Hyperlink"/>
            <w:b/>
            <w:bCs/>
            <w:sz w:val="20"/>
          </w:rPr>
          <w:t>Diário Eletrônico do Tribunal de Contas do Estado do Paraná</w:t>
        </w:r>
        <w:r w:rsidR="006E77ED" w:rsidRPr="00205F2C">
          <w:rPr>
            <w:rStyle w:val="Hyperlink"/>
            <w:sz w:val="20"/>
          </w:rPr>
          <w:t>, Curitiba, PR, n. 1135, 9 jun. 2015, p. 74-75</w:t>
        </w:r>
      </w:hyperlink>
      <w:r w:rsidR="006E77ED" w:rsidRPr="00205F2C">
        <w:rPr>
          <w:rFonts w:ascii="Arial" w:hAnsi="Arial" w:cs="Arial"/>
          <w:sz w:val="20"/>
        </w:rPr>
        <w:t>.</w:t>
      </w:r>
    </w:p>
    <w:p w14:paraId="57C06F08" w14:textId="76686535" w:rsidR="007D6951" w:rsidRDefault="007D6951" w:rsidP="004831D5">
      <w:pPr>
        <w:pStyle w:val="PargrafodaLista"/>
        <w:numPr>
          <w:ilvl w:val="0"/>
          <w:numId w:val="1"/>
        </w:numPr>
        <w:autoSpaceDE/>
        <w:autoSpaceDN/>
        <w:spacing w:before="0" w:after="0" w:line="240" w:lineRule="auto"/>
        <w:ind w:left="426" w:hanging="284"/>
      </w:pPr>
      <w:r w:rsidRPr="008C5B4E">
        <w:rPr>
          <w:rFonts w:ascii="Arial" w:hAnsi="Arial" w:cs="Arial"/>
          <w:sz w:val="20"/>
        </w:rPr>
        <w:t xml:space="preserve">Origem: </w:t>
      </w:r>
      <w:r w:rsidR="00205F2C" w:rsidRPr="008C5B4E">
        <w:rPr>
          <w:rFonts w:ascii="Arial" w:hAnsi="Arial" w:cs="Arial"/>
          <w:sz w:val="20"/>
        </w:rPr>
        <w:t xml:space="preserve">Processo n. 321100/15 – </w:t>
      </w:r>
      <w:hyperlink r:id="rId2" w:history="1">
        <w:r w:rsidR="00205F2C" w:rsidRPr="008C5B4E">
          <w:rPr>
            <w:rStyle w:val="Hyperlink"/>
            <w:sz w:val="20"/>
          </w:rPr>
          <w:t>Acórdão n. 2.424/2015 – Tribunal Pleno.</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0472E" w14:textId="77777777" w:rsidR="00C91CA6" w:rsidRDefault="00000000" w:rsidP="00C91CA6">
    <w:pPr>
      <w:tabs>
        <w:tab w:val="center" w:pos="4252"/>
        <w:tab w:val="right" w:pos="8504"/>
      </w:tabs>
      <w:autoSpaceDE/>
      <w:autoSpaceDN/>
      <w:spacing w:before="480" w:after="240" w:line="240" w:lineRule="auto"/>
      <w:ind w:left="1134" w:firstLine="0"/>
      <w:jc w:val="center"/>
      <w:rPr>
        <w:rFonts w:ascii="Arial" w:hAnsi="Arial" w:cs="Arial"/>
        <w:b/>
        <w:sz w:val="30"/>
        <w:szCs w:val="30"/>
      </w:rPr>
    </w:pPr>
    <w:r>
      <w:rPr>
        <w:noProof/>
      </w:rPr>
      <w:pict w14:anchorId="76C09F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5" type="#_x0000_t75" alt="logo TC colorido - medio" style="position:absolute;left:0;text-align:left;margin-left:-.25pt;margin-top:4.55pt;width:47.7pt;height:56.1pt;z-index:1;visibility:visible">
          <v:imagedata r:id="rId1" o:title="logo TC colorido - medio"/>
          <w10:wrap type="square"/>
        </v:shape>
      </w:pict>
    </w:r>
    <w:r w:rsidR="00C91CA6" w:rsidRPr="0036255E">
      <w:rPr>
        <w:rFonts w:ascii="Arial" w:hAnsi="Arial" w:cs="Arial"/>
        <w:b/>
        <w:sz w:val="30"/>
        <w:szCs w:val="30"/>
      </w:rPr>
      <w:t>TRIBUNAL DE CONTAS DO ESTADO DO PARANÁ</w:t>
    </w:r>
  </w:p>
  <w:p w14:paraId="7EEFCFB5" w14:textId="77777777" w:rsidR="004E7338" w:rsidRDefault="004E7338" w:rsidP="00660026">
    <w:pPr>
      <w:tabs>
        <w:tab w:val="center" w:pos="4252"/>
        <w:tab w:val="right" w:pos="8504"/>
      </w:tabs>
      <w:autoSpaceDE/>
      <w:autoSpaceDN/>
      <w:spacing w:before="120" w:after="120" w:line="240" w:lineRule="auto"/>
      <w:ind w:left="1134" w:firstLine="0"/>
      <w:jc w:val="center"/>
      <w:rPr>
        <w:rFonts w:ascii="Arial" w:hAnsi="Arial" w:cs="Arial"/>
        <w:b/>
        <w:sz w:val="30"/>
        <w:szCs w:val="3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140497"/>
    <w:multiLevelType w:val="hybridMultilevel"/>
    <w:tmpl w:val="6AFCD586"/>
    <w:lvl w:ilvl="0" w:tplc="2F9AAD64">
      <w:start w:val="1"/>
      <w:numFmt w:val="lowerLetter"/>
      <w:lvlText w:val="%1)"/>
      <w:lvlJc w:val="left"/>
      <w:pPr>
        <w:ind w:left="720" w:hanging="360"/>
      </w:pPr>
      <w:rPr>
        <w:rFonts w:ascii="Arial" w:hAnsi="Arial" w:cs="Arial" w:hint="default"/>
        <w:b w:val="0"/>
        <w:bCs w:val="0"/>
        <w:color w:val="auto"/>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0975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NotTrackMoves/>
  <w:defaultTabStop w:val="708"/>
  <w:hyphenationZone w:val="425"/>
  <w:characterSpacingControl w:val="doNotCompress"/>
  <w:hdrShapeDefaults>
    <o:shapedefaults v:ext="edit" spidmax="2050"/>
    <o:shapelayout v:ext="edit">
      <o:idmap v:ext="edit" data="1"/>
    </o:shapelayout>
  </w:hdrShapeDefault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54821"/>
    <w:rsid w:val="00131CB5"/>
    <w:rsid w:val="00205F2C"/>
    <w:rsid w:val="002174F4"/>
    <w:rsid w:val="00274E12"/>
    <w:rsid w:val="00307946"/>
    <w:rsid w:val="00354821"/>
    <w:rsid w:val="004E7338"/>
    <w:rsid w:val="00506B62"/>
    <w:rsid w:val="00660026"/>
    <w:rsid w:val="006E7543"/>
    <w:rsid w:val="006E77ED"/>
    <w:rsid w:val="00756668"/>
    <w:rsid w:val="007D67D6"/>
    <w:rsid w:val="007D6951"/>
    <w:rsid w:val="008C5B4E"/>
    <w:rsid w:val="00975061"/>
    <w:rsid w:val="00A50625"/>
    <w:rsid w:val="00B15E25"/>
    <w:rsid w:val="00C32236"/>
    <w:rsid w:val="00C91CA6"/>
    <w:rsid w:val="00D11C0C"/>
    <w:rsid w:val="00D14088"/>
    <w:rsid w:val="00E16481"/>
    <w:rsid w:val="00E94343"/>
    <w:rsid w:val="00F742AE"/>
    <w:rsid w:val="00FE31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08B91"/>
  <w15:chartTrackingRefBased/>
  <w15:docId w15:val="{760B4F44-AA9C-485F-B97B-2C31ABB21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821"/>
    <w:pPr>
      <w:autoSpaceDE w:val="0"/>
      <w:autoSpaceDN w:val="0"/>
      <w:spacing w:before="60" w:after="60" w:line="360" w:lineRule="auto"/>
      <w:ind w:firstLine="1701"/>
      <w:jc w:val="both"/>
    </w:pPr>
    <w:rPr>
      <w:rFonts w:ascii="Times New Roman" w:eastAsia="Times New Roman" w:hAnsi="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91CA6"/>
    <w:pPr>
      <w:tabs>
        <w:tab w:val="center" w:pos="4252"/>
        <w:tab w:val="right" w:pos="8504"/>
      </w:tabs>
    </w:pPr>
  </w:style>
  <w:style w:type="character" w:customStyle="1" w:styleId="CabealhoChar">
    <w:name w:val="Cabeçalho Char"/>
    <w:link w:val="Cabealho"/>
    <w:uiPriority w:val="99"/>
    <w:rsid w:val="00C91CA6"/>
    <w:rPr>
      <w:rFonts w:ascii="Times New Roman" w:eastAsia="Times New Roman" w:hAnsi="Times New Roman"/>
      <w:sz w:val="24"/>
    </w:rPr>
  </w:style>
  <w:style w:type="paragraph" w:styleId="Rodap">
    <w:name w:val="footer"/>
    <w:basedOn w:val="Normal"/>
    <w:link w:val="RodapChar"/>
    <w:uiPriority w:val="99"/>
    <w:unhideWhenUsed/>
    <w:rsid w:val="00C91CA6"/>
    <w:pPr>
      <w:tabs>
        <w:tab w:val="center" w:pos="4252"/>
        <w:tab w:val="right" w:pos="8504"/>
      </w:tabs>
    </w:pPr>
  </w:style>
  <w:style w:type="character" w:customStyle="1" w:styleId="RodapChar">
    <w:name w:val="Rodapé Char"/>
    <w:link w:val="Rodap"/>
    <w:uiPriority w:val="99"/>
    <w:rsid w:val="00C91CA6"/>
    <w:rPr>
      <w:rFonts w:ascii="Times New Roman" w:eastAsia="Times New Roman" w:hAnsi="Times New Roman"/>
      <w:sz w:val="24"/>
    </w:rPr>
  </w:style>
  <w:style w:type="paragraph" w:styleId="Textodenotaderodap">
    <w:name w:val="footnote text"/>
    <w:basedOn w:val="Normal"/>
    <w:link w:val="TextodenotaderodapChar"/>
    <w:unhideWhenUsed/>
    <w:rsid w:val="007D6951"/>
    <w:rPr>
      <w:sz w:val="20"/>
    </w:rPr>
  </w:style>
  <w:style w:type="character" w:customStyle="1" w:styleId="TextodenotaderodapChar">
    <w:name w:val="Texto de nota de rodapé Char"/>
    <w:link w:val="Textodenotaderodap"/>
    <w:rsid w:val="007D6951"/>
    <w:rPr>
      <w:rFonts w:ascii="Times New Roman" w:eastAsia="Times New Roman" w:hAnsi="Times New Roman"/>
    </w:rPr>
  </w:style>
  <w:style w:type="character" w:styleId="Refdenotaderodap">
    <w:name w:val="footnote reference"/>
    <w:uiPriority w:val="99"/>
    <w:semiHidden/>
    <w:unhideWhenUsed/>
    <w:rsid w:val="007D6951"/>
    <w:rPr>
      <w:vertAlign w:val="superscript"/>
    </w:rPr>
  </w:style>
  <w:style w:type="paragraph" w:customStyle="1" w:styleId="EmentaAcordao">
    <w:name w:val="EmentaAcordao"/>
    <w:autoRedefine/>
    <w:rsid w:val="007D6951"/>
    <w:pPr>
      <w:autoSpaceDE w:val="0"/>
      <w:autoSpaceDN w:val="0"/>
      <w:spacing w:before="60" w:after="60"/>
      <w:ind w:left="3969"/>
      <w:jc w:val="both"/>
    </w:pPr>
    <w:rPr>
      <w:rFonts w:ascii="Times New Roman" w:eastAsia="Times New Roman" w:hAnsi="Times New Roman" w:cs="Arial"/>
      <w:bCs/>
    </w:rPr>
  </w:style>
  <w:style w:type="character" w:styleId="Hyperlink">
    <w:name w:val="Hyperlink"/>
    <w:unhideWhenUsed/>
    <w:rsid w:val="007D6951"/>
    <w:rPr>
      <w:rFonts w:ascii="Arial" w:hAnsi="Arial" w:cs="Arial" w:hint="default"/>
      <w:color w:val="0000FF"/>
      <w:sz w:val="16"/>
      <w:u w:val="single"/>
    </w:rPr>
  </w:style>
  <w:style w:type="paragraph" w:styleId="PargrafodaLista">
    <w:name w:val="List Paragraph"/>
    <w:basedOn w:val="Normal"/>
    <w:uiPriority w:val="34"/>
    <w:qFormat/>
    <w:rsid w:val="007D69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30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1.tce.pr.gov.br/multimidia/2015/6/pdf/00277879.pdf" TargetMode="External"/><Relationship Id="rId1" Type="http://schemas.openxmlformats.org/officeDocument/2006/relationships/hyperlink" Target="http://www1.tce.pr.gov.br/multimidia/2015/6/pdf/00277966.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1312</Words>
  <Characters>7089</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Paulo Bueno dos Santos</dc:creator>
  <cp:keywords/>
  <cp:lastModifiedBy>Yarusya Fonseca</cp:lastModifiedBy>
  <cp:revision>15</cp:revision>
  <dcterms:created xsi:type="dcterms:W3CDTF">2022-06-23T17:07:00Z</dcterms:created>
  <dcterms:modified xsi:type="dcterms:W3CDTF">2022-07-13T00:40:00Z</dcterms:modified>
</cp:coreProperties>
</file>