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6E6F" w14:textId="0F166D5D" w:rsidR="00875A8C" w:rsidRPr="00875A8C" w:rsidRDefault="00875A8C" w:rsidP="00875A8C">
      <w:pPr>
        <w:autoSpaceDE w:val="0"/>
        <w:autoSpaceDN w:val="0"/>
        <w:adjustRightInd w:val="0"/>
        <w:spacing w:before="120" w:after="120" w:line="240" w:lineRule="auto"/>
        <w:jc w:val="center"/>
        <w:rPr>
          <w:rFonts w:ascii="Arial" w:hAnsi="Arial" w:cs="Arial"/>
          <w:b/>
          <w:iCs/>
          <w:sz w:val="28"/>
          <w:szCs w:val="28"/>
        </w:rPr>
      </w:pPr>
      <w:r w:rsidRPr="00875A8C">
        <w:rPr>
          <w:rFonts w:ascii="Arial" w:hAnsi="Arial" w:cs="Arial"/>
          <w:b/>
          <w:iCs/>
          <w:sz w:val="28"/>
          <w:szCs w:val="28"/>
        </w:rPr>
        <w:t xml:space="preserve">INSTRUÇÃO NORMATIVA Nº </w:t>
      </w:r>
      <w:r w:rsidR="00CD033A">
        <w:rPr>
          <w:rFonts w:ascii="Arial" w:hAnsi="Arial" w:cs="Arial"/>
          <w:b/>
          <w:iCs/>
          <w:sz w:val="28"/>
          <w:szCs w:val="28"/>
        </w:rPr>
        <w:t>81</w:t>
      </w:r>
      <w:r w:rsidRPr="00875A8C">
        <w:rPr>
          <w:rFonts w:ascii="Arial" w:hAnsi="Arial" w:cs="Arial"/>
          <w:b/>
          <w:iCs/>
          <w:sz w:val="28"/>
          <w:szCs w:val="28"/>
        </w:rPr>
        <w:t>/</w:t>
      </w:r>
      <w:r w:rsidR="006F3EA4">
        <w:rPr>
          <w:rFonts w:ascii="Arial" w:hAnsi="Arial" w:cs="Arial"/>
          <w:b/>
          <w:iCs/>
          <w:sz w:val="28"/>
          <w:szCs w:val="28"/>
        </w:rPr>
        <w:t>20</w:t>
      </w:r>
      <w:r w:rsidRPr="00875A8C">
        <w:rPr>
          <w:rFonts w:ascii="Arial" w:hAnsi="Arial" w:cs="Arial"/>
          <w:b/>
          <w:iCs/>
          <w:sz w:val="28"/>
          <w:szCs w:val="28"/>
        </w:rPr>
        <w:t>12</w:t>
      </w:r>
      <w:r w:rsidR="005357C1">
        <w:rPr>
          <w:rStyle w:val="Refdenotaderodap"/>
          <w:rFonts w:ascii="Arial" w:hAnsi="Arial" w:cs="Arial"/>
          <w:b/>
          <w:iCs/>
          <w:sz w:val="28"/>
          <w:szCs w:val="28"/>
        </w:rPr>
        <w:footnoteReference w:id="1"/>
      </w:r>
    </w:p>
    <w:p w14:paraId="6A63758C" w14:textId="77777777" w:rsidR="00875A8C" w:rsidRPr="00E51D59" w:rsidRDefault="00875A8C" w:rsidP="00316658">
      <w:pPr>
        <w:autoSpaceDE w:val="0"/>
        <w:autoSpaceDN w:val="0"/>
        <w:adjustRightInd w:val="0"/>
        <w:spacing w:before="360" w:after="360" w:line="240" w:lineRule="auto"/>
        <w:ind w:left="4536"/>
        <w:jc w:val="both"/>
        <w:rPr>
          <w:rFonts w:ascii="Arial" w:hAnsi="Arial" w:cs="Arial"/>
          <w:i/>
          <w:iCs/>
        </w:rPr>
      </w:pPr>
      <w:r w:rsidRPr="00E51D59">
        <w:rPr>
          <w:rFonts w:ascii="Arial" w:hAnsi="Arial" w:cs="Arial"/>
          <w:i/>
          <w:iCs/>
        </w:rPr>
        <w:t>Dispõe sobre o acompanhamento da gestão fiscal no âmbito dos Poderes Executivo e Legislativo dos Municípios do Paraná, na forma de análises realizadas de acordo com os períodos estabelecidos na Lei Complementar nº 101/00.</w:t>
      </w:r>
    </w:p>
    <w:p w14:paraId="3D9517DD" w14:textId="77777777" w:rsidR="00875A8C" w:rsidRDefault="00875A8C" w:rsidP="00875A8C">
      <w:pPr>
        <w:autoSpaceDE w:val="0"/>
        <w:autoSpaceDN w:val="0"/>
        <w:adjustRightInd w:val="0"/>
        <w:spacing w:before="120" w:after="0" w:line="240" w:lineRule="auto"/>
        <w:ind w:firstLine="1134"/>
        <w:jc w:val="both"/>
        <w:rPr>
          <w:rFonts w:ascii="Arial" w:hAnsi="Arial" w:cs="Arial"/>
          <w:sz w:val="24"/>
          <w:szCs w:val="24"/>
        </w:rPr>
      </w:pPr>
      <w:r>
        <w:rPr>
          <w:rFonts w:ascii="Arial" w:hAnsi="Arial" w:cs="Arial"/>
          <w:sz w:val="24"/>
          <w:szCs w:val="24"/>
        </w:rPr>
        <w:t xml:space="preserve">O </w:t>
      </w:r>
      <w:r>
        <w:rPr>
          <w:rFonts w:ascii="Arial,Bold" w:hAnsi="Arial,Bold" w:cs="Arial,Bold"/>
          <w:b/>
          <w:bCs/>
          <w:sz w:val="24"/>
          <w:szCs w:val="24"/>
        </w:rPr>
        <w:t>PRESIDENTE DO TRIBUNAL DE CONTAS DO ESTADO DO PARANÁ</w:t>
      </w:r>
      <w:r>
        <w:rPr>
          <w:rFonts w:ascii="Arial" w:hAnsi="Arial" w:cs="Arial"/>
          <w:sz w:val="24"/>
          <w:szCs w:val="24"/>
        </w:rPr>
        <w:t xml:space="preserve">, no uso das atribuições contidas no art. 2º, I, da Lei Complementar nº 113, de 15 de dezembro de 2005 e nos termos dos </w:t>
      </w:r>
      <w:proofErr w:type="spellStart"/>
      <w:r>
        <w:rPr>
          <w:rFonts w:ascii="Arial" w:hAnsi="Arial" w:cs="Arial"/>
          <w:sz w:val="24"/>
          <w:szCs w:val="24"/>
        </w:rPr>
        <w:t>arts</w:t>
      </w:r>
      <w:proofErr w:type="spellEnd"/>
      <w:r>
        <w:rPr>
          <w:rFonts w:ascii="Arial" w:hAnsi="Arial" w:cs="Arial"/>
          <w:sz w:val="24"/>
          <w:szCs w:val="24"/>
        </w:rPr>
        <w:t>. 158, IX, 242, 243 e 291, do Regimento Interno e do art. 59, da Lei Complementar nº 101/00,</w:t>
      </w:r>
    </w:p>
    <w:p w14:paraId="1BC13FB8" w14:textId="77777777" w:rsidR="00875A8C" w:rsidRDefault="00875A8C" w:rsidP="00875A8C">
      <w:pPr>
        <w:autoSpaceDE w:val="0"/>
        <w:autoSpaceDN w:val="0"/>
        <w:adjustRightInd w:val="0"/>
        <w:spacing w:before="120" w:after="0" w:line="240" w:lineRule="auto"/>
        <w:ind w:firstLine="1134"/>
        <w:jc w:val="both"/>
        <w:rPr>
          <w:rFonts w:ascii="Arial,Bold" w:hAnsi="Arial,Bold" w:cs="Arial,Bold"/>
          <w:b/>
          <w:bCs/>
          <w:sz w:val="24"/>
          <w:szCs w:val="24"/>
        </w:rPr>
      </w:pPr>
    </w:p>
    <w:p w14:paraId="5FB645CA" w14:textId="77777777" w:rsidR="00875A8C" w:rsidRDefault="00875A8C" w:rsidP="00875A8C">
      <w:pPr>
        <w:autoSpaceDE w:val="0"/>
        <w:autoSpaceDN w:val="0"/>
        <w:adjustRightInd w:val="0"/>
        <w:spacing w:before="120" w:after="0" w:line="240" w:lineRule="auto"/>
        <w:ind w:firstLine="1134"/>
        <w:jc w:val="both"/>
        <w:rPr>
          <w:rFonts w:ascii="Arial,Bold" w:hAnsi="Arial,Bold" w:cs="Arial,Bold"/>
          <w:b/>
          <w:bCs/>
          <w:sz w:val="24"/>
          <w:szCs w:val="24"/>
        </w:rPr>
      </w:pPr>
      <w:r>
        <w:rPr>
          <w:rFonts w:ascii="Arial,Bold" w:hAnsi="Arial,Bold" w:cs="Arial,Bold"/>
          <w:b/>
          <w:bCs/>
          <w:sz w:val="24"/>
          <w:szCs w:val="24"/>
        </w:rPr>
        <w:t>RESOLVE</w:t>
      </w:r>
    </w:p>
    <w:p w14:paraId="6EA04F51" w14:textId="77777777" w:rsidR="00875A8C" w:rsidRDefault="00875A8C" w:rsidP="00875A8C">
      <w:pPr>
        <w:autoSpaceDE w:val="0"/>
        <w:autoSpaceDN w:val="0"/>
        <w:adjustRightInd w:val="0"/>
        <w:spacing w:before="120" w:after="0" w:line="240" w:lineRule="auto"/>
        <w:ind w:firstLine="1134"/>
        <w:jc w:val="both"/>
        <w:rPr>
          <w:rFonts w:ascii="Arial,Bold" w:hAnsi="Arial,Bold" w:cs="Arial,Bold"/>
          <w:b/>
          <w:bCs/>
          <w:sz w:val="24"/>
          <w:szCs w:val="24"/>
        </w:rPr>
      </w:pPr>
    </w:p>
    <w:p w14:paraId="170FB6B6" w14:textId="77777777" w:rsidR="00875A8C" w:rsidRDefault="00875A8C" w:rsidP="00875A8C">
      <w:pPr>
        <w:autoSpaceDE w:val="0"/>
        <w:autoSpaceDN w:val="0"/>
        <w:adjustRightInd w:val="0"/>
        <w:spacing w:before="120" w:after="0" w:line="240" w:lineRule="auto"/>
        <w:ind w:firstLine="1134"/>
        <w:jc w:val="both"/>
        <w:rPr>
          <w:rFonts w:ascii="Arial" w:hAnsi="Arial" w:cs="Arial"/>
          <w:sz w:val="24"/>
          <w:szCs w:val="24"/>
        </w:rPr>
      </w:pPr>
      <w:r>
        <w:rPr>
          <w:rFonts w:ascii="Arial,Bold" w:hAnsi="Arial,Bold" w:cs="Arial,Bold"/>
          <w:b/>
          <w:bCs/>
          <w:sz w:val="24"/>
          <w:szCs w:val="24"/>
        </w:rPr>
        <w:t xml:space="preserve">Art. 1º </w:t>
      </w:r>
      <w:r>
        <w:rPr>
          <w:rFonts w:ascii="Arial" w:hAnsi="Arial" w:cs="Arial"/>
          <w:sz w:val="24"/>
          <w:szCs w:val="24"/>
        </w:rPr>
        <w:t>A Diretoria de Contas Municipais realizará análises de gestão fiscal para acompanhar o atendimento às normas da Lei de Responsabilidade Fiscal, no âmbito dos Municípios do Estado do Paraná, de modo a desempenhar o exercício da competência de controle atribuída pelo art. 59, da Lei Complementar nº 101/00.</w:t>
      </w:r>
    </w:p>
    <w:p w14:paraId="50E12754" w14:textId="77777777" w:rsidR="00875A8C" w:rsidRDefault="00875A8C" w:rsidP="00875A8C">
      <w:pPr>
        <w:autoSpaceDE w:val="0"/>
        <w:autoSpaceDN w:val="0"/>
        <w:adjustRightInd w:val="0"/>
        <w:spacing w:before="120" w:after="0" w:line="240" w:lineRule="auto"/>
        <w:ind w:firstLine="1134"/>
        <w:jc w:val="both"/>
        <w:rPr>
          <w:rFonts w:ascii="Arial" w:hAnsi="Arial" w:cs="Arial"/>
          <w:sz w:val="24"/>
          <w:szCs w:val="24"/>
        </w:rPr>
      </w:pPr>
      <w:r>
        <w:rPr>
          <w:rFonts w:ascii="Arial" w:hAnsi="Arial" w:cs="Arial"/>
          <w:sz w:val="24"/>
          <w:szCs w:val="24"/>
        </w:rPr>
        <w:t>Parágrafo único. As análises de gestão fiscal terão por referência as periodicidades definidas na Lei Complementar referida no caput para a publicação do Relatório de Gestão Fiscal e suas datas correspondentes na agenda de obrigações instituída anualmente pelo Tribunal.</w:t>
      </w:r>
    </w:p>
    <w:p w14:paraId="68AE98BB" w14:textId="77777777" w:rsidR="00875A8C" w:rsidRDefault="00875A8C" w:rsidP="00875A8C">
      <w:pPr>
        <w:autoSpaceDE w:val="0"/>
        <w:autoSpaceDN w:val="0"/>
        <w:adjustRightInd w:val="0"/>
        <w:spacing w:before="120" w:after="0" w:line="240" w:lineRule="auto"/>
        <w:ind w:firstLine="1134"/>
        <w:jc w:val="both"/>
        <w:rPr>
          <w:rFonts w:ascii="Arial" w:hAnsi="Arial" w:cs="Arial"/>
          <w:sz w:val="24"/>
          <w:szCs w:val="24"/>
        </w:rPr>
      </w:pPr>
      <w:r>
        <w:rPr>
          <w:rFonts w:ascii="Arial,Bold" w:hAnsi="Arial,Bold" w:cs="Arial,Bold"/>
          <w:b/>
          <w:bCs/>
          <w:sz w:val="24"/>
          <w:szCs w:val="24"/>
        </w:rPr>
        <w:t xml:space="preserve">Art. 2º </w:t>
      </w:r>
      <w:r>
        <w:rPr>
          <w:rFonts w:ascii="Arial" w:hAnsi="Arial" w:cs="Arial"/>
          <w:sz w:val="24"/>
          <w:szCs w:val="24"/>
        </w:rPr>
        <w:t>As conclusões da análise de gestão fiscal geradas nos termos desta norma fornecerão os elementos necessários à viabilização da emissão automática da Certidão Liberatória, naquilo que representar condição para a referida certificação.</w:t>
      </w:r>
    </w:p>
    <w:p w14:paraId="0D262843" w14:textId="77777777" w:rsidR="00875A8C" w:rsidRDefault="00875A8C" w:rsidP="00875A8C">
      <w:pPr>
        <w:autoSpaceDE w:val="0"/>
        <w:autoSpaceDN w:val="0"/>
        <w:adjustRightInd w:val="0"/>
        <w:spacing w:before="120" w:after="0" w:line="240" w:lineRule="auto"/>
        <w:ind w:firstLine="1134"/>
        <w:jc w:val="both"/>
        <w:rPr>
          <w:rFonts w:ascii="Arial" w:hAnsi="Arial" w:cs="Arial"/>
          <w:sz w:val="24"/>
          <w:szCs w:val="24"/>
        </w:rPr>
      </w:pPr>
      <w:r>
        <w:rPr>
          <w:rFonts w:ascii="Arial,Bold" w:hAnsi="Arial,Bold" w:cs="Arial,Bold"/>
          <w:b/>
          <w:bCs/>
          <w:sz w:val="24"/>
          <w:szCs w:val="24"/>
        </w:rPr>
        <w:t xml:space="preserve">Art. 3º </w:t>
      </w:r>
      <w:r>
        <w:rPr>
          <w:rFonts w:ascii="Arial" w:hAnsi="Arial" w:cs="Arial"/>
          <w:sz w:val="24"/>
          <w:szCs w:val="24"/>
        </w:rPr>
        <w:t xml:space="preserve">As informações constantes das análises de gestão fiscal serão utilizadas pelo sistema para a composição das certidões para instrução de pleitos de contratação de operações de crédito, em conformidade com os requisitos estabelecidos pelo Senado Federal na referida certificação pelo Tribunal. </w:t>
      </w:r>
    </w:p>
    <w:p w14:paraId="0BE33C27" w14:textId="77777777" w:rsidR="00875A8C" w:rsidRDefault="00875A8C" w:rsidP="00875A8C">
      <w:pPr>
        <w:autoSpaceDE w:val="0"/>
        <w:autoSpaceDN w:val="0"/>
        <w:adjustRightInd w:val="0"/>
        <w:spacing w:before="120" w:after="0" w:line="240" w:lineRule="auto"/>
        <w:ind w:firstLine="1134"/>
        <w:jc w:val="both"/>
        <w:rPr>
          <w:rFonts w:ascii="Arial" w:hAnsi="Arial" w:cs="Arial"/>
          <w:sz w:val="24"/>
          <w:szCs w:val="24"/>
        </w:rPr>
      </w:pPr>
      <w:r>
        <w:rPr>
          <w:rFonts w:ascii="Arial,Bold" w:hAnsi="Arial,Bold" w:cs="Arial,Bold"/>
          <w:b/>
          <w:bCs/>
          <w:sz w:val="24"/>
          <w:szCs w:val="24"/>
        </w:rPr>
        <w:t xml:space="preserve">Art. 4º </w:t>
      </w:r>
      <w:r>
        <w:rPr>
          <w:rFonts w:ascii="Arial" w:hAnsi="Arial" w:cs="Arial"/>
          <w:sz w:val="24"/>
          <w:szCs w:val="24"/>
        </w:rPr>
        <w:t xml:space="preserve">A expedição de atos de alerta previstos no art. 283, do Regimento Interno, tomarão por base as conclusões apontadas nas análises da </w:t>
      </w:r>
      <w:r>
        <w:rPr>
          <w:rFonts w:ascii="Arial" w:hAnsi="Arial" w:cs="Arial"/>
          <w:sz w:val="24"/>
          <w:szCs w:val="24"/>
        </w:rPr>
        <w:lastRenderedPageBreak/>
        <w:t>gestão fiscal, cujas peças instrutivas serão referenciadas nos procedimentos específicos àqueles atos, quando for o caso.</w:t>
      </w:r>
    </w:p>
    <w:p w14:paraId="27876548" w14:textId="77777777" w:rsidR="00875A8C" w:rsidRDefault="00875A8C" w:rsidP="00875A8C">
      <w:pPr>
        <w:autoSpaceDE w:val="0"/>
        <w:autoSpaceDN w:val="0"/>
        <w:adjustRightInd w:val="0"/>
        <w:spacing w:before="120" w:after="0" w:line="240" w:lineRule="auto"/>
        <w:ind w:firstLine="1134"/>
        <w:jc w:val="both"/>
        <w:rPr>
          <w:rFonts w:ascii="Arial" w:hAnsi="Arial" w:cs="Arial"/>
          <w:sz w:val="24"/>
          <w:szCs w:val="24"/>
        </w:rPr>
      </w:pPr>
      <w:r>
        <w:rPr>
          <w:rFonts w:ascii="Arial,Bold" w:hAnsi="Arial,Bold" w:cs="Arial,Bold"/>
          <w:b/>
          <w:bCs/>
          <w:sz w:val="24"/>
          <w:szCs w:val="24"/>
        </w:rPr>
        <w:t xml:space="preserve">Art. 5º </w:t>
      </w:r>
      <w:r>
        <w:rPr>
          <w:rFonts w:ascii="Arial" w:hAnsi="Arial" w:cs="Arial"/>
          <w:sz w:val="24"/>
          <w:szCs w:val="24"/>
        </w:rPr>
        <w:t>Os autos necessários à análise da gestão fiscal serão gerados em ambiente digital com o assunto “Análise de Gestão Fiscal”, autuados por exercício financeiro para cada ente municipal do Estado do Paraná, em que deverão figurar como interessados ambos os Poderes, na figura jurídica do Município e da Câmara Municipal.</w:t>
      </w:r>
    </w:p>
    <w:p w14:paraId="10454F14" w14:textId="77777777" w:rsidR="00875A8C" w:rsidRDefault="00875A8C" w:rsidP="00875A8C">
      <w:pPr>
        <w:autoSpaceDE w:val="0"/>
        <w:autoSpaceDN w:val="0"/>
        <w:adjustRightInd w:val="0"/>
        <w:spacing w:before="120" w:after="0" w:line="240" w:lineRule="auto"/>
        <w:ind w:firstLine="1134"/>
        <w:jc w:val="both"/>
        <w:rPr>
          <w:rFonts w:ascii="Arial,Italic" w:hAnsi="Arial,Italic" w:cs="Arial,Italic"/>
          <w:i/>
          <w:iCs/>
          <w:sz w:val="24"/>
          <w:szCs w:val="24"/>
        </w:rPr>
      </w:pPr>
      <w:r>
        <w:rPr>
          <w:rFonts w:ascii="Arial" w:hAnsi="Arial" w:cs="Arial"/>
          <w:sz w:val="24"/>
          <w:szCs w:val="24"/>
        </w:rPr>
        <w:t xml:space="preserve">Parágrafo único. Até o final do mês de janeiro de cada exercício financeiro, o sistema eletrônico do Tribunal de Contas efetuará, de forma autônoma, a criação dos processos previstos no </w:t>
      </w:r>
      <w:r>
        <w:rPr>
          <w:rFonts w:ascii="Arial,Italic" w:hAnsi="Arial,Italic" w:cs="Arial,Italic"/>
          <w:i/>
          <w:iCs/>
          <w:sz w:val="24"/>
          <w:szCs w:val="24"/>
        </w:rPr>
        <w:t>caput.</w:t>
      </w:r>
    </w:p>
    <w:p w14:paraId="4DF77686" w14:textId="77777777" w:rsidR="00875A8C" w:rsidRDefault="00875A8C" w:rsidP="00875A8C">
      <w:pPr>
        <w:autoSpaceDE w:val="0"/>
        <w:autoSpaceDN w:val="0"/>
        <w:adjustRightInd w:val="0"/>
        <w:spacing w:before="120" w:after="0" w:line="240" w:lineRule="auto"/>
        <w:ind w:firstLine="1134"/>
        <w:jc w:val="both"/>
        <w:rPr>
          <w:rFonts w:ascii="Arial" w:hAnsi="Arial" w:cs="Arial"/>
          <w:sz w:val="24"/>
          <w:szCs w:val="24"/>
        </w:rPr>
      </w:pPr>
      <w:r>
        <w:rPr>
          <w:rFonts w:ascii="Arial,Bold" w:hAnsi="Arial,Bold" w:cs="Arial,Bold"/>
          <w:b/>
          <w:bCs/>
          <w:sz w:val="24"/>
          <w:szCs w:val="24"/>
        </w:rPr>
        <w:t xml:space="preserve">Art. 6º </w:t>
      </w:r>
      <w:r>
        <w:rPr>
          <w:rFonts w:ascii="Arial" w:hAnsi="Arial" w:cs="Arial"/>
          <w:sz w:val="24"/>
          <w:szCs w:val="24"/>
        </w:rPr>
        <w:t>Os autos disciplinados neste normativo terão como destino inicial a Diretoria de Contas Municipais, onde permanecerão até que se esgotem as análises exigidas para o exercício, caso em que serão anexados ao processo de prestação de contas do Município, relativo ao mesmo exercício financeiro.</w:t>
      </w:r>
    </w:p>
    <w:p w14:paraId="298ADEBA" w14:textId="77777777" w:rsidR="00875A8C" w:rsidRDefault="00875A8C" w:rsidP="00875A8C">
      <w:pPr>
        <w:autoSpaceDE w:val="0"/>
        <w:autoSpaceDN w:val="0"/>
        <w:adjustRightInd w:val="0"/>
        <w:spacing w:before="120" w:after="0" w:line="240" w:lineRule="auto"/>
        <w:ind w:firstLine="1134"/>
        <w:jc w:val="both"/>
        <w:rPr>
          <w:rFonts w:ascii="Arial" w:hAnsi="Arial" w:cs="Arial"/>
          <w:sz w:val="24"/>
          <w:szCs w:val="24"/>
        </w:rPr>
      </w:pPr>
      <w:r>
        <w:rPr>
          <w:rFonts w:ascii="Arial,Bold" w:hAnsi="Arial,Bold" w:cs="Arial,Bold"/>
          <w:b/>
          <w:bCs/>
          <w:sz w:val="24"/>
          <w:szCs w:val="24"/>
        </w:rPr>
        <w:t xml:space="preserve">Art. 7º </w:t>
      </w:r>
      <w:r>
        <w:rPr>
          <w:rFonts w:ascii="Arial" w:hAnsi="Arial" w:cs="Arial"/>
          <w:sz w:val="24"/>
          <w:szCs w:val="24"/>
        </w:rPr>
        <w:t>Os autos de Análise de Gestão Fiscal terão por objetivos exclusivos abrigar os atos de análise realizados pela Diretoria de Contas Municipais e divulgar suas conclusões aos interessados assim qualificados, ficando disponíveis para consulta às demais unidades do Tribunal.</w:t>
      </w:r>
    </w:p>
    <w:p w14:paraId="4F8F5C90" w14:textId="77777777" w:rsidR="00875A8C" w:rsidRDefault="00875A8C" w:rsidP="00875A8C">
      <w:pPr>
        <w:autoSpaceDE w:val="0"/>
        <w:autoSpaceDN w:val="0"/>
        <w:adjustRightInd w:val="0"/>
        <w:spacing w:before="120" w:after="0" w:line="240" w:lineRule="auto"/>
        <w:ind w:firstLine="1134"/>
        <w:jc w:val="both"/>
        <w:rPr>
          <w:rFonts w:ascii="Arial" w:hAnsi="Arial" w:cs="Arial"/>
          <w:sz w:val="24"/>
          <w:szCs w:val="24"/>
        </w:rPr>
      </w:pPr>
      <w:r>
        <w:rPr>
          <w:rFonts w:ascii="Arial" w:hAnsi="Arial" w:cs="Arial"/>
          <w:sz w:val="24"/>
          <w:szCs w:val="24"/>
        </w:rPr>
        <w:t>Parágrafo único. Quaisquer contestações às conclusões contidas nos atos de análise integrantes dos autos referidos no caput, deverão ser dirigidas ao Tribunal de Contas apartadamente na forma de Requerimento, quando cabível, ou no âmbito da Prestação de Contas Anual do exercício respectivo, em havendo nesta apontamento de irregularidade ou ressalva originada da análise de gestão fiscal.</w:t>
      </w:r>
    </w:p>
    <w:p w14:paraId="49DED5BB" w14:textId="77777777" w:rsidR="00875A8C" w:rsidRDefault="00875A8C" w:rsidP="00875A8C">
      <w:pPr>
        <w:autoSpaceDE w:val="0"/>
        <w:autoSpaceDN w:val="0"/>
        <w:adjustRightInd w:val="0"/>
        <w:spacing w:before="120" w:after="0" w:line="240" w:lineRule="auto"/>
        <w:ind w:firstLine="1134"/>
        <w:jc w:val="both"/>
        <w:rPr>
          <w:rFonts w:ascii="Arial" w:hAnsi="Arial" w:cs="Arial"/>
          <w:sz w:val="24"/>
          <w:szCs w:val="24"/>
        </w:rPr>
      </w:pPr>
      <w:r>
        <w:rPr>
          <w:rFonts w:ascii="Arial,Bold" w:hAnsi="Arial,Bold" w:cs="Arial,Bold"/>
          <w:b/>
          <w:bCs/>
          <w:sz w:val="24"/>
          <w:szCs w:val="24"/>
        </w:rPr>
        <w:t xml:space="preserve">Art. 8º </w:t>
      </w:r>
      <w:r>
        <w:rPr>
          <w:rFonts w:ascii="Arial" w:hAnsi="Arial" w:cs="Arial"/>
          <w:sz w:val="24"/>
          <w:szCs w:val="24"/>
        </w:rPr>
        <w:t>Caberá à Diretoria de Tecnologia de Informação – DTI proceder aos ajustes necessários nos sistemas eletrônicos visando o fiel cumprimento desta Instrução.</w:t>
      </w:r>
    </w:p>
    <w:p w14:paraId="04BA4379" w14:textId="77777777" w:rsidR="00237289" w:rsidRDefault="00875A8C" w:rsidP="00875A8C">
      <w:pPr>
        <w:autoSpaceDE w:val="0"/>
        <w:autoSpaceDN w:val="0"/>
        <w:adjustRightInd w:val="0"/>
        <w:spacing w:before="120" w:after="0" w:line="240" w:lineRule="auto"/>
        <w:ind w:firstLine="1134"/>
        <w:jc w:val="both"/>
        <w:rPr>
          <w:rFonts w:ascii="Arial" w:hAnsi="Arial" w:cs="Arial"/>
          <w:sz w:val="24"/>
          <w:szCs w:val="24"/>
        </w:rPr>
      </w:pPr>
      <w:r>
        <w:rPr>
          <w:rFonts w:ascii="Arial,Bold" w:hAnsi="Arial,Bold" w:cs="Arial,Bold"/>
          <w:b/>
          <w:bCs/>
          <w:sz w:val="24"/>
          <w:szCs w:val="24"/>
        </w:rPr>
        <w:t xml:space="preserve">Art. 9º </w:t>
      </w:r>
      <w:r>
        <w:rPr>
          <w:rFonts w:ascii="Arial" w:hAnsi="Arial" w:cs="Arial"/>
          <w:sz w:val="24"/>
          <w:szCs w:val="24"/>
        </w:rPr>
        <w:t>Esta Instrução Normativa entra em vigor na data de sua publicação.</w:t>
      </w:r>
    </w:p>
    <w:p w14:paraId="2450382F" w14:textId="77777777" w:rsidR="00C91206" w:rsidRDefault="00C91206" w:rsidP="00875A8C">
      <w:pPr>
        <w:autoSpaceDE w:val="0"/>
        <w:autoSpaceDN w:val="0"/>
        <w:adjustRightInd w:val="0"/>
        <w:spacing w:before="120" w:after="0" w:line="240" w:lineRule="auto"/>
        <w:ind w:firstLine="1134"/>
        <w:jc w:val="both"/>
        <w:rPr>
          <w:rFonts w:ascii="Arial" w:hAnsi="Arial" w:cs="Arial"/>
          <w:sz w:val="24"/>
          <w:szCs w:val="24"/>
        </w:rPr>
      </w:pPr>
    </w:p>
    <w:p w14:paraId="66D40380" w14:textId="77777777" w:rsidR="00CD033A" w:rsidRDefault="00CD033A" w:rsidP="00CD033A">
      <w:pPr>
        <w:autoSpaceDE w:val="0"/>
        <w:autoSpaceDN w:val="0"/>
        <w:adjustRightInd w:val="0"/>
        <w:spacing w:before="120" w:after="0" w:line="240" w:lineRule="auto"/>
        <w:jc w:val="center"/>
        <w:rPr>
          <w:rFonts w:ascii="Arial" w:hAnsi="Arial" w:cs="Arial"/>
          <w:sz w:val="24"/>
          <w:szCs w:val="24"/>
        </w:rPr>
      </w:pPr>
      <w:r>
        <w:rPr>
          <w:rFonts w:ascii="Arial" w:hAnsi="Arial" w:cs="Arial"/>
          <w:sz w:val="24"/>
          <w:szCs w:val="24"/>
        </w:rPr>
        <w:t>Sala das Sessões, 13 de dezembro de 2012.</w:t>
      </w:r>
    </w:p>
    <w:p w14:paraId="6E9726D4" w14:textId="77777777" w:rsidR="00CD033A" w:rsidRDefault="00CD033A" w:rsidP="00CD033A">
      <w:pPr>
        <w:autoSpaceDE w:val="0"/>
        <w:autoSpaceDN w:val="0"/>
        <w:adjustRightInd w:val="0"/>
        <w:spacing w:before="120" w:after="0" w:line="240" w:lineRule="auto"/>
        <w:jc w:val="center"/>
        <w:rPr>
          <w:rFonts w:ascii="Arial" w:hAnsi="Arial" w:cs="Arial"/>
          <w:sz w:val="24"/>
          <w:szCs w:val="24"/>
        </w:rPr>
      </w:pPr>
    </w:p>
    <w:p w14:paraId="691196F0" w14:textId="77777777" w:rsidR="00C91206" w:rsidRDefault="00C91206" w:rsidP="00CD033A">
      <w:pPr>
        <w:autoSpaceDE w:val="0"/>
        <w:autoSpaceDN w:val="0"/>
        <w:adjustRightInd w:val="0"/>
        <w:spacing w:before="120" w:after="0" w:line="240" w:lineRule="auto"/>
        <w:jc w:val="center"/>
        <w:rPr>
          <w:rFonts w:ascii="Arial" w:hAnsi="Arial" w:cs="Arial"/>
          <w:sz w:val="24"/>
          <w:szCs w:val="24"/>
        </w:rPr>
      </w:pPr>
    </w:p>
    <w:p w14:paraId="6509C066" w14:textId="77777777" w:rsidR="00CD033A" w:rsidRPr="00CD033A" w:rsidRDefault="00CD033A" w:rsidP="00CD033A">
      <w:pPr>
        <w:autoSpaceDE w:val="0"/>
        <w:autoSpaceDN w:val="0"/>
        <w:adjustRightInd w:val="0"/>
        <w:spacing w:before="120" w:after="0" w:line="240" w:lineRule="auto"/>
        <w:jc w:val="center"/>
        <w:rPr>
          <w:rFonts w:ascii="Arial" w:hAnsi="Arial" w:cs="Arial"/>
          <w:b/>
          <w:sz w:val="24"/>
          <w:szCs w:val="24"/>
        </w:rPr>
      </w:pPr>
      <w:r w:rsidRPr="00CD033A">
        <w:rPr>
          <w:rFonts w:ascii="Arial" w:hAnsi="Arial" w:cs="Arial"/>
          <w:b/>
          <w:sz w:val="24"/>
          <w:szCs w:val="24"/>
        </w:rPr>
        <w:t>FERNANDO AUGUSTO MELLO GUIMARÃES</w:t>
      </w:r>
    </w:p>
    <w:p w14:paraId="4226E451" w14:textId="77777777" w:rsidR="00CD033A" w:rsidRPr="00C91206" w:rsidRDefault="00CD033A" w:rsidP="00CD033A">
      <w:pPr>
        <w:autoSpaceDE w:val="0"/>
        <w:autoSpaceDN w:val="0"/>
        <w:adjustRightInd w:val="0"/>
        <w:spacing w:before="120" w:after="0" w:line="240" w:lineRule="auto"/>
        <w:jc w:val="center"/>
        <w:rPr>
          <w:bCs/>
        </w:rPr>
      </w:pPr>
      <w:r w:rsidRPr="00C91206">
        <w:rPr>
          <w:rFonts w:ascii="Arial" w:hAnsi="Arial" w:cs="Arial"/>
          <w:bCs/>
          <w:sz w:val="24"/>
          <w:szCs w:val="24"/>
        </w:rPr>
        <w:t>Presidente</w:t>
      </w:r>
    </w:p>
    <w:sectPr w:rsidR="00CD033A" w:rsidRPr="00C91206" w:rsidSect="00E51D59">
      <w:headerReference w:type="default" r:id="rId7"/>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78C0F" w14:textId="77777777" w:rsidR="00843F98" w:rsidRDefault="00843F98" w:rsidP="00875A8C">
      <w:pPr>
        <w:spacing w:after="0" w:line="240" w:lineRule="auto"/>
      </w:pPr>
      <w:r>
        <w:separator/>
      </w:r>
    </w:p>
  </w:endnote>
  <w:endnote w:type="continuationSeparator" w:id="0">
    <w:p w14:paraId="3EE5A411" w14:textId="77777777" w:rsidR="00843F98" w:rsidRDefault="00843F98" w:rsidP="0087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B970" w14:textId="77777777" w:rsidR="00843F98" w:rsidRDefault="00843F98" w:rsidP="00875A8C">
      <w:pPr>
        <w:spacing w:after="0" w:line="240" w:lineRule="auto"/>
      </w:pPr>
      <w:r>
        <w:separator/>
      </w:r>
    </w:p>
  </w:footnote>
  <w:footnote w:type="continuationSeparator" w:id="0">
    <w:p w14:paraId="3B4E501F" w14:textId="77777777" w:rsidR="00843F98" w:rsidRDefault="00843F98" w:rsidP="00875A8C">
      <w:pPr>
        <w:spacing w:after="0" w:line="240" w:lineRule="auto"/>
      </w:pPr>
      <w:r>
        <w:continuationSeparator/>
      </w:r>
    </w:p>
  </w:footnote>
  <w:footnote w:id="1">
    <w:p w14:paraId="2597112D" w14:textId="77777777" w:rsidR="005357C1" w:rsidRPr="002618B3" w:rsidRDefault="005357C1" w:rsidP="005357C1">
      <w:pPr>
        <w:pStyle w:val="Textodenotaderodap"/>
        <w:spacing w:after="0" w:line="240" w:lineRule="auto"/>
        <w:rPr>
          <w:rFonts w:ascii="Arial" w:hAnsi="Arial" w:cs="Arial"/>
        </w:rPr>
      </w:pPr>
      <w:r>
        <w:rPr>
          <w:rStyle w:val="Refdenotaderodap"/>
        </w:rPr>
        <w:footnoteRef/>
      </w:r>
      <w:r>
        <w:t xml:space="preserve"> </w:t>
      </w:r>
      <w:r w:rsidRPr="002618B3">
        <w:rPr>
          <w:rFonts w:ascii="Arial" w:hAnsi="Arial" w:cs="Arial"/>
          <w:b/>
        </w:rPr>
        <w:t>Notas da Biblioteca:</w:t>
      </w:r>
    </w:p>
    <w:p w14:paraId="2F7ABE85" w14:textId="2B166641" w:rsidR="005357C1" w:rsidRPr="00D7426C" w:rsidRDefault="005357C1" w:rsidP="00D7426C">
      <w:pPr>
        <w:pStyle w:val="PargrafodaLista"/>
        <w:numPr>
          <w:ilvl w:val="0"/>
          <w:numId w:val="2"/>
        </w:numPr>
        <w:spacing w:after="0" w:line="240" w:lineRule="auto"/>
        <w:ind w:left="426" w:hanging="284"/>
        <w:jc w:val="both"/>
        <w:rPr>
          <w:rFonts w:ascii="Arial" w:hAnsi="Arial" w:cs="Arial"/>
          <w:sz w:val="20"/>
          <w:szCs w:val="20"/>
        </w:rPr>
      </w:pPr>
      <w:r w:rsidRPr="00D7426C">
        <w:rPr>
          <w:rFonts w:ascii="Arial" w:hAnsi="Arial" w:cs="Arial"/>
          <w:sz w:val="20"/>
          <w:szCs w:val="20"/>
        </w:rPr>
        <w:t xml:space="preserve">Este texto não substitui o publicado no periódico </w:t>
      </w:r>
      <w:hyperlink r:id="rId1" w:history="1">
        <w:r w:rsidR="002C44E9" w:rsidRPr="00D7426C">
          <w:rPr>
            <w:rStyle w:val="Hyperlink"/>
            <w:rFonts w:cs="Arial"/>
            <w:b/>
            <w:bCs/>
            <w:sz w:val="20"/>
            <w:szCs w:val="20"/>
          </w:rPr>
          <w:t>Diário Eletrônico do Tribunal de Contas do Estado do Paraná</w:t>
        </w:r>
        <w:r w:rsidR="002C44E9" w:rsidRPr="00D7426C">
          <w:rPr>
            <w:rStyle w:val="Hyperlink"/>
            <w:rFonts w:cs="Arial"/>
            <w:bCs/>
            <w:sz w:val="20"/>
            <w:szCs w:val="20"/>
          </w:rPr>
          <w:t>,</w:t>
        </w:r>
        <w:r w:rsidR="002C44E9" w:rsidRPr="00D7426C">
          <w:rPr>
            <w:rStyle w:val="Hyperlink"/>
            <w:rFonts w:cs="Arial"/>
            <w:sz w:val="20"/>
            <w:szCs w:val="20"/>
          </w:rPr>
          <w:t xml:space="preserve"> Curitiba, PR, n. 554, 8 jan. 2013, p. 68</w:t>
        </w:r>
      </w:hyperlink>
      <w:r w:rsidR="002C44E9" w:rsidRPr="00D7426C">
        <w:rPr>
          <w:rFonts w:ascii="Arial" w:hAnsi="Arial" w:cs="Arial"/>
          <w:sz w:val="20"/>
          <w:szCs w:val="20"/>
        </w:rPr>
        <w:t>.</w:t>
      </w:r>
    </w:p>
    <w:p w14:paraId="4439BDFA" w14:textId="79812AC8" w:rsidR="005357C1" w:rsidRDefault="005F0257" w:rsidP="00D7426C">
      <w:pPr>
        <w:pStyle w:val="Textodenotaderodap"/>
        <w:numPr>
          <w:ilvl w:val="0"/>
          <w:numId w:val="2"/>
        </w:numPr>
        <w:ind w:left="426" w:hanging="284"/>
      </w:pPr>
      <w:r>
        <w:rPr>
          <w:rFonts w:ascii="Arial" w:hAnsi="Arial" w:cs="Arial"/>
        </w:rPr>
        <w:t xml:space="preserve">Origem: </w:t>
      </w:r>
      <w:r w:rsidR="00D7426C" w:rsidRPr="00D7426C">
        <w:rPr>
          <w:rFonts w:ascii="Arial" w:hAnsi="Arial" w:cs="Arial"/>
        </w:rPr>
        <w:t xml:space="preserve">Processo n. 80433-5/12 – </w:t>
      </w:r>
      <w:hyperlink r:id="rId2" w:history="1">
        <w:r w:rsidR="00D7426C" w:rsidRPr="00D7426C">
          <w:rPr>
            <w:rStyle w:val="Hyperlink"/>
            <w:rFonts w:cs="Arial"/>
            <w:sz w:val="20"/>
          </w:rPr>
          <w:t>Acórdão n. 4.134/2012 – Tribunal Pleno.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5DCC" w14:textId="77777777" w:rsidR="00875A8C" w:rsidRDefault="00843F98" w:rsidP="00E51D59">
    <w:pPr>
      <w:pStyle w:val="Cabealho"/>
      <w:spacing w:before="480" w:after="120"/>
      <w:ind w:left="1134"/>
      <w:jc w:val="right"/>
      <w:rPr>
        <w:rFonts w:ascii="Arial" w:hAnsi="Arial" w:cs="Arial"/>
        <w:b/>
        <w:sz w:val="30"/>
        <w:szCs w:val="30"/>
      </w:rPr>
    </w:pPr>
    <w:r>
      <w:rPr>
        <w:noProof/>
      </w:rPr>
      <w:pict w14:anchorId="07DC8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Descrição: logo TC colorido - medio" style="position:absolute;left:0;text-align:left;margin-left:.8pt;margin-top:1.4pt;width:47.7pt;height:56.1pt;z-index:1;visibility:visible">
          <v:imagedata r:id="rId1" o:title=" logo TC colorido - medio"/>
          <w10:wrap type="square"/>
        </v:shape>
      </w:pict>
    </w:r>
    <w:r w:rsidR="00875A8C">
      <w:rPr>
        <w:rFonts w:ascii="Arial" w:hAnsi="Arial" w:cs="Arial"/>
        <w:b/>
        <w:sz w:val="30"/>
        <w:szCs w:val="30"/>
      </w:rPr>
      <w:t>TRIBUNAL DE CONTAS DO ESTADO DO PARANÁ</w:t>
    </w:r>
  </w:p>
  <w:p w14:paraId="078AA3F4" w14:textId="77777777" w:rsidR="00E51D59" w:rsidRDefault="00E51D59" w:rsidP="00316658">
    <w:pPr>
      <w:pStyle w:val="Cabealho"/>
      <w:spacing w:before="120" w:after="120"/>
      <w:ind w:left="1134"/>
      <w:jc w:val="right"/>
    </w:pPr>
  </w:p>
  <w:p w14:paraId="7F3857F0" w14:textId="77777777" w:rsidR="00875A8C" w:rsidRDefault="00875A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75CE2"/>
    <w:multiLevelType w:val="hybridMultilevel"/>
    <w:tmpl w:val="2BC8252E"/>
    <w:lvl w:ilvl="0" w:tplc="B0ECC824">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CFA007F"/>
    <w:multiLevelType w:val="hybridMultilevel"/>
    <w:tmpl w:val="565C9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9181830">
    <w:abstractNumId w:val="1"/>
  </w:num>
  <w:num w:numId="2" w16cid:durableId="26754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A8C"/>
    <w:rsid w:val="00237289"/>
    <w:rsid w:val="002C44E9"/>
    <w:rsid w:val="00316658"/>
    <w:rsid w:val="005357C1"/>
    <w:rsid w:val="005F0257"/>
    <w:rsid w:val="00637F64"/>
    <w:rsid w:val="006F3EA4"/>
    <w:rsid w:val="00843F98"/>
    <w:rsid w:val="00875A8C"/>
    <w:rsid w:val="008D2083"/>
    <w:rsid w:val="008E39CB"/>
    <w:rsid w:val="00C91206"/>
    <w:rsid w:val="00CD033A"/>
    <w:rsid w:val="00D7426C"/>
    <w:rsid w:val="00DF0C73"/>
    <w:rsid w:val="00E51D59"/>
    <w:rsid w:val="00FD44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66D6"/>
  <w15:chartTrackingRefBased/>
  <w15:docId w15:val="{6D514C43-64FC-4C0A-A5DB-A96154A9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75A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5A8C"/>
  </w:style>
  <w:style w:type="paragraph" w:styleId="Rodap">
    <w:name w:val="footer"/>
    <w:basedOn w:val="Normal"/>
    <w:link w:val="RodapChar"/>
    <w:uiPriority w:val="99"/>
    <w:unhideWhenUsed/>
    <w:rsid w:val="00875A8C"/>
    <w:pPr>
      <w:tabs>
        <w:tab w:val="center" w:pos="4252"/>
        <w:tab w:val="right" w:pos="8504"/>
      </w:tabs>
      <w:spacing w:after="0" w:line="240" w:lineRule="auto"/>
    </w:pPr>
  </w:style>
  <w:style w:type="character" w:customStyle="1" w:styleId="RodapChar">
    <w:name w:val="Rodapé Char"/>
    <w:basedOn w:val="Fontepargpadro"/>
    <w:link w:val="Rodap"/>
    <w:uiPriority w:val="99"/>
    <w:rsid w:val="00875A8C"/>
  </w:style>
  <w:style w:type="paragraph" w:styleId="Textodenotaderodap">
    <w:name w:val="footnote text"/>
    <w:basedOn w:val="Normal"/>
    <w:link w:val="TextodenotaderodapChar"/>
    <w:uiPriority w:val="99"/>
    <w:unhideWhenUsed/>
    <w:rsid w:val="005357C1"/>
    <w:rPr>
      <w:sz w:val="20"/>
      <w:szCs w:val="20"/>
    </w:rPr>
  </w:style>
  <w:style w:type="character" w:customStyle="1" w:styleId="TextodenotaderodapChar">
    <w:name w:val="Texto de nota de rodapé Char"/>
    <w:link w:val="Textodenotaderodap"/>
    <w:uiPriority w:val="99"/>
    <w:rsid w:val="005357C1"/>
    <w:rPr>
      <w:lang w:eastAsia="en-US"/>
    </w:rPr>
  </w:style>
  <w:style w:type="character" w:styleId="Refdenotaderodap">
    <w:name w:val="footnote reference"/>
    <w:uiPriority w:val="99"/>
    <w:semiHidden/>
    <w:unhideWhenUsed/>
    <w:rsid w:val="005357C1"/>
    <w:rPr>
      <w:vertAlign w:val="superscript"/>
    </w:rPr>
  </w:style>
  <w:style w:type="paragraph" w:styleId="Sumrio3">
    <w:name w:val="toc 3"/>
    <w:basedOn w:val="Normal"/>
    <w:next w:val="Normal"/>
    <w:autoRedefine/>
    <w:semiHidden/>
    <w:rsid w:val="005357C1"/>
    <w:pPr>
      <w:spacing w:after="0" w:line="240" w:lineRule="auto"/>
      <w:ind w:left="480"/>
    </w:pPr>
    <w:rPr>
      <w:rFonts w:ascii="Times New Roman" w:eastAsia="Times New Roman" w:hAnsi="Times New Roman"/>
      <w:i/>
      <w:iCs/>
      <w:sz w:val="24"/>
      <w:szCs w:val="24"/>
      <w:lang w:eastAsia="pt-BR"/>
    </w:rPr>
  </w:style>
  <w:style w:type="character" w:styleId="Hyperlink">
    <w:name w:val="Hyperlink"/>
    <w:rsid w:val="005357C1"/>
    <w:rPr>
      <w:rFonts w:ascii="Arial" w:hAnsi="Arial"/>
      <w:color w:val="0000FF"/>
      <w:sz w:val="16"/>
      <w:u w:val="single"/>
    </w:rPr>
  </w:style>
  <w:style w:type="paragraph" w:styleId="PargrafodaLista">
    <w:name w:val="List Paragraph"/>
    <w:basedOn w:val="Normal"/>
    <w:uiPriority w:val="34"/>
    <w:qFormat/>
    <w:rsid w:val="005357C1"/>
    <w:pPr>
      <w:ind w:left="720"/>
      <w:contextualSpacing/>
    </w:pPr>
  </w:style>
  <w:style w:type="character" w:styleId="MenoPendente">
    <w:name w:val="Unresolved Mention"/>
    <w:uiPriority w:val="99"/>
    <w:semiHidden/>
    <w:unhideWhenUsed/>
    <w:rsid w:val="00637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multimidia/2012/12/pdf/00241378.pdf" TargetMode="External"/><Relationship Id="rId1" Type="http://schemas.openxmlformats.org/officeDocument/2006/relationships/hyperlink" Target="http://www1.tce.pr.gov.br/multimidia/2013/1/pdf/0024055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3157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Baggio Giacoia</dc:creator>
  <cp:keywords/>
  <cp:lastModifiedBy>Yarusya</cp:lastModifiedBy>
  <cp:revision>11</cp:revision>
  <dcterms:created xsi:type="dcterms:W3CDTF">2022-06-21T18:57:00Z</dcterms:created>
  <dcterms:modified xsi:type="dcterms:W3CDTF">2022-06-29T20:28:00Z</dcterms:modified>
</cp:coreProperties>
</file>