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D7D1" w14:textId="3B70912C" w:rsidR="00636FD6" w:rsidRPr="009F1DDF" w:rsidRDefault="00636FD6" w:rsidP="005424FE">
      <w:pPr>
        <w:pStyle w:val="Texto"/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</w:t>
      </w:r>
      <w:r w:rsidRPr="009F1DDF">
        <w:rPr>
          <w:rFonts w:cs="Arial"/>
          <w:b/>
          <w:bCs/>
          <w:sz w:val="28"/>
          <w:szCs w:val="28"/>
        </w:rPr>
        <w:t>NSTRUÇÃO NORMATIVA</w:t>
      </w:r>
      <w:r>
        <w:rPr>
          <w:rFonts w:cs="Arial"/>
          <w:b/>
          <w:bCs/>
          <w:sz w:val="28"/>
          <w:szCs w:val="28"/>
        </w:rPr>
        <w:t xml:space="preserve"> Nº 60/2011</w:t>
      </w:r>
      <w:r w:rsidR="00625B56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22247CC" w14:textId="77777777" w:rsidR="00636FD6" w:rsidRPr="00167A10" w:rsidRDefault="00636FD6" w:rsidP="00E36E24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167A10">
        <w:rPr>
          <w:rFonts w:ascii="Arial" w:hAnsi="Arial" w:cs="Arial"/>
          <w:b w:val="0"/>
          <w:i/>
          <w:sz w:val="22"/>
          <w:szCs w:val="22"/>
        </w:rPr>
        <w:t>Dispõe sobre o encaminhamento da Prestação de Contas do Chefe do Poder Executivo Estadual, relativa ao exercício de 2011, nos te</w:t>
      </w:r>
      <w:r>
        <w:rPr>
          <w:rFonts w:ascii="Arial" w:hAnsi="Arial" w:cs="Arial"/>
          <w:b w:val="0"/>
          <w:i/>
          <w:sz w:val="22"/>
          <w:szCs w:val="22"/>
        </w:rPr>
        <w:t>r</w:t>
      </w:r>
      <w:r w:rsidRPr="00167A10">
        <w:rPr>
          <w:rFonts w:ascii="Arial" w:hAnsi="Arial" w:cs="Arial"/>
          <w:b w:val="0"/>
          <w:i/>
          <w:sz w:val="22"/>
          <w:szCs w:val="22"/>
        </w:rPr>
        <w:t>mos dos arts. 211 a 214 do Regimento Interno do Tribunal de Contas, e dá outras providências.</w:t>
      </w:r>
    </w:p>
    <w:p w14:paraId="527B1F70" w14:textId="77777777" w:rsidR="00636FD6" w:rsidRPr="009F1DDF" w:rsidRDefault="00636FD6" w:rsidP="005424FE">
      <w:pPr>
        <w:pStyle w:val="Texto"/>
        <w:spacing w:before="240"/>
        <w:ind w:firstLine="1134"/>
        <w:rPr>
          <w:sz w:val="24"/>
        </w:rPr>
      </w:pPr>
      <w:r w:rsidRPr="005424FE">
        <w:rPr>
          <w:bCs/>
          <w:sz w:val="24"/>
        </w:rPr>
        <w:t>O</w:t>
      </w:r>
      <w:r w:rsidRPr="00557D58">
        <w:rPr>
          <w:b/>
          <w:sz w:val="24"/>
        </w:rPr>
        <w:t xml:space="preserve"> TRIBUNAL DE CONTAS DO ESTADO DO PARANÁ</w:t>
      </w:r>
      <w:r w:rsidRPr="00557D58">
        <w:rPr>
          <w:sz w:val="24"/>
        </w:rPr>
        <w:t>, no uso das atribuições contidas no art. 2º, I, da Lei Complementar nº 113, de 15 de dezembro de 2005</w:t>
      </w:r>
      <w:r>
        <w:rPr>
          <w:sz w:val="24"/>
        </w:rPr>
        <w:t>,</w:t>
      </w:r>
      <w:r w:rsidRPr="00557D58">
        <w:rPr>
          <w:sz w:val="24"/>
        </w:rPr>
        <w:t xml:space="preserve"> e nos termos dos arts. </w:t>
      </w:r>
      <w:r w:rsidRPr="009F1DDF">
        <w:rPr>
          <w:sz w:val="24"/>
        </w:rPr>
        <w:t>187, II, 193 a 196, e 214</w:t>
      </w:r>
      <w:r w:rsidRPr="00557D58">
        <w:rPr>
          <w:sz w:val="24"/>
        </w:rPr>
        <w:t>, do Regimento Interno,</w:t>
      </w:r>
    </w:p>
    <w:p w14:paraId="244E5FEA" w14:textId="77777777" w:rsidR="00636FD6" w:rsidRPr="009F1DDF" w:rsidRDefault="00636FD6" w:rsidP="00EA5987">
      <w:pPr>
        <w:pStyle w:val="Texto"/>
        <w:spacing w:before="240" w:after="240"/>
        <w:ind w:firstLine="1134"/>
        <w:rPr>
          <w:b/>
          <w:bCs/>
          <w:sz w:val="24"/>
        </w:rPr>
      </w:pPr>
      <w:r w:rsidRPr="009F1DDF">
        <w:rPr>
          <w:b/>
          <w:bCs/>
          <w:sz w:val="24"/>
        </w:rPr>
        <w:t>RESOLVE</w:t>
      </w:r>
    </w:p>
    <w:p w14:paraId="55EBDBCA" w14:textId="77777777" w:rsidR="00636FD6" w:rsidRPr="00FB54E5" w:rsidRDefault="00636FD6" w:rsidP="00EC4975">
      <w:pPr>
        <w:spacing w:before="120"/>
        <w:ind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  <w:b/>
        </w:rPr>
        <w:t>Art. 1º</w:t>
      </w:r>
      <w:r w:rsidRPr="00FB54E5">
        <w:rPr>
          <w:rFonts w:ascii="Arial" w:hAnsi="Arial" w:cs="Arial"/>
        </w:rPr>
        <w:t xml:space="preserve"> As normas desta Instrução aplicam-se ao Chefe do Poder Executivo Estadual, no que tange à composição da Prestação de Contas Anual do Governo do Estado do Paraná, a ser encaminhada à Assembleia Legislativa nos termos do artigo 87, XI, da Constituição Estadual.</w:t>
      </w:r>
    </w:p>
    <w:p w14:paraId="545BB5B7" w14:textId="77777777" w:rsidR="00636FD6" w:rsidRPr="00FB54E5" w:rsidRDefault="00636FD6" w:rsidP="00EC4975">
      <w:pPr>
        <w:spacing w:before="120"/>
        <w:ind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  <w:b/>
        </w:rPr>
        <w:t>Art. 2º</w:t>
      </w:r>
      <w:r w:rsidRPr="00FB54E5">
        <w:rPr>
          <w:rFonts w:ascii="Arial" w:hAnsi="Arial" w:cs="Arial"/>
        </w:rPr>
        <w:t xml:space="preserve"> O Parecer Prévio será emitido sob a perspectiva da boa gestão pública e dos benefícios proporcionados à população paranaense no exercício, além de serem adotados indicadores de desempenho, o cumprimento dos principais programas de governo e respectivas metas físicas, bem como sob a perspectiva normativa, por meio da aferição da adequação das políticas públicas às normas constitucionais e infraconstitucionais, interpretando o orçamento e sua execução como formando um complexo normativo integrado e cogente (Constituição, Plano Plurianual, Lei de Diretrizes Orçamentárias, Lei Orçamentária e Lei de Responsabilidade Fiscal).</w:t>
      </w:r>
    </w:p>
    <w:p w14:paraId="5D570572" w14:textId="77777777" w:rsidR="00636FD6" w:rsidRPr="00783C63" w:rsidRDefault="00636FD6" w:rsidP="00EC4975">
      <w:pPr>
        <w:spacing w:before="120"/>
        <w:ind w:left="-6" w:firstLine="1134"/>
        <w:jc w:val="both"/>
        <w:rPr>
          <w:rFonts w:ascii="Arial" w:hAnsi="Arial" w:cs="Arial"/>
          <w:sz w:val="20"/>
          <w:szCs w:val="20"/>
        </w:rPr>
      </w:pPr>
      <w:r w:rsidRPr="00FB54E5">
        <w:rPr>
          <w:rFonts w:ascii="Arial" w:hAnsi="Arial" w:cs="Arial"/>
          <w:b/>
        </w:rPr>
        <w:t>Art. 3º</w:t>
      </w:r>
      <w:r w:rsidRPr="00FB54E5">
        <w:rPr>
          <w:rFonts w:ascii="Arial" w:hAnsi="Arial" w:cs="Arial"/>
        </w:rPr>
        <w:t xml:space="preserve"> Além da avaliação do desempenho global da gestão do Poder Executivo no exercício,</w:t>
      </w:r>
      <w:r>
        <w:rPr>
          <w:rFonts w:ascii="Arial" w:hAnsi="Arial" w:cs="Arial"/>
        </w:rPr>
        <w:t xml:space="preserve"> </w:t>
      </w:r>
      <w:r w:rsidRPr="00FB54E5">
        <w:rPr>
          <w:rFonts w:ascii="Arial" w:hAnsi="Arial" w:cs="Arial"/>
        </w:rPr>
        <w:t>deverão ser adotados, em conjunto e prioritariamente, os seguintes critérios objetivos para recomendar a aprovação ou desaprovação das contas:</w:t>
      </w:r>
    </w:p>
    <w:p w14:paraId="6E78C9B1" w14:textId="77777777" w:rsidR="00636FD6" w:rsidRDefault="00636FD6" w:rsidP="00EC4975">
      <w:pPr>
        <w:spacing w:before="120"/>
        <w:ind w:left="-6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- </w:t>
      </w:r>
      <w:r w:rsidRPr="00FB54E5">
        <w:rPr>
          <w:rFonts w:ascii="Arial" w:hAnsi="Arial" w:cs="Arial"/>
        </w:rPr>
        <w:t>a confiabilidade nas demonstrações contábeis e que elas demonstrem a real situação patrimonial e financeira do Estado;</w:t>
      </w:r>
    </w:p>
    <w:p w14:paraId="2ADE7EFE" w14:textId="77777777" w:rsidR="00636FD6" w:rsidRDefault="00636FD6" w:rsidP="00EC4975">
      <w:pPr>
        <w:spacing w:before="120"/>
        <w:ind w:left="-6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II - </w:t>
      </w:r>
      <w:r w:rsidRPr="00FB54E5">
        <w:rPr>
          <w:rFonts w:ascii="Arial" w:hAnsi="Arial" w:cs="Arial"/>
        </w:rPr>
        <w:t xml:space="preserve">administração dos precatórios, da dívida ativa e dos recursos do PARANAPREVIDENCIA; </w:t>
      </w:r>
    </w:p>
    <w:p w14:paraId="34BA9B22" w14:textId="77777777" w:rsidR="00636FD6" w:rsidRDefault="00636FD6" w:rsidP="00EC4975">
      <w:pPr>
        <w:spacing w:before="120"/>
        <w:ind w:left="-6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- </w:t>
      </w:r>
      <w:r w:rsidRPr="00FB54E5">
        <w:rPr>
          <w:rFonts w:ascii="Arial" w:hAnsi="Arial" w:cs="Arial"/>
        </w:rPr>
        <w:t>cumprimento das determinações e recomendações do Tribunal de Contas;</w:t>
      </w:r>
      <w:r>
        <w:rPr>
          <w:rFonts w:ascii="Arial" w:hAnsi="Arial" w:cs="Arial"/>
        </w:rPr>
        <w:t xml:space="preserve"> </w:t>
      </w:r>
    </w:p>
    <w:p w14:paraId="75DE3E6A" w14:textId="77777777" w:rsidR="00636FD6" w:rsidRDefault="00636FD6" w:rsidP="00EC4975">
      <w:pPr>
        <w:spacing w:before="120"/>
        <w:ind w:left="-6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 - </w:t>
      </w:r>
      <w:r w:rsidRPr="00FB54E5">
        <w:rPr>
          <w:rFonts w:ascii="Arial" w:hAnsi="Arial" w:cs="Arial"/>
        </w:rPr>
        <w:t xml:space="preserve">índice de cumprimento das metas físicas e dos programas de governo; </w:t>
      </w:r>
    </w:p>
    <w:p w14:paraId="6A0D6B41" w14:textId="77777777" w:rsidR="00636FD6" w:rsidRDefault="00636FD6" w:rsidP="00EC4975">
      <w:pPr>
        <w:spacing w:before="120"/>
        <w:ind w:left="-6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- </w:t>
      </w:r>
      <w:r w:rsidRPr="00FB54E5">
        <w:rPr>
          <w:rFonts w:ascii="Arial" w:hAnsi="Arial" w:cs="Arial"/>
        </w:rPr>
        <w:t xml:space="preserve">indicadores de desempenho; </w:t>
      </w:r>
    </w:p>
    <w:p w14:paraId="1FD89B78" w14:textId="77777777" w:rsidR="00636FD6" w:rsidRDefault="00636FD6" w:rsidP="00EC4975">
      <w:pPr>
        <w:spacing w:before="120"/>
        <w:ind w:left="-6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 - </w:t>
      </w:r>
      <w:r w:rsidRPr="00FB54E5">
        <w:rPr>
          <w:rFonts w:ascii="Arial" w:hAnsi="Arial" w:cs="Arial"/>
        </w:rPr>
        <w:t>cumprimento dos limites mínimos em saúde, educação, ciência e tecnologia, despesas de pessoal;</w:t>
      </w:r>
    </w:p>
    <w:p w14:paraId="53D111ED" w14:textId="77777777" w:rsidR="00636FD6" w:rsidRPr="00FB54E5" w:rsidRDefault="00636FD6" w:rsidP="00EC4975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 - </w:t>
      </w:r>
      <w:r w:rsidRPr="00FB54E5">
        <w:rPr>
          <w:rFonts w:ascii="Arial" w:hAnsi="Arial" w:cs="Arial"/>
        </w:rPr>
        <w:t>avaliação do sistema de controle interno.</w:t>
      </w:r>
    </w:p>
    <w:p w14:paraId="16A987F1" w14:textId="77777777" w:rsidR="00636FD6" w:rsidRPr="00FB54E5" w:rsidRDefault="00636FD6" w:rsidP="00EC4975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FB54E5">
        <w:rPr>
          <w:rFonts w:ascii="Arial" w:hAnsi="Arial" w:cs="Arial"/>
          <w:b/>
          <w:sz w:val="24"/>
          <w:szCs w:val="24"/>
        </w:rPr>
        <w:t>Art. 4º</w:t>
      </w:r>
      <w:r w:rsidRPr="00FB54E5">
        <w:rPr>
          <w:rFonts w:ascii="Arial" w:hAnsi="Arial" w:cs="Arial"/>
          <w:sz w:val="24"/>
          <w:szCs w:val="24"/>
        </w:rPr>
        <w:t xml:space="preserve"> A prestação de contas anual, relativa ao exercício de 2011, do Chefe do Poder Executivo Estadual, deve conter os seguintes documentos:</w:t>
      </w:r>
    </w:p>
    <w:p w14:paraId="00D0F009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  <w:snapToGrid w:val="0"/>
        </w:rPr>
      </w:pPr>
      <w:r w:rsidRPr="00FB54E5">
        <w:rPr>
          <w:rFonts w:ascii="Arial" w:hAnsi="Arial" w:cs="Arial"/>
        </w:rPr>
        <w:t>I - Ofício de encaminhamento ao Presidente da Assembléia Legislativa;</w:t>
      </w:r>
    </w:p>
    <w:p w14:paraId="6A9547AF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 xml:space="preserve">II - Demonstrações exigidas pela Lei Federal nº 4.320/64, nos seus 3 (três) níveis – Administrações Direta, Indireta e Global, sendo que nos demonstrativos que exibirem contas com títulos genéricos como Diversas, Outras, etc., deverá ser discriminada a composição </w:t>
      </w:r>
      <w:proofErr w:type="gramStart"/>
      <w:r w:rsidRPr="00FB54E5">
        <w:rPr>
          <w:rFonts w:ascii="Arial" w:hAnsi="Arial" w:cs="Arial"/>
        </w:rPr>
        <w:t>das mesmas</w:t>
      </w:r>
      <w:proofErr w:type="gramEnd"/>
      <w:r w:rsidRPr="00FB54E5">
        <w:rPr>
          <w:rFonts w:ascii="Arial" w:hAnsi="Arial" w:cs="Arial"/>
        </w:rPr>
        <w:t>, ou serem anexados documentos que comprovem os registros;</w:t>
      </w:r>
    </w:p>
    <w:p w14:paraId="7BEBEA2D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>III - Relatório circunstanciado da gestão do exercício, contendo, dentre outras informações:</w:t>
      </w:r>
    </w:p>
    <w:p w14:paraId="2483B157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napToGrid w:val="0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demonstrativo quanto ao atendimento dos limites constitucionais, da Lei de Responsabilidade Fiscal, da Lei de Diretrizes Orçamentárias e do seu Anexo de Metas Fiscais;</w:t>
      </w:r>
    </w:p>
    <w:p w14:paraId="6B372D25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medidas adotadas para o retorno da despesa total com pessoal, se excedente, ao respectivo limite, se for o caso;</w:t>
      </w:r>
    </w:p>
    <w:p w14:paraId="3ECBDCC7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demonstrativo dos gastos com Divulgação e Propaganda, desmembrados em Atos Oficiais e Propaganda Institucional, incluídos os dados com os Pedidos de Autorização de Divulgação e Veiculação – PADV, dos órgãos, entidades e empresas da Administração Pública Estadual, inclusive das Sociedades de Economia Mista que não compõem o Sistema Integrado de Acompanhamento Financeiro – SIAF (Empresas Não Dependentes), conforme Anexo nº I desta Instrução;</w:t>
      </w:r>
    </w:p>
    <w:p w14:paraId="2DE18D58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demonstrativo da movimentação da Dívida Ativa ocorrida no exercício, contendo: informações sobre as anistias, isenções e remissões concedidas; resumo da situação processual das ações de execução e probabilidade de sucesso dessas ações; e estratégias operacionais da Procuradoria Geral do Estado para maximizar a recuperação dos créditos;</w:t>
      </w:r>
    </w:p>
    <w:p w14:paraId="40F834A6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demonstrativo evidenciando, na forma do art. 13 da LRF, as medidas de combate à evasão e à sonegação, com indicação da quantidade e valores de ações ajuizadas para cobrança da dívida ativa, bem como da </w:t>
      </w:r>
      <w:r w:rsidRPr="001145A1">
        <w:rPr>
          <w:rFonts w:ascii="Arial" w:hAnsi="Arial" w:cs="Arial"/>
          <w:sz w:val="24"/>
          <w:szCs w:val="24"/>
        </w:rPr>
        <w:lastRenderedPageBreak/>
        <w:t>evolução do montante dos créditos tributários passiveis de cobrança administrativa;</w:t>
      </w:r>
    </w:p>
    <w:p w14:paraId="0D088951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relatório gerencial da dívida ativa, por situação de contribuinte, tipo de crédito e situação da exigibilidade, tendo como referência dez/2011, conforme Anexo nº II desta Instrução;</w:t>
      </w:r>
    </w:p>
    <w:p w14:paraId="1B88A712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demonstrativo da movimentação dos Precatórios ocorrida no exercício de 2011, dos valores inscritos no Passivo Financeiro (segregando os Alimentares e os Não Alimentares) e dos inscritos no Passivo Permanente;</w:t>
      </w:r>
    </w:p>
    <w:p w14:paraId="647E0B51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demonstrativo dos valores mensais repassados no exercício de 2011 pela Secretaria de Estado da Fazenda ao Tribunal de Justiça para pagamento de Precatórios;</w:t>
      </w:r>
    </w:p>
    <w:p w14:paraId="528521F4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participação acionária do Estado em 31 de dezembro de 2011, nas Empresas Públicas e Sociedades de Economia Mista;</w:t>
      </w:r>
    </w:p>
    <w:p w14:paraId="58746D53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quantitativo do Quadro de Pessoal do Poder Executivo em 31 de dezembro de 2011, conforme Anexo nº III desta Instrução;</w:t>
      </w:r>
    </w:p>
    <w:p w14:paraId="0592E146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relação dos empenhos estornados no último bimestre de 2011;</w:t>
      </w:r>
    </w:p>
    <w:p w14:paraId="6ED8DEEB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demonstrativo da movimentação dos bens, valores e créditos, acompanhados das inscrições e baixas ocorridas no exercício;</w:t>
      </w:r>
    </w:p>
    <w:p w14:paraId="10ECC8D2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demonstrativo indicando origem e destino dos recursos provenientes da alienação de ativos, em complementação ao Anexo 15 da Lei nº 4.320/64, atendendo ao disposto no inciso VI do art. 50 da LRF;</w:t>
      </w:r>
    </w:p>
    <w:p w14:paraId="66E0E60C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demonstrativos da movimentação do FUNDEF (pagamentos de Restos a Pagar) no exercício de 2011, se houver;</w:t>
      </w:r>
    </w:p>
    <w:p w14:paraId="5CE63851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070B7317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demonstrativos financeiros e Parecer Atuarial do Sistema de Seguridade Funcional do Estado do Paraná, gerido pela PARANAPREVIDÊNCIA, relativos ao exercício de 2011, destacando: a quantidade e valores pagos de benefícios concedidos (pensões e aposentadorias) por Poder; o Resultado da Gestão Previdenciária dos Fundos Previdenciário, Financeiro, de Pecúlio e dos Serventuários da Justiça; e a situação patrimonial e resultado técnico do Fundo de Previdência;</w:t>
      </w:r>
    </w:p>
    <w:p w14:paraId="5D4AEFE7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demonstrativo evidenciando mensalmente os valores devidos e repassados pelo Estado ao Fundo de Previdência no exercício de 2011, segregando a parte relativa aos servidores da parte patronal;</w:t>
      </w:r>
    </w:p>
    <w:p w14:paraId="1EE253C0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demonstrativo evidenciando pormenorizadamente a dívida do Estado em favor da PARANAPREVIDÊNCIA, por exercício (desde a constituição do Fundo), indicando os artigos da Lei nº 12.398/98 aos quais se </w:t>
      </w:r>
      <w:r w:rsidRPr="001145A1">
        <w:rPr>
          <w:rFonts w:ascii="Arial" w:hAnsi="Arial" w:cs="Arial"/>
          <w:sz w:val="24"/>
          <w:szCs w:val="24"/>
        </w:rPr>
        <w:lastRenderedPageBreak/>
        <w:t>referem tais créditos previdenciários, devidamente acompanhados de Plano de Pagamento, bem como promoção da compatibilização entre os saldos constantes dos balanços do Estado e da entidade previdenciária;</w:t>
      </w:r>
    </w:p>
    <w:p w14:paraId="6BB3B6A1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cópia das atas das audiências públicas realizadas em 2011, em atendimento ao determinado pelo § 4º do art. 9º da Lei Complementar nº 101/00;</w:t>
      </w:r>
    </w:p>
    <w:p w14:paraId="68721C12" w14:textId="77777777" w:rsidR="00636FD6" w:rsidRPr="001145A1" w:rsidRDefault="00636FD6" w:rsidP="00EC4975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napToGrid w:val="0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notas explicativas sobre os principais critérios contábeis adotados e outros aspectos relevantes que permitam melhor compre</w:t>
      </w:r>
      <w:r>
        <w:rPr>
          <w:rFonts w:ascii="Arial" w:hAnsi="Arial" w:cs="Arial"/>
          <w:sz w:val="24"/>
          <w:szCs w:val="24"/>
        </w:rPr>
        <w:t>ensão das contas governamentais.</w:t>
      </w:r>
    </w:p>
    <w:p w14:paraId="7CABD9CB" w14:textId="77777777" w:rsidR="00636FD6" w:rsidRPr="001145A1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1145A1">
        <w:rPr>
          <w:rFonts w:ascii="Arial" w:hAnsi="Arial" w:cs="Arial"/>
        </w:rPr>
        <w:t>IV – Relatório da Coordenação de Controle Interno do Poder Executivo Estadual contendo, dentre outras informações:</w:t>
      </w:r>
    </w:p>
    <w:p w14:paraId="67CF393B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resultado das ações do Sistema de Controle Interno realizadas no exercício de 2011; </w:t>
      </w:r>
    </w:p>
    <w:p w14:paraId="13D36946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avaliação do cumprimento das metas previstas no Plano Plurianual, a execução dos Programas de Governo e dos Orçamentos de que trata o § 6º do art. 133 da Constituição Estadual;</w:t>
      </w:r>
    </w:p>
    <w:p w14:paraId="307A57EE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avaliação dos resultados, quanto à eficácia e eficiência, da gestão orçamentária, financeira e patrimonial, nos órgãos e entidades da Administração Estadual, bem como da aplicação de recursos públicos por entidades de direito privado;</w:t>
      </w:r>
    </w:p>
    <w:p w14:paraId="608C1376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78D37313" w14:textId="09D5AF7B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estágio de implementação do Plano de Ação pactuado com o Tribunal de Contas do Estado, visando atender as determinações e sanar as ressalvas contidas nos </w:t>
      </w:r>
      <w:hyperlink r:id="rId8" w:history="1">
        <w:r w:rsidRPr="00A72B80">
          <w:rPr>
            <w:rStyle w:val="Hyperlink"/>
            <w:rFonts w:cs="Arial"/>
            <w:sz w:val="24"/>
            <w:szCs w:val="24"/>
          </w:rPr>
          <w:t xml:space="preserve">Acórdãos </w:t>
        </w:r>
        <w:proofErr w:type="spellStart"/>
        <w:r w:rsidRPr="00A72B80">
          <w:rPr>
            <w:rStyle w:val="Hyperlink"/>
            <w:rFonts w:cs="Arial"/>
            <w:sz w:val="24"/>
            <w:szCs w:val="24"/>
          </w:rPr>
          <w:t>nºs</w:t>
        </w:r>
        <w:proofErr w:type="spellEnd"/>
        <w:r w:rsidRPr="00A72B80">
          <w:rPr>
            <w:rStyle w:val="Hyperlink"/>
            <w:rFonts w:cs="Arial"/>
            <w:sz w:val="24"/>
            <w:szCs w:val="24"/>
          </w:rPr>
          <w:t xml:space="preserve"> 2305/10</w:t>
        </w:r>
      </w:hyperlink>
      <w:r w:rsidRPr="001145A1">
        <w:rPr>
          <w:rFonts w:ascii="Arial" w:hAnsi="Arial" w:cs="Arial"/>
          <w:sz w:val="24"/>
          <w:szCs w:val="24"/>
        </w:rPr>
        <w:t xml:space="preserve"> e </w:t>
      </w:r>
      <w:hyperlink r:id="rId9" w:history="1">
        <w:r w:rsidRPr="007C150D">
          <w:rPr>
            <w:rStyle w:val="Hyperlink"/>
            <w:rFonts w:cs="Arial"/>
            <w:sz w:val="24"/>
            <w:szCs w:val="24"/>
          </w:rPr>
          <w:t>176/11</w:t>
        </w:r>
      </w:hyperlink>
      <w:r w:rsidRPr="001145A1">
        <w:rPr>
          <w:rFonts w:ascii="Arial" w:hAnsi="Arial" w:cs="Arial"/>
          <w:sz w:val="24"/>
          <w:szCs w:val="24"/>
        </w:rPr>
        <w:t>, que aprovaram os Pareceres Prévios das Contas do Governo Estadual dos exercícios de 2009 e 2010, respectivamente;</w:t>
      </w:r>
    </w:p>
    <w:p w14:paraId="62F29E9B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avaliação do cumprimento dos limites constitucionais, da Lei de Responsabilidade Fiscal, da Lei de Diretrizes Orçamentárias e do seu Anexo de Metas Fiscais e justificando, se for o caso, os motivos que inviabilizaram o não atendimento dos limites;</w:t>
      </w:r>
    </w:p>
    <w:p w14:paraId="10BB8025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informações analíticas do cumprimento/concretização do Plano de Governo (valores e diretrizes);</w:t>
      </w:r>
    </w:p>
    <w:p w14:paraId="042FCB22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percentual de cumprimento dos 05 (cinco) principais programas de governo (educação de qualidade; ensino superior e desenvolvimento científico e tecnológico; saúde e saneamento; segurança integrada; e obrigações especiais), destacando a ampliação ou não do acesso à população à saúde, educação, emprego, segurança, moradia, infraestrutura, </w:t>
      </w:r>
      <w:proofErr w:type="spellStart"/>
      <w:r w:rsidRPr="001145A1">
        <w:rPr>
          <w:rFonts w:ascii="Arial" w:hAnsi="Arial" w:cs="Arial"/>
          <w:sz w:val="24"/>
          <w:szCs w:val="24"/>
        </w:rPr>
        <w:t>etc</w:t>
      </w:r>
      <w:proofErr w:type="spellEnd"/>
      <w:r w:rsidRPr="001145A1">
        <w:rPr>
          <w:rFonts w:ascii="Arial" w:hAnsi="Arial" w:cs="Arial"/>
          <w:sz w:val="24"/>
          <w:szCs w:val="24"/>
        </w:rPr>
        <w:t>;</w:t>
      </w:r>
    </w:p>
    <w:p w14:paraId="389099F7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valores investidos pelo Estado por município, indicando o Índice de Desenvolvimento Humano antes e após tal ação;</w:t>
      </w:r>
    </w:p>
    <w:p w14:paraId="1E6F5E91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lastRenderedPageBreak/>
        <w:t>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do estabelecido no art. 58 da LRF;</w:t>
      </w:r>
    </w:p>
    <w:p w14:paraId="318B9F3E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medidas que implicaram em renúncia de receitas e medidas compensatórias;</w:t>
      </w:r>
    </w:p>
    <w:p w14:paraId="5468DAB3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critérios adotados pelo Poder Executivo no exercício de 2011 para melhorar a qualidade do gasto público e respectiva economia de recursos públicos obtida no exercício no processo de contratação/licitação e de gestão de contratos, inclusive mediante a comparação de preços em produtos básicos/consumo;</w:t>
      </w:r>
    </w:p>
    <w:p w14:paraId="559AE250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principais obras realizadas no exercício e benefícios efetivos proporcionados à população paranaense;</w:t>
      </w:r>
    </w:p>
    <w:p w14:paraId="31E8F65F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>medidas implementadas e a implementar a curto, médio e longo prazo para equacionar o déficit técnico do Fundo de Previdência do Serviço Social Autônomo PARANAPREVIDÊNCIA;</w:t>
      </w:r>
    </w:p>
    <w:p w14:paraId="51407626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modificações implementadas ou a implementar nos contratos de concessão para a exploração do pedágio nas rodovias paranaenses e taxa interna de retorno originalmente pactuada e taxa atual obtida pelas concessionárias e perspectivas reais de redução da tarifa para a população paranaense;</w:t>
      </w:r>
    </w:p>
    <w:p w14:paraId="31016F44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demonstrativo do desempenho das atividades desenvolvidas pelos Serviços Sociais Autônomos, segundo o contrato de gestão, detalhando metas previstas e realizadas, os respectivos custos e indicadores;</w:t>
      </w:r>
    </w:p>
    <w:p w14:paraId="1F1646EB" w14:textId="77777777" w:rsidR="00636FD6" w:rsidRPr="001145A1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impacto imediato ou esperado com a criação das agências reguladoras;</w:t>
      </w:r>
    </w:p>
    <w:p w14:paraId="34AB563A" w14:textId="77777777" w:rsidR="00636FD6" w:rsidRPr="00FB54E5" w:rsidRDefault="00636FD6" w:rsidP="00EC4975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1145A1">
        <w:rPr>
          <w:rFonts w:ascii="Arial" w:hAnsi="Arial" w:cs="Arial"/>
          <w:sz w:val="24"/>
          <w:szCs w:val="24"/>
        </w:rPr>
        <w:t xml:space="preserve"> avaliação do resultado das ações e cumprimento das metas estabelecidas nos Contratos de Gestão à luz do Decreto nº </w:t>
      </w:r>
      <w:r w:rsidRPr="00995FA1">
        <w:rPr>
          <w:rFonts w:ascii="Arial" w:hAnsi="Arial" w:cs="Arial"/>
          <w:sz w:val="24"/>
          <w:szCs w:val="24"/>
        </w:rPr>
        <w:t>1947/2011.</w:t>
      </w:r>
    </w:p>
    <w:p w14:paraId="2C17B308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>V - Demonstrativo das alterações orçamentárias ocorridas no exercício de 2011, detalhando-as por artigos, parágrafos, incisos e alíneas constantes da Lei Orçamentária, a fim de permitir a aferição dos limites previstos;</w:t>
      </w:r>
    </w:p>
    <w:p w14:paraId="243C0A15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>VI - Posição e comprovação das disponibilidades financeiras (extratos e conciliações bancárias) por fonte de recursos, verificadas em 31 de dezembro de 2011;</w:t>
      </w:r>
    </w:p>
    <w:p w14:paraId="2E5B88BE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>VII - Relação dos Restos a Pagar inscritos no exercício por órgãos da Administração Direta e Indireta do Estado;</w:t>
      </w:r>
    </w:p>
    <w:p w14:paraId="0899B4F2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>VIII - Relação dos precatórios judiciais pagos, baixados e inscritos no exercício, acompanhados da relação de inscrição por ordem cronológica, conforme dispõe o art. 100 da Constituição da República;</w:t>
      </w:r>
    </w:p>
    <w:p w14:paraId="0BBF6C2D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lastRenderedPageBreak/>
        <w:t>IX - Demonstrativo da movimentação da Dívida Pública, desmembrada em Flutuante e Fundada, acompanhado da relação de inscrições e baixas no exercício, bem como dos respectivos contratos vigentes;</w:t>
      </w:r>
    </w:p>
    <w:p w14:paraId="49A5C008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>X - Relatório de metas físicas dos projetos/atividades do Governo, com índice de cumprimento por área/função (previsto x realizado e percentual de execução);</w:t>
      </w:r>
    </w:p>
    <w:p w14:paraId="76C4C9E5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 xml:space="preserve">XI - Dados para compor Indicadores de Desempenho (posição em 31/12/2011), tais como: </w:t>
      </w:r>
    </w:p>
    <w:p w14:paraId="768251F8" w14:textId="77777777" w:rsidR="00636FD6" w:rsidRPr="00995FA1" w:rsidRDefault="00636FD6" w:rsidP="00EC4975">
      <w:pPr>
        <w:pStyle w:val="m-3"/>
        <w:numPr>
          <w:ilvl w:val="0"/>
          <w:numId w:val="8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995FA1">
        <w:rPr>
          <w:rFonts w:ascii="Arial" w:hAnsi="Arial" w:cs="Arial"/>
          <w:sz w:val="24"/>
          <w:szCs w:val="24"/>
        </w:rPr>
        <w:t xml:space="preserve">da área de saúde: investimentos em saúde por habitante; leitos hospitalares por habitante; número de unidades básicas de saúde; número e percentual de crianças desnutridas; número de mortes de crianças menores de um ano por 1000 nascidos vivos; salário médio pago no setor da saúde;  </w:t>
      </w:r>
    </w:p>
    <w:p w14:paraId="008F99FF" w14:textId="77777777" w:rsidR="00636FD6" w:rsidRPr="00995FA1" w:rsidRDefault="00636FD6" w:rsidP="00EC4975">
      <w:pPr>
        <w:pStyle w:val="m-3"/>
        <w:numPr>
          <w:ilvl w:val="0"/>
          <w:numId w:val="8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995FA1">
        <w:rPr>
          <w:rFonts w:ascii="Arial" w:hAnsi="Arial" w:cs="Arial"/>
          <w:sz w:val="24"/>
          <w:szCs w:val="24"/>
        </w:rPr>
        <w:t xml:space="preserve">da área de saneamento: percentual da população paranaense abastecida com água potável nas áreas urbana e rural; percentual de rede de esgoto coletado e tratado; investimentos em saneamento e internações geradas por doenças ocasionadas por insuficiência ou falta de saneamento básico; percentual de perda de água tratada; </w:t>
      </w:r>
    </w:p>
    <w:p w14:paraId="20138BB4" w14:textId="77777777" w:rsidR="00636FD6" w:rsidRPr="00995FA1" w:rsidRDefault="00636FD6" w:rsidP="00EC4975">
      <w:pPr>
        <w:pStyle w:val="m-3"/>
        <w:numPr>
          <w:ilvl w:val="0"/>
          <w:numId w:val="8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995FA1">
        <w:rPr>
          <w:rFonts w:ascii="Arial" w:hAnsi="Arial" w:cs="Arial"/>
          <w:sz w:val="24"/>
          <w:szCs w:val="24"/>
        </w:rPr>
        <w:t xml:space="preserve">da área de educação: Índice de Desenvolvimento da Educação </w:t>
      </w:r>
      <w:r w:rsidRPr="00995FA1">
        <w:rPr>
          <w:rFonts w:ascii="Arial" w:hAnsi="Arial" w:cs="Arial"/>
          <w:sz w:val="24"/>
          <w:szCs w:val="24"/>
        </w:rPr>
        <w:br/>
        <w:t xml:space="preserve">Básica – IDEB – 1ª a 8ª série;  classificação do Estado do Paraná no ENEM – Ensino Nacional do Ensino Médio em 2011; anos de escolaridade da população paranaense; gastos com educação por aluno; relação de investimentos entre educação básica e educação superior; salário médio pago na área da educação; índice do Estado do Paraná no Fundeb; taxa de analfabetismo na população com 16 anos ou mais; matrículas em curso superior sobre demanda; escolas públicas com esporte educacional no turno obrigatório;  acesso à Internet nas escolas do ensino fundamental e médio; percentual da população paranaense com ensino superior concluído; crianças e jovens de 04 a 17 anos na escola; demanda atendida de vagas no ensino médio; metros quadrados de escolas construídas e reformadas; </w:t>
      </w:r>
    </w:p>
    <w:p w14:paraId="28E3377C" w14:textId="205E7CE8" w:rsidR="00636FD6" w:rsidRPr="00995FA1" w:rsidRDefault="00636FD6" w:rsidP="00EC4975">
      <w:pPr>
        <w:pStyle w:val="m-3"/>
        <w:numPr>
          <w:ilvl w:val="0"/>
          <w:numId w:val="8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995FA1">
        <w:rPr>
          <w:rFonts w:ascii="Arial" w:hAnsi="Arial" w:cs="Arial"/>
          <w:sz w:val="24"/>
          <w:szCs w:val="24"/>
        </w:rPr>
        <w:t xml:space="preserve">da área social: pessoas que vivem em condição de pobreza; índice de desemprego; resultado com a política/programa de tratamento de dependentes químicos e doentes psiquiátricos; população em situação de rua (moradores de rua); pessoas que vivem em condição de indigência; índice de pobreza; domicílios com acesso à Internet; renda líquida por habitante; déficit de moradias no Paraná (urbanos e rurais); número de famílias vivendo em favelas; </w:t>
      </w:r>
    </w:p>
    <w:p w14:paraId="2FD44CC7" w14:textId="77777777" w:rsidR="00636FD6" w:rsidRPr="00995FA1" w:rsidRDefault="00636FD6" w:rsidP="00EC4975">
      <w:pPr>
        <w:pStyle w:val="m-3"/>
        <w:numPr>
          <w:ilvl w:val="0"/>
          <w:numId w:val="8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995FA1">
        <w:rPr>
          <w:rFonts w:ascii="Arial" w:hAnsi="Arial" w:cs="Arial"/>
          <w:sz w:val="24"/>
          <w:szCs w:val="24"/>
        </w:rPr>
        <w:t xml:space="preserve">da área de segurança: mortes no trânsito: por atropelamento, com motocicletas, automóvel; inquéritos policiais instaurados x solucionados; número de mortes por 100.000 habitantes; número de crimes de agressão a crianças, adolescentes, idosos e mulheres; crimes sexuais; crimes violentos fatais; número de homicídio totais e de homicídio juvenil; número de roubos; melhorias no sistema de segurança (contratações de policiais civis e militares, aquisição de equipamentos, </w:t>
      </w:r>
      <w:proofErr w:type="spellStart"/>
      <w:r w:rsidRPr="00995FA1">
        <w:rPr>
          <w:rFonts w:ascii="Arial" w:hAnsi="Arial" w:cs="Arial"/>
          <w:sz w:val="24"/>
          <w:szCs w:val="24"/>
        </w:rPr>
        <w:t>etc</w:t>
      </w:r>
      <w:proofErr w:type="spellEnd"/>
      <w:r w:rsidRPr="00995FA1">
        <w:rPr>
          <w:rFonts w:ascii="Arial" w:hAnsi="Arial" w:cs="Arial"/>
          <w:sz w:val="24"/>
          <w:szCs w:val="24"/>
        </w:rPr>
        <w:t xml:space="preserve">); carência de vagas no sistema penitenciário e medidas adotadas para corrigir tal carência; </w:t>
      </w:r>
    </w:p>
    <w:p w14:paraId="7E923D60" w14:textId="77777777" w:rsidR="00636FD6" w:rsidRPr="00995FA1" w:rsidRDefault="00636FD6" w:rsidP="00EC4975">
      <w:pPr>
        <w:pStyle w:val="m-3"/>
        <w:numPr>
          <w:ilvl w:val="0"/>
          <w:numId w:val="8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995FA1">
        <w:rPr>
          <w:rFonts w:ascii="Arial" w:hAnsi="Arial" w:cs="Arial"/>
          <w:sz w:val="24"/>
          <w:szCs w:val="24"/>
        </w:rPr>
        <w:lastRenderedPageBreak/>
        <w:t>da área de infraestrutura: quilômetros de estradas construídas e pavimentadas; consumo de energia produzida por fontes renováveis; área verde por habitante (m²</w:t>
      </w:r>
      <w:r>
        <w:rPr>
          <w:rFonts w:ascii="Arial" w:hAnsi="Arial" w:cs="Arial"/>
          <w:sz w:val="24"/>
          <w:szCs w:val="24"/>
        </w:rPr>
        <w:t>).</w:t>
      </w:r>
    </w:p>
    <w:p w14:paraId="4B499495" w14:textId="77777777" w:rsidR="00636FD6" w:rsidRPr="00FB54E5" w:rsidRDefault="00636FD6" w:rsidP="00EC4975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</w:rPr>
        <w:t>XII - Certidão de regularidade junto ao Conselho Regional de Contabilidade – CRC do profissional que assina os demonstrativos contábeis, emitida no exercício de 2012.</w:t>
      </w:r>
    </w:p>
    <w:p w14:paraId="60D5EE5F" w14:textId="77777777" w:rsidR="00636FD6" w:rsidRPr="00FB54E5" w:rsidRDefault="00636FD6" w:rsidP="00EC4975">
      <w:pPr>
        <w:spacing w:before="120"/>
        <w:ind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  <w:b/>
        </w:rPr>
        <w:t>Art. 5º</w:t>
      </w:r>
      <w:r w:rsidRPr="00FB54E5">
        <w:rPr>
          <w:rFonts w:ascii="Arial" w:hAnsi="Arial" w:cs="Arial"/>
        </w:rPr>
        <w:t xml:space="preserve"> A ausência de qualquer dos elementos exigidos nesta Instrução Normativa poderá constituir fator determinante de irregularidade formal da prestação de contas, sujeita à aplicação de multa prevista no art. 87 da Lei Complementar nº 113/2005, salvo quando expressamente declarada, pelo responsável, a sua inexistência ou inaplicabilidade. </w:t>
      </w:r>
    </w:p>
    <w:p w14:paraId="0A268EFA" w14:textId="77777777" w:rsidR="00636FD6" w:rsidRPr="00FB54E5" w:rsidRDefault="00636FD6" w:rsidP="00EC4975">
      <w:pPr>
        <w:spacing w:before="120"/>
        <w:ind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  <w:b/>
        </w:rPr>
        <w:t>Art. 6º</w:t>
      </w:r>
      <w:r w:rsidRPr="00FB54E5">
        <w:rPr>
          <w:rFonts w:ascii="Arial" w:hAnsi="Arial" w:cs="Arial"/>
        </w:rPr>
        <w:t xml:space="preserve"> As orientações técnicas sobre o contido nesta Instrução Normativa poderão ser obtidas junto à Diretoria de Contas Estaduais nos telefones (41)3350-1740 e (41)3350-1741 ou acessando o Canal de Comunicação, disponível no site deste Tribunal </w:t>
      </w:r>
      <w:hyperlink r:id="rId10" w:history="1">
        <w:r w:rsidRPr="00DD79A8">
          <w:rPr>
            <w:rStyle w:val="Hyperlink"/>
            <w:rFonts w:cs="Arial"/>
            <w:sz w:val="24"/>
          </w:rPr>
          <w:t>www.tce.pr.gov.br</w:t>
        </w:r>
      </w:hyperlink>
      <w:r w:rsidRPr="00FB54E5">
        <w:rPr>
          <w:rFonts w:ascii="Arial" w:hAnsi="Arial" w:cs="Arial"/>
        </w:rPr>
        <w:t xml:space="preserve"> na área Comunidade – Entidades </w:t>
      </w:r>
      <w:r w:rsidRPr="00FB54E5">
        <w:rPr>
          <w:rFonts w:ascii="Arial" w:hAnsi="Arial" w:cs="Arial"/>
        </w:rPr>
        <w:br/>
        <w:t xml:space="preserve">Estaduais – </w:t>
      </w:r>
      <w:r w:rsidRPr="00FB54E5">
        <w:rPr>
          <w:rFonts w:ascii="Arial" w:hAnsi="Arial" w:cs="Arial"/>
          <w:i/>
        </w:rPr>
        <w:t>banner</w:t>
      </w:r>
      <w:r w:rsidRPr="00FB54E5">
        <w:rPr>
          <w:rFonts w:ascii="Arial" w:hAnsi="Arial" w:cs="Arial"/>
        </w:rPr>
        <w:t xml:space="preserve"> Canal de Comunicação – selecionando Prestação de Contas de Órgãos e Entidades do Governo Estadual – Esclarecimentos sobre a Prestação de Contas.</w:t>
      </w:r>
    </w:p>
    <w:p w14:paraId="0447C5D8" w14:textId="77777777" w:rsidR="00636FD6" w:rsidRPr="00FB54E5" w:rsidRDefault="00636FD6" w:rsidP="00EC4975">
      <w:pPr>
        <w:spacing w:before="120"/>
        <w:ind w:firstLine="1134"/>
        <w:jc w:val="both"/>
        <w:rPr>
          <w:rFonts w:ascii="Arial" w:hAnsi="Arial" w:cs="Arial"/>
        </w:rPr>
      </w:pPr>
      <w:r w:rsidRPr="00FB54E5">
        <w:rPr>
          <w:rFonts w:ascii="Arial" w:hAnsi="Arial" w:cs="Arial"/>
          <w:b/>
        </w:rPr>
        <w:t>Art. 7º</w:t>
      </w:r>
      <w:r w:rsidRPr="00FB54E5">
        <w:rPr>
          <w:rFonts w:ascii="Arial" w:hAnsi="Arial" w:cs="Arial"/>
        </w:rPr>
        <w:t xml:space="preserve"> Esta Instrução Normativa entrará em vigor na data de sua publicação.</w:t>
      </w:r>
    </w:p>
    <w:p w14:paraId="507DABB6" w14:textId="77777777" w:rsidR="00636FD6" w:rsidRDefault="00636FD6" w:rsidP="005424FE">
      <w:pPr>
        <w:spacing w:before="240"/>
        <w:ind w:firstLine="1134"/>
        <w:jc w:val="both"/>
        <w:rPr>
          <w:rFonts w:ascii="Arial" w:hAnsi="Arial" w:cs="Arial"/>
        </w:rPr>
      </w:pPr>
    </w:p>
    <w:p w14:paraId="00314076" w14:textId="77777777" w:rsidR="00636FD6" w:rsidRDefault="00636FD6" w:rsidP="00636FD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17 de novembro de 2011.</w:t>
      </w:r>
    </w:p>
    <w:p w14:paraId="7C828C16" w14:textId="77777777" w:rsidR="00636FD6" w:rsidRDefault="00636FD6" w:rsidP="00636FD6">
      <w:pPr>
        <w:spacing w:line="360" w:lineRule="auto"/>
        <w:jc w:val="center"/>
        <w:rPr>
          <w:rFonts w:ascii="Arial" w:hAnsi="Arial" w:cs="Arial"/>
        </w:rPr>
      </w:pPr>
    </w:p>
    <w:p w14:paraId="3745220D" w14:textId="77777777" w:rsidR="00636FD6" w:rsidRDefault="00636FD6" w:rsidP="00636FD6">
      <w:pPr>
        <w:spacing w:line="360" w:lineRule="auto"/>
        <w:jc w:val="center"/>
        <w:rPr>
          <w:rFonts w:ascii="Arial" w:hAnsi="Arial" w:cs="Arial"/>
        </w:rPr>
      </w:pPr>
    </w:p>
    <w:p w14:paraId="723830E6" w14:textId="77777777" w:rsidR="00636FD6" w:rsidRPr="004961C1" w:rsidRDefault="00636FD6" w:rsidP="00636FD6">
      <w:pPr>
        <w:spacing w:line="360" w:lineRule="auto"/>
        <w:jc w:val="center"/>
        <w:rPr>
          <w:rFonts w:ascii="Arial" w:hAnsi="Arial" w:cs="Arial"/>
          <w:b/>
        </w:rPr>
      </w:pPr>
      <w:r w:rsidRPr="004961C1">
        <w:rPr>
          <w:rFonts w:ascii="Arial" w:hAnsi="Arial" w:cs="Arial"/>
          <w:b/>
        </w:rPr>
        <w:t>FERNANDO AUGUSTO MELLO GUIMARÃES</w:t>
      </w:r>
    </w:p>
    <w:p w14:paraId="70B8E222" w14:textId="77777777" w:rsidR="00636FD6" w:rsidRDefault="00636FD6" w:rsidP="00636FD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14:paraId="7FC838D8" w14:textId="77777777" w:rsidR="00636FD6" w:rsidRDefault="00636FD6" w:rsidP="00636FD6">
      <w:pPr>
        <w:spacing w:line="360" w:lineRule="auto"/>
        <w:ind w:firstLine="1134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F39B878" w14:textId="77777777" w:rsidR="00636FD6" w:rsidRPr="00FA5F97" w:rsidRDefault="00636FD6" w:rsidP="00636FD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ANEXO Nº I</w:t>
      </w:r>
    </w:p>
    <w:p w14:paraId="2466B321" w14:textId="77777777" w:rsidR="00636FD6" w:rsidRPr="00FA5F97" w:rsidRDefault="00636FD6" w:rsidP="00636FD6">
      <w:pPr>
        <w:spacing w:before="240" w:after="240"/>
        <w:jc w:val="center"/>
        <w:rPr>
          <w:rFonts w:ascii="Arial" w:hAnsi="Arial" w:cs="Arial"/>
          <w:b/>
        </w:rPr>
      </w:pPr>
      <w:r w:rsidRPr="00FA5F97">
        <w:rPr>
          <w:rFonts w:ascii="Arial" w:hAnsi="Arial" w:cs="Arial"/>
          <w:b/>
        </w:rPr>
        <w:t>DEMONSTRATIVO DOS GASTOS COM DIVULGAÇÃO E PROPAGANDA</w:t>
      </w:r>
      <w:r w:rsidRPr="00FA5F97">
        <w:rPr>
          <w:rFonts w:ascii="Arial" w:hAnsi="Arial" w:cs="Arial"/>
          <w:b/>
        </w:rPr>
        <w:br/>
        <w:t>PODER EXECUTIVO ESTADUAL – EXERCÍCIO DE 2011</w:t>
      </w:r>
    </w:p>
    <w:p w14:paraId="12F2C32C" w14:textId="77777777" w:rsidR="00636FD6" w:rsidRPr="00FA5F97" w:rsidRDefault="00636FD6" w:rsidP="00636FD6">
      <w:pPr>
        <w:spacing w:after="60"/>
        <w:jc w:val="right"/>
        <w:rPr>
          <w:rFonts w:ascii="Arial" w:hAnsi="Arial" w:cs="Arial"/>
          <w:sz w:val="12"/>
          <w:szCs w:val="12"/>
        </w:rPr>
      </w:pPr>
    </w:p>
    <w:p w14:paraId="06361BB8" w14:textId="77777777" w:rsidR="00636FD6" w:rsidRPr="00FA5F97" w:rsidRDefault="00636FD6" w:rsidP="00636FD6">
      <w:pPr>
        <w:spacing w:after="60"/>
        <w:jc w:val="right"/>
        <w:rPr>
          <w:rFonts w:ascii="Arial" w:hAnsi="Arial" w:cs="Arial"/>
          <w:sz w:val="12"/>
          <w:szCs w:val="12"/>
        </w:rPr>
      </w:pPr>
    </w:p>
    <w:p w14:paraId="64D2262D" w14:textId="77777777" w:rsidR="00636FD6" w:rsidRPr="00FA5F97" w:rsidRDefault="00636FD6" w:rsidP="00636FD6">
      <w:pPr>
        <w:spacing w:after="60"/>
        <w:jc w:val="right"/>
        <w:rPr>
          <w:rFonts w:ascii="Arial" w:hAnsi="Arial" w:cs="Arial"/>
          <w:sz w:val="12"/>
          <w:szCs w:val="12"/>
        </w:rPr>
      </w:pPr>
      <w:r w:rsidRPr="00FA5F97">
        <w:rPr>
          <w:rFonts w:ascii="Arial" w:hAnsi="Arial" w:cs="Arial"/>
          <w:sz w:val="12"/>
          <w:szCs w:val="12"/>
        </w:rPr>
        <w:t>Em R$</w:t>
      </w:r>
    </w:p>
    <w:tbl>
      <w:tblPr>
        <w:tblW w:w="918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418"/>
        <w:gridCol w:w="1417"/>
        <w:gridCol w:w="1418"/>
        <w:gridCol w:w="1417"/>
      </w:tblGrid>
      <w:tr w:rsidR="00636FD6" w:rsidRPr="00FA5F97" w14:paraId="4D0EBE68" w14:textId="77777777" w:rsidTr="00C54AA2">
        <w:tc>
          <w:tcPr>
            <w:tcW w:w="3510" w:type="dxa"/>
            <w:vMerge w:val="restart"/>
            <w:tcBorders>
              <w:top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6D0F7F5C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A5F97">
              <w:rPr>
                <w:rFonts w:ascii="Arial" w:hAnsi="Arial" w:cs="Arial"/>
                <w:b/>
                <w:sz w:val="14"/>
                <w:szCs w:val="14"/>
              </w:rPr>
              <w:t>UNIDADES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0695E5A9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A5F97">
              <w:rPr>
                <w:rFonts w:ascii="Arial" w:hAnsi="Arial" w:cs="Arial"/>
                <w:b/>
                <w:sz w:val="14"/>
                <w:szCs w:val="14"/>
              </w:rPr>
              <w:t>DESPESAS EMPENHADAS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3F9833F9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FA5F97">
              <w:rPr>
                <w:rFonts w:ascii="Arial" w:hAnsi="Arial" w:cs="Arial"/>
                <w:b/>
                <w:sz w:val="14"/>
                <w:szCs w:val="14"/>
              </w:rPr>
              <w:t>PADVs</w:t>
            </w:r>
            <w:proofErr w:type="spellEnd"/>
          </w:p>
        </w:tc>
      </w:tr>
      <w:tr w:rsidR="00636FD6" w:rsidRPr="00FA5F97" w14:paraId="71FB73B2" w14:textId="77777777" w:rsidTr="00C54AA2">
        <w:tc>
          <w:tcPr>
            <w:tcW w:w="3510" w:type="dxa"/>
            <w:vMerge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49AB8BA6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55194069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A5F97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A5F97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44C8E592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A5F97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6A1BDB51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A5F97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A5F97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49B9A4FE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A5F97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</w:tr>
      <w:tr w:rsidR="00636FD6" w:rsidRPr="00FA5F97" w14:paraId="77476AF9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92622F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b/>
                <w:sz w:val="12"/>
                <w:szCs w:val="12"/>
              </w:rPr>
            </w:pPr>
            <w:r w:rsidRPr="00FA5F97">
              <w:rPr>
                <w:rFonts w:ascii="Arial" w:hAnsi="Arial" w:cs="Arial"/>
                <w:b/>
                <w:sz w:val="12"/>
                <w:szCs w:val="12"/>
              </w:rPr>
              <w:t>ADMINISTRAÇÃO DIRETA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CD7BEA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17ADDB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7568F9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C48FE0F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331FF0F5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DFD762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FA5F97">
              <w:rPr>
                <w:rFonts w:ascii="Arial" w:hAnsi="Arial" w:cs="Arial"/>
                <w:sz w:val="12"/>
                <w:szCs w:val="12"/>
              </w:rPr>
              <w:t>- Listar as Secretarias de Estado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568711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88876A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BFF19C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7A4AA23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00852E4D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6BC496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b/>
                <w:sz w:val="12"/>
                <w:szCs w:val="12"/>
              </w:rPr>
            </w:pPr>
            <w:r w:rsidRPr="00FA5F97">
              <w:rPr>
                <w:rFonts w:ascii="Arial" w:hAnsi="Arial" w:cs="Arial"/>
                <w:b/>
                <w:sz w:val="12"/>
                <w:szCs w:val="12"/>
              </w:rPr>
              <w:t>ADMINISTRAÇÃO INDIRETA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61A9AD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B71D00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E069F5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04DB77E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4D07439F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4DE511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FA5F97">
              <w:rPr>
                <w:rFonts w:ascii="Arial" w:hAnsi="Arial" w:cs="Arial"/>
                <w:sz w:val="12"/>
                <w:szCs w:val="12"/>
              </w:rPr>
              <w:t>- Listar as Autarquias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596D49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C239A9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2AEA11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3624BEA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1125A393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BA0F04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FA5F97">
              <w:rPr>
                <w:rFonts w:ascii="Arial" w:hAnsi="Arial" w:cs="Arial"/>
                <w:sz w:val="12"/>
                <w:szCs w:val="12"/>
              </w:rPr>
              <w:t>- Listar os Órgãos de Regime Especial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EE7A4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695A98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C52ECB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A0F6B7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475FECCD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00F0C0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FA5F97">
              <w:rPr>
                <w:rFonts w:ascii="Arial" w:hAnsi="Arial" w:cs="Arial"/>
                <w:sz w:val="12"/>
                <w:szCs w:val="12"/>
              </w:rPr>
              <w:t>- Listar os Fundos Especiais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20F859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E45F40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26E9E6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DE7F99D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0688DD4B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0C5C8C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FA5F97">
              <w:rPr>
                <w:rFonts w:ascii="Arial" w:hAnsi="Arial" w:cs="Arial"/>
                <w:sz w:val="12"/>
                <w:szCs w:val="12"/>
              </w:rPr>
              <w:t>- Listar as Fundações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474C29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41B0EA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2CC9B1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142461F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043EEF33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9E4B68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FA5F97">
              <w:rPr>
                <w:rFonts w:ascii="Arial" w:hAnsi="Arial" w:cs="Arial"/>
                <w:sz w:val="12"/>
                <w:szCs w:val="12"/>
              </w:rPr>
              <w:t>- Listar os Serviços Sociais Autônomos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BFA15C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9E1253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31D411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DA168D2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3CF00CB5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6B1FC3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FA5F97">
              <w:rPr>
                <w:rFonts w:ascii="Arial" w:hAnsi="Arial" w:cs="Arial"/>
                <w:sz w:val="12"/>
                <w:szCs w:val="12"/>
              </w:rPr>
              <w:t>- Listar as Empresas Públicas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AE6A70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36020F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F9DC35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981A051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48BDABCB" w14:textId="77777777" w:rsidTr="00C54AA2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2447F4" w14:textId="77777777" w:rsidR="00636FD6" w:rsidRPr="00FA5F97" w:rsidRDefault="00636FD6" w:rsidP="00C54AA2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FA5F97">
              <w:rPr>
                <w:rFonts w:ascii="Arial" w:hAnsi="Arial" w:cs="Arial"/>
                <w:sz w:val="12"/>
                <w:szCs w:val="12"/>
              </w:rPr>
              <w:t>- Listar as Sociedades de Economia Mista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E9516D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E5B11F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C8A2BD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5181A81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6FD6" w:rsidRPr="00FA5F97" w14:paraId="6E6D10D5" w14:textId="77777777" w:rsidTr="00C54AA2">
        <w:tc>
          <w:tcPr>
            <w:tcW w:w="3510" w:type="dxa"/>
            <w:tcBorders>
              <w:top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2F7457EC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A5F97">
              <w:rPr>
                <w:rFonts w:ascii="Arial" w:hAnsi="Arial" w:cs="Arial"/>
                <w:b/>
                <w:sz w:val="14"/>
                <w:szCs w:val="14"/>
              </w:rPr>
              <w:t>TOTAL GERAL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1D5DD606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33E85D20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74497042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</w:tcBorders>
            <w:shd w:val="pct5" w:color="auto" w:fill="auto"/>
          </w:tcPr>
          <w:p w14:paraId="406499CC" w14:textId="77777777" w:rsidR="00636FD6" w:rsidRPr="00FA5F97" w:rsidRDefault="00636FD6" w:rsidP="00C54AA2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692BA088" w14:textId="77777777" w:rsidR="00636FD6" w:rsidRPr="00FA5F97" w:rsidRDefault="00636FD6" w:rsidP="00636FD6">
      <w:pPr>
        <w:jc w:val="center"/>
        <w:rPr>
          <w:rFonts w:ascii="Arial" w:hAnsi="Arial" w:cs="Arial"/>
          <w:b/>
        </w:rPr>
      </w:pPr>
    </w:p>
    <w:p w14:paraId="49BA63A3" w14:textId="77777777" w:rsidR="00636FD6" w:rsidRPr="00FA5F97" w:rsidRDefault="00636FD6" w:rsidP="00636FD6">
      <w:pPr>
        <w:jc w:val="center"/>
        <w:rPr>
          <w:rFonts w:ascii="Arial" w:hAnsi="Arial" w:cs="Arial"/>
          <w:b/>
        </w:rPr>
      </w:pP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394"/>
      </w:tblGrid>
      <w:tr w:rsidR="00636FD6" w:rsidRPr="00FA5F97" w14:paraId="6D09970D" w14:textId="77777777" w:rsidTr="00C54AA2">
        <w:tc>
          <w:tcPr>
            <w:tcW w:w="3544" w:type="dxa"/>
          </w:tcPr>
          <w:p w14:paraId="0E8D4314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C530817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786A528A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__________________________________</w:t>
            </w:r>
          </w:p>
          <w:p w14:paraId="21ED5F76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4394" w:type="dxa"/>
          </w:tcPr>
          <w:p w14:paraId="2A73F7ED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DFB1291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4042BDA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0F13289C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23F4B846" w14:textId="77777777" w:rsidR="00636FD6" w:rsidRPr="00FA5F97" w:rsidRDefault="00636FD6" w:rsidP="00636FD6">
      <w:pPr>
        <w:jc w:val="center"/>
        <w:rPr>
          <w:rFonts w:ascii="Arial" w:hAnsi="Arial" w:cs="Arial"/>
          <w:b/>
          <w:sz w:val="12"/>
          <w:szCs w:val="12"/>
        </w:rPr>
      </w:pPr>
      <w:r w:rsidRPr="00FA5F97">
        <w:rPr>
          <w:rFonts w:ascii="Arial" w:hAnsi="Arial" w:cs="Arial"/>
          <w:b/>
        </w:rPr>
        <w:br w:type="page"/>
      </w:r>
    </w:p>
    <w:p w14:paraId="7E4E144B" w14:textId="77777777" w:rsidR="00636FD6" w:rsidRPr="00FA5F97" w:rsidRDefault="00636FD6" w:rsidP="00636FD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ANEXO Nº II</w:t>
      </w:r>
    </w:p>
    <w:p w14:paraId="146D6A4C" w14:textId="77777777" w:rsidR="00636FD6" w:rsidRPr="00FA5F97" w:rsidRDefault="00636FD6" w:rsidP="00636FD6">
      <w:pPr>
        <w:spacing w:before="240" w:after="240"/>
        <w:jc w:val="center"/>
        <w:rPr>
          <w:rFonts w:ascii="Arial" w:hAnsi="Arial" w:cs="Arial"/>
          <w:sz w:val="18"/>
          <w:szCs w:val="18"/>
        </w:rPr>
      </w:pPr>
      <w:r w:rsidRPr="00FA5F97">
        <w:rPr>
          <w:rFonts w:ascii="Arial" w:hAnsi="Arial" w:cs="Arial"/>
          <w:b/>
        </w:rPr>
        <w:t>RESUMO DA DÍVIDA ATIVA</w:t>
      </w:r>
      <w:r w:rsidRPr="00FA5F97">
        <w:rPr>
          <w:rFonts w:ascii="Arial" w:hAnsi="Arial" w:cs="Arial"/>
          <w:b/>
        </w:rPr>
        <w:br/>
      </w:r>
      <w:r w:rsidRPr="00FA5F97">
        <w:rPr>
          <w:rFonts w:ascii="Arial" w:hAnsi="Arial" w:cs="Arial"/>
          <w:sz w:val="18"/>
          <w:szCs w:val="18"/>
        </w:rPr>
        <w:t>POSIÇÃO DE DEZEMBRO/2011</w:t>
      </w:r>
    </w:p>
    <w:p w14:paraId="4493B290" w14:textId="77777777" w:rsidR="00636FD6" w:rsidRPr="00FA5F97" w:rsidRDefault="00000000" w:rsidP="00636FD6">
      <w:pPr>
        <w:shd w:val="pct5" w:color="auto" w:fill="auto"/>
        <w:jc w:val="center"/>
      </w:pPr>
      <w:r>
        <w:pict w14:anchorId="0CD581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75pt;height:501pt">
            <v:imagedata r:id="rId11" o:title=""/>
          </v:shape>
        </w:pict>
      </w:r>
    </w:p>
    <w:p w14:paraId="713606B1" w14:textId="77777777" w:rsidR="00636FD6" w:rsidRPr="00FA5F97" w:rsidRDefault="00636FD6" w:rsidP="00636FD6">
      <w:pPr>
        <w:shd w:val="pct5" w:color="auto" w:fill="auto"/>
        <w:jc w:val="center"/>
      </w:pP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394"/>
      </w:tblGrid>
      <w:tr w:rsidR="00636FD6" w:rsidRPr="00FA5F97" w14:paraId="18677A48" w14:textId="77777777" w:rsidTr="00C54AA2">
        <w:tc>
          <w:tcPr>
            <w:tcW w:w="3544" w:type="dxa"/>
          </w:tcPr>
          <w:p w14:paraId="40AB9FF9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1324EE0C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ACD0CFE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__________________________________</w:t>
            </w:r>
          </w:p>
          <w:p w14:paraId="77781C73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4394" w:type="dxa"/>
          </w:tcPr>
          <w:p w14:paraId="55E8601C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EBC0795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1E7BD12C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0F1449FF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54CAC9F0" w14:textId="77777777" w:rsidR="00636FD6" w:rsidRDefault="00636FD6" w:rsidP="00636FD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</w:p>
    <w:p w14:paraId="02B1D55B" w14:textId="77777777" w:rsidR="00636FD6" w:rsidRPr="00FA5F97" w:rsidRDefault="00636FD6" w:rsidP="00636FD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ANEXO Nº III</w:t>
      </w:r>
    </w:p>
    <w:p w14:paraId="7B52BD60" w14:textId="77777777" w:rsidR="00636FD6" w:rsidRPr="00FA5F97" w:rsidRDefault="00636FD6" w:rsidP="00636FD6">
      <w:pPr>
        <w:spacing w:before="240" w:after="240"/>
        <w:jc w:val="center"/>
        <w:rPr>
          <w:rFonts w:ascii="Arial" w:hAnsi="Arial" w:cs="Arial"/>
          <w:sz w:val="18"/>
          <w:szCs w:val="18"/>
        </w:rPr>
      </w:pPr>
      <w:r w:rsidRPr="00FA5F97">
        <w:rPr>
          <w:rFonts w:ascii="Arial" w:hAnsi="Arial" w:cs="Arial"/>
          <w:b/>
        </w:rPr>
        <w:t xml:space="preserve">QUADRO DE PESSOAL DO PODER EXECUTIVO </w:t>
      </w:r>
      <w:r w:rsidRPr="00FA5F97">
        <w:rPr>
          <w:rFonts w:ascii="Arial" w:hAnsi="Arial" w:cs="Arial"/>
          <w:b/>
        </w:rPr>
        <w:br/>
      </w:r>
      <w:r w:rsidRPr="00FA5F97">
        <w:rPr>
          <w:rFonts w:ascii="Arial" w:hAnsi="Arial" w:cs="Arial"/>
          <w:sz w:val="18"/>
          <w:szCs w:val="18"/>
        </w:rPr>
        <w:t>POSIÇÃO DE 31/12/2011</w:t>
      </w:r>
    </w:p>
    <w:p w14:paraId="30380A5C" w14:textId="77777777" w:rsidR="00636FD6" w:rsidRPr="00FA5F97" w:rsidRDefault="00636FD6" w:rsidP="00636FD6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781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0"/>
        <w:gridCol w:w="2127"/>
      </w:tblGrid>
      <w:tr w:rsidR="00636FD6" w:rsidRPr="00FA5F97" w14:paraId="560D49CD" w14:textId="77777777" w:rsidTr="00C54AA2">
        <w:trPr>
          <w:trHeight w:val="49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70F226FD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NATUREZA DO CARGO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14CEA143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OCUPANTES DO CARGO</w:t>
            </w:r>
          </w:p>
        </w:tc>
      </w:tr>
      <w:tr w:rsidR="00636FD6" w:rsidRPr="00FA5F97" w14:paraId="3444523D" w14:textId="77777777" w:rsidTr="00C54AA2">
        <w:trPr>
          <w:trHeight w:val="135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6D51BBB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895C21B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36FD6" w:rsidRPr="00FA5F97" w14:paraId="15B2B58D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C13AC20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ESTATUTÁRIO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9BF29C8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6FD6" w:rsidRPr="00FA5F97" w14:paraId="3DF2E3CF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3EB982D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Advogados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039A170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0A6586CE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A1A56CA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Procuradores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F805C66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00591841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3F146D4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Instituições de Ensino Superior - IES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A37237D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035C5A98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5041EAC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Quadro próprio do Poder Executivo - QPPE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A199B01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32070670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0C3BE9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Quadro próprio do Magistério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5630015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2A871BCE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28EC43D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Quadro próprio da Polícia Civil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A0B31ED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4DF54954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C4264FC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Quadro próprio da Polícia Militar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A28E566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16399A7C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560AFC19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Quadro próprio do IAPAR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7E762A16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52C3DDB8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3AE850B4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Quadro próprio da APPA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7D6CD211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62EC5141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F1DCC50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Quadro próprio da Coordenação de Receita do Estado - CRE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533E530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602503A7" w14:textId="77777777" w:rsidTr="00C54AA2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EF61D55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2CFFCE0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11DA0956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709F530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ESTATUTÁRIO COM CARGO EM COMISSÃO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40FEBE9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6FD6" w:rsidRPr="00FA5F97" w14:paraId="2B537642" w14:textId="77777777" w:rsidTr="00C54AA2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74A4EADA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75D29964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095DB358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BEC8F3A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CELETISTA COM CARGO EM COMISSÃO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D3F8852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6FD6" w:rsidRPr="00FA5F97" w14:paraId="7E0E3319" w14:textId="77777777" w:rsidTr="00C54AA2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AB5ECB1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0462534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076F4F7C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1CB45EA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CARGO EM COMISSÃO SEM VÍNCULO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E45D0FC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6FD6" w:rsidRPr="00FA5F97" w14:paraId="6CC1691D" w14:textId="77777777" w:rsidTr="00C54AA2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448FCDF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F19D307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0FEDAC1F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2EA78DE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CLT TEMPORÁRIOS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82BB5E4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6FD6" w:rsidRPr="00FA5F97" w14:paraId="7389DACB" w14:textId="77777777" w:rsidTr="00C54AA2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BF0CEE5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03DF26B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6DDF1104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A9B9B7B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CONTRATOS DE REGIME ESPECIAL - </w:t>
            </w:r>
            <w:proofErr w:type="spellStart"/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CRE's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EA8695F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6FD6" w:rsidRPr="00FA5F97" w14:paraId="3DAB91AB" w14:textId="77777777" w:rsidTr="00C54AA2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19CA670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1A9E464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366FB449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A000F94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CELETISTAS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F62A563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6FD6" w:rsidRPr="00FA5F97" w14:paraId="158E2E63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6642EF4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Empresas Dependentes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C6A500E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20BF91BA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A9644D7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Terceirizados SEED PR 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1DB9A69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2D9C7DF5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0464F67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Terceirizados APAES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4612385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76C5F422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798F545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Terceirizados DEPEN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2064D07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05EAD08E" w14:textId="77777777" w:rsidTr="00C54AA2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333C074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Outros Terceirizados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36ADE9C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64A43AF8" w14:textId="77777777" w:rsidTr="00C54AA2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C4F8ED0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3267005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35F88424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B771D0E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ESTAGIÁRIOS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3A25735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6FD6" w:rsidRPr="00FA5F97" w14:paraId="641B9B60" w14:textId="77777777" w:rsidTr="00C54AA2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9F22489" w14:textId="77777777" w:rsidR="00636FD6" w:rsidRPr="00FA5F97" w:rsidRDefault="00636FD6" w:rsidP="00C54AA2">
            <w:pPr>
              <w:rPr>
                <w:rFonts w:ascii="Arial" w:hAnsi="Arial" w:cs="Arial"/>
                <w:sz w:val="18"/>
                <w:szCs w:val="18"/>
              </w:rPr>
            </w:pPr>
            <w:r w:rsidRPr="00FA5F9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9704BDF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FD6" w:rsidRPr="00FA5F97" w14:paraId="2847E86B" w14:textId="77777777" w:rsidTr="00C54AA2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224AB56" w14:textId="77777777" w:rsidR="00636FD6" w:rsidRPr="00FA5F97" w:rsidRDefault="00636FD6" w:rsidP="00C54A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5F97">
              <w:rPr>
                <w:rFonts w:ascii="Arial" w:hAnsi="Arial" w:cs="Arial"/>
                <w:b/>
                <w:bCs/>
                <w:sz w:val="18"/>
                <w:szCs w:val="18"/>
              </w:rPr>
              <w:t>TOTAL EXECUTIVO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3CDC694" w14:textId="77777777" w:rsidR="00636FD6" w:rsidRPr="00FA5F97" w:rsidRDefault="00636FD6" w:rsidP="00C54A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9AC23BD" w14:textId="77777777" w:rsidR="00636FD6" w:rsidRPr="00FA5F97" w:rsidRDefault="00636FD6" w:rsidP="00636FD6">
      <w:pPr>
        <w:pStyle w:val="Ttulo9"/>
        <w:ind w:left="0"/>
        <w:rPr>
          <w:rFonts w:ascii="Arial" w:hAnsi="Arial" w:cs="Arial"/>
          <w:color w:val="auto"/>
        </w:rPr>
      </w:pP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394"/>
      </w:tblGrid>
      <w:tr w:rsidR="00636FD6" w:rsidRPr="00FA5F97" w14:paraId="6B45A611" w14:textId="77777777" w:rsidTr="00C54AA2">
        <w:tc>
          <w:tcPr>
            <w:tcW w:w="3544" w:type="dxa"/>
          </w:tcPr>
          <w:p w14:paraId="0BE405D2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5BFFBF1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71311E4B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__________________________________</w:t>
            </w:r>
          </w:p>
          <w:p w14:paraId="046429F9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4394" w:type="dxa"/>
          </w:tcPr>
          <w:p w14:paraId="11AAD95A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2610565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F18DA45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377A5618" w14:textId="77777777" w:rsidR="00636FD6" w:rsidRPr="00FA5F97" w:rsidRDefault="00636FD6" w:rsidP="00C54AA2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A5F97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6A00C1B9" w14:textId="77777777" w:rsidR="00636FD6" w:rsidRPr="00FA5F97" w:rsidRDefault="00636FD6" w:rsidP="00636FD6">
      <w:pPr>
        <w:pStyle w:val="Ttulo"/>
        <w:spacing w:before="120" w:after="120"/>
      </w:pPr>
    </w:p>
    <w:p w14:paraId="3A14D79C" w14:textId="77777777" w:rsidR="00416D6F" w:rsidRPr="00636FD6" w:rsidRDefault="00416D6F" w:rsidP="00636FD6"/>
    <w:sectPr w:rsidR="00416D6F" w:rsidRPr="00636FD6" w:rsidSect="005424FE">
      <w:headerReference w:type="default" r:id="rId12"/>
      <w:footnotePr>
        <w:numFmt w:val="chicago"/>
      </w:footnotePr>
      <w:pgSz w:w="11907" w:h="16840" w:code="9"/>
      <w:pgMar w:top="1418" w:right="1701" w:bottom="1418" w:left="1701" w:header="851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F929" w14:textId="77777777" w:rsidR="00004624" w:rsidRDefault="00004624">
      <w:r>
        <w:separator/>
      </w:r>
    </w:p>
  </w:endnote>
  <w:endnote w:type="continuationSeparator" w:id="0">
    <w:p w14:paraId="510D31B7" w14:textId="77777777" w:rsidR="00004624" w:rsidRDefault="0000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FE9E6" w14:textId="77777777" w:rsidR="00004624" w:rsidRDefault="00004624">
      <w:r>
        <w:separator/>
      </w:r>
    </w:p>
  </w:footnote>
  <w:footnote w:type="continuationSeparator" w:id="0">
    <w:p w14:paraId="38E661D4" w14:textId="77777777" w:rsidR="00004624" w:rsidRDefault="00004624">
      <w:r>
        <w:continuationSeparator/>
      </w:r>
    </w:p>
  </w:footnote>
  <w:footnote w:id="1">
    <w:p w14:paraId="60786997" w14:textId="77777777" w:rsidR="00625B56" w:rsidRPr="00FF6009" w:rsidRDefault="00625B56" w:rsidP="00625B56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0677B1FB" w14:textId="662A9403" w:rsidR="00625B56" w:rsidRPr="00112638" w:rsidRDefault="00D21C39" w:rsidP="00112638">
      <w:pPr>
        <w:pStyle w:val="Textodenotaderodap"/>
        <w:numPr>
          <w:ilvl w:val="0"/>
          <w:numId w:val="12"/>
        </w:numPr>
        <w:ind w:left="426" w:hanging="284"/>
        <w:contextualSpacing/>
        <w:jc w:val="both"/>
        <w:rPr>
          <w:rFonts w:ascii="Arial" w:hAnsi="Arial" w:cs="Arial"/>
        </w:rPr>
      </w:pPr>
      <w:r w:rsidRPr="00112638">
        <w:rPr>
          <w:rFonts w:ascii="Arial" w:hAnsi="Arial" w:cs="Arial"/>
          <w:bCs/>
        </w:rPr>
        <w:t xml:space="preserve">Este texto não substitui o publicado no periódico: </w:t>
      </w:r>
      <w:hyperlink r:id="rId1" w:history="1">
        <w:r w:rsidR="004B5911" w:rsidRPr="00112638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4B5911" w:rsidRPr="00112638">
          <w:rPr>
            <w:rStyle w:val="Hyperlink"/>
            <w:rFonts w:cs="Arial"/>
            <w:bCs/>
            <w:sz w:val="20"/>
          </w:rPr>
          <w:t>,</w:t>
        </w:r>
        <w:r w:rsidR="004B5911" w:rsidRPr="00112638">
          <w:rPr>
            <w:rStyle w:val="Hyperlink"/>
            <w:rFonts w:cs="Arial"/>
            <w:sz w:val="20"/>
          </w:rPr>
          <w:t xml:space="preserve"> Curitiba, PR, n. 329, 9 dez. 2011, p. 181-183</w:t>
        </w:r>
      </w:hyperlink>
      <w:r w:rsidR="004B5911" w:rsidRPr="00112638">
        <w:rPr>
          <w:rFonts w:ascii="Arial" w:hAnsi="Arial" w:cs="Arial"/>
        </w:rPr>
        <w:t>.</w:t>
      </w:r>
    </w:p>
    <w:p w14:paraId="687E05A5" w14:textId="320908C1" w:rsidR="00625B56" w:rsidRPr="00112638" w:rsidRDefault="00803F3C" w:rsidP="00112638">
      <w:pPr>
        <w:numPr>
          <w:ilvl w:val="0"/>
          <w:numId w:val="12"/>
        </w:numPr>
        <w:ind w:left="426" w:hanging="284"/>
        <w:rPr>
          <w:rStyle w:val="Hyperlink"/>
          <w:rFonts w:cs="Arial"/>
          <w:color w:val="auto"/>
          <w:sz w:val="20"/>
          <w:szCs w:val="20"/>
          <w:u w:val="none"/>
        </w:rPr>
      </w:pPr>
      <w:r w:rsidRPr="00112638">
        <w:rPr>
          <w:rFonts w:ascii="Arial" w:hAnsi="Arial" w:cs="Arial"/>
          <w:sz w:val="20"/>
          <w:szCs w:val="20"/>
        </w:rPr>
        <w:t xml:space="preserve">Origem: </w:t>
      </w:r>
      <w:r w:rsidR="00783C63" w:rsidRPr="00112638">
        <w:rPr>
          <w:rFonts w:ascii="Arial" w:hAnsi="Arial" w:cs="Arial"/>
          <w:sz w:val="20"/>
          <w:szCs w:val="20"/>
        </w:rPr>
        <w:t xml:space="preserve">Processo n. 64196-3/11 – </w:t>
      </w:r>
      <w:hyperlink r:id="rId2" w:history="1">
        <w:r w:rsidR="00783C63" w:rsidRPr="00112638">
          <w:rPr>
            <w:rStyle w:val="Hyperlink"/>
            <w:rFonts w:cs="Arial"/>
            <w:sz w:val="20"/>
            <w:szCs w:val="20"/>
          </w:rPr>
          <w:t>Acórdão n. 2260/2011 – Tribunal Pleno.</w:t>
        </w:r>
      </w:hyperlink>
    </w:p>
    <w:p w14:paraId="6BABAEE3" w14:textId="3187EDEC" w:rsidR="00E36E24" w:rsidRPr="00112638" w:rsidRDefault="00E36E24" w:rsidP="00112638">
      <w:pPr>
        <w:numPr>
          <w:ilvl w:val="0"/>
          <w:numId w:val="12"/>
        </w:numPr>
        <w:ind w:left="426" w:hanging="284"/>
        <w:rPr>
          <w:rStyle w:val="Hyperlink"/>
          <w:rFonts w:cs="Arial"/>
          <w:b/>
          <w:bCs/>
          <w:color w:val="auto"/>
          <w:sz w:val="20"/>
          <w:szCs w:val="20"/>
          <w:u w:val="none"/>
        </w:rPr>
      </w:pPr>
      <w:r w:rsidRPr="00112638">
        <w:rPr>
          <w:rStyle w:val="Hyperlink"/>
          <w:rFonts w:cs="Arial"/>
          <w:b/>
          <w:bCs/>
          <w:color w:val="auto"/>
          <w:sz w:val="20"/>
          <w:szCs w:val="20"/>
          <w:u w:val="none"/>
        </w:rPr>
        <w:t>Ver também:</w:t>
      </w:r>
    </w:p>
    <w:p w14:paraId="3142BF75" w14:textId="77777777" w:rsidR="00A72B80" w:rsidRPr="00A72B80" w:rsidRDefault="00000000" w:rsidP="00A72B80">
      <w:pPr>
        <w:ind w:firstLine="426"/>
        <w:rPr>
          <w:rFonts w:ascii="Arial" w:hAnsi="Arial" w:cs="Arial"/>
          <w:color w:val="FF0000"/>
          <w:sz w:val="20"/>
          <w:szCs w:val="20"/>
        </w:rPr>
      </w:pPr>
      <w:hyperlink r:id="rId3" w:history="1">
        <w:r w:rsidR="00A72B80" w:rsidRPr="00A72B80">
          <w:rPr>
            <w:rStyle w:val="Hyperlink"/>
            <w:rFonts w:cs="Arial"/>
            <w:sz w:val="20"/>
            <w:szCs w:val="20"/>
          </w:rPr>
          <w:t>Acórdão n. 2305/2010 – Tribunal Pleno</w:t>
        </w:r>
      </w:hyperlink>
      <w:r w:rsidR="00A72B80" w:rsidRPr="00A72B80">
        <w:rPr>
          <w:rFonts w:ascii="Arial" w:hAnsi="Arial" w:cs="Arial"/>
          <w:color w:val="FF0000"/>
          <w:sz w:val="20"/>
          <w:szCs w:val="20"/>
        </w:rPr>
        <w:t>.</w:t>
      </w:r>
    </w:p>
    <w:p w14:paraId="357A34F5" w14:textId="2BF9F801" w:rsidR="00E36E24" w:rsidRPr="00836B9F" w:rsidRDefault="00000000" w:rsidP="00A72B80">
      <w:pPr>
        <w:ind w:firstLine="426"/>
        <w:rPr>
          <w:sz w:val="20"/>
          <w:szCs w:val="20"/>
        </w:rPr>
      </w:pPr>
      <w:hyperlink r:id="rId4" w:history="1">
        <w:r w:rsidR="00836B9F" w:rsidRPr="00836B9F">
          <w:rPr>
            <w:rStyle w:val="Hyperlink"/>
            <w:rFonts w:cs="Arial"/>
            <w:sz w:val="20"/>
            <w:szCs w:val="20"/>
          </w:rPr>
          <w:t>Acórdão de Parecer Prévio n. 176/2011 – Tribunal Pleno</w:t>
        </w:r>
      </w:hyperlink>
      <w:r w:rsidR="00836B9F" w:rsidRPr="00836B9F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988F" w14:textId="43E5AF52" w:rsidR="005D58C5" w:rsidRDefault="00000000" w:rsidP="004B690A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00AF08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TC colorido - medio"/>
          <w10:wrap type="square"/>
        </v:shape>
      </w:pict>
    </w:r>
    <w:r w:rsidR="005D58C5" w:rsidRPr="00E4084B">
      <w:rPr>
        <w:rFonts w:ascii="Arial" w:hAnsi="Arial" w:cs="Arial"/>
        <w:b/>
        <w:sz w:val="30"/>
        <w:szCs w:val="30"/>
      </w:rPr>
      <w:t>TRIBUNAL DE CONTAS DO ESTADO DO PARANÁ</w:t>
    </w:r>
  </w:p>
  <w:p w14:paraId="22AE5CE5" w14:textId="77777777" w:rsidR="004B690A" w:rsidRDefault="004B690A" w:rsidP="00E36E24">
    <w:pPr>
      <w:tabs>
        <w:tab w:val="center" w:pos="4252"/>
        <w:tab w:val="right" w:pos="8504"/>
      </w:tabs>
      <w:spacing w:before="120" w:after="12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FCD"/>
    <w:multiLevelType w:val="hybridMultilevel"/>
    <w:tmpl w:val="CF70825A"/>
    <w:lvl w:ilvl="0" w:tplc="3B6A9B36">
      <w:start w:val="1"/>
      <w:numFmt w:val="lowerLetter"/>
      <w:lvlText w:val="%1)"/>
      <w:lvlJc w:val="left"/>
      <w:pPr>
        <w:ind w:left="2858" w:hanging="1440"/>
      </w:pPr>
      <w:rPr>
        <w:rFonts w:hint="default"/>
        <w:i w:val="0"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5770E2C6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265B3"/>
    <w:multiLevelType w:val="hybridMultilevel"/>
    <w:tmpl w:val="6A5A7FE4"/>
    <w:lvl w:ilvl="0" w:tplc="BC4A05C2">
      <w:start w:val="1"/>
      <w:numFmt w:val="lowerLetter"/>
      <w:lvlText w:val="%1)"/>
      <w:lvlJc w:val="left"/>
      <w:pPr>
        <w:ind w:left="2574" w:hanging="1440"/>
      </w:pPr>
      <w:rPr>
        <w:rFonts w:hint="default"/>
        <w:i w:val="0"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E612427"/>
    <w:multiLevelType w:val="hybridMultilevel"/>
    <w:tmpl w:val="658E9556"/>
    <w:lvl w:ilvl="0" w:tplc="906294F4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F766D9"/>
    <w:multiLevelType w:val="hybridMultilevel"/>
    <w:tmpl w:val="AA82C414"/>
    <w:lvl w:ilvl="0" w:tplc="BFF6E57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928CF"/>
    <w:multiLevelType w:val="hybridMultilevel"/>
    <w:tmpl w:val="CA1ACC42"/>
    <w:lvl w:ilvl="0" w:tplc="88328E64">
      <w:start w:val="1"/>
      <w:numFmt w:val="lowerLetter"/>
      <w:lvlText w:val="%1)"/>
      <w:lvlJc w:val="left"/>
      <w:pPr>
        <w:ind w:left="284" w:firstLine="850"/>
      </w:pPr>
      <w:rPr>
        <w:rFonts w:hint="default"/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2993821"/>
    <w:multiLevelType w:val="hybridMultilevel"/>
    <w:tmpl w:val="E408A4B6"/>
    <w:lvl w:ilvl="0" w:tplc="04160001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5F377F95"/>
    <w:multiLevelType w:val="hybridMultilevel"/>
    <w:tmpl w:val="3D04481E"/>
    <w:lvl w:ilvl="0" w:tplc="0BA880F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5193E"/>
    <w:multiLevelType w:val="hybridMultilevel"/>
    <w:tmpl w:val="28CC7E6C"/>
    <w:lvl w:ilvl="0" w:tplc="FFFFFFFF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9D48D6"/>
    <w:multiLevelType w:val="hybridMultilevel"/>
    <w:tmpl w:val="E36C32AA"/>
    <w:lvl w:ilvl="0" w:tplc="92F64EE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A2E248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0080914">
    <w:abstractNumId w:val="6"/>
  </w:num>
  <w:num w:numId="2" w16cid:durableId="1568107504">
    <w:abstractNumId w:val="9"/>
  </w:num>
  <w:num w:numId="3" w16cid:durableId="609896392">
    <w:abstractNumId w:val="1"/>
  </w:num>
  <w:num w:numId="4" w16cid:durableId="548158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2955703">
    <w:abstractNumId w:val="8"/>
  </w:num>
  <w:num w:numId="6" w16cid:durableId="934560269">
    <w:abstractNumId w:val="0"/>
  </w:num>
  <w:num w:numId="7" w16cid:durableId="661737388">
    <w:abstractNumId w:val="2"/>
  </w:num>
  <w:num w:numId="8" w16cid:durableId="922645305">
    <w:abstractNumId w:val="5"/>
  </w:num>
  <w:num w:numId="9" w16cid:durableId="705566194">
    <w:abstractNumId w:val="8"/>
  </w:num>
  <w:num w:numId="10" w16cid:durableId="1253973150">
    <w:abstractNumId w:val="3"/>
  </w:num>
  <w:num w:numId="11" w16cid:durableId="1133477325">
    <w:abstractNumId w:val="4"/>
  </w:num>
  <w:num w:numId="12" w16cid:durableId="110739157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4624"/>
    <w:rsid w:val="000065ED"/>
    <w:rsid w:val="00011647"/>
    <w:rsid w:val="00011DFA"/>
    <w:rsid w:val="00013A8D"/>
    <w:rsid w:val="00014E3A"/>
    <w:rsid w:val="000277DD"/>
    <w:rsid w:val="000315A9"/>
    <w:rsid w:val="0003322C"/>
    <w:rsid w:val="00033345"/>
    <w:rsid w:val="00034E1B"/>
    <w:rsid w:val="00043C11"/>
    <w:rsid w:val="00045518"/>
    <w:rsid w:val="00045DAF"/>
    <w:rsid w:val="000534AA"/>
    <w:rsid w:val="00055F14"/>
    <w:rsid w:val="00057074"/>
    <w:rsid w:val="00057435"/>
    <w:rsid w:val="00060C86"/>
    <w:rsid w:val="00062365"/>
    <w:rsid w:val="00063B2D"/>
    <w:rsid w:val="000720A7"/>
    <w:rsid w:val="00074D00"/>
    <w:rsid w:val="000753E8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49E5"/>
    <w:rsid w:val="000A5263"/>
    <w:rsid w:val="000A5DD5"/>
    <w:rsid w:val="000A6A7E"/>
    <w:rsid w:val="000B2B7A"/>
    <w:rsid w:val="000B5822"/>
    <w:rsid w:val="000B6EAE"/>
    <w:rsid w:val="000B72B7"/>
    <w:rsid w:val="000C0190"/>
    <w:rsid w:val="000C264C"/>
    <w:rsid w:val="000C419D"/>
    <w:rsid w:val="000E308B"/>
    <w:rsid w:val="000E3ECE"/>
    <w:rsid w:val="000E4786"/>
    <w:rsid w:val="000F1735"/>
    <w:rsid w:val="000F2DC3"/>
    <w:rsid w:val="000F461B"/>
    <w:rsid w:val="000F5E0F"/>
    <w:rsid w:val="00103EDB"/>
    <w:rsid w:val="00105D5F"/>
    <w:rsid w:val="001076A9"/>
    <w:rsid w:val="00112638"/>
    <w:rsid w:val="001145A1"/>
    <w:rsid w:val="001151CE"/>
    <w:rsid w:val="001161DF"/>
    <w:rsid w:val="00121276"/>
    <w:rsid w:val="001300AD"/>
    <w:rsid w:val="001354ED"/>
    <w:rsid w:val="001363F3"/>
    <w:rsid w:val="00136AD0"/>
    <w:rsid w:val="001370F9"/>
    <w:rsid w:val="0013792C"/>
    <w:rsid w:val="001416D5"/>
    <w:rsid w:val="00145E55"/>
    <w:rsid w:val="00146728"/>
    <w:rsid w:val="001467D0"/>
    <w:rsid w:val="00153143"/>
    <w:rsid w:val="0015499F"/>
    <w:rsid w:val="00157C90"/>
    <w:rsid w:val="00166C64"/>
    <w:rsid w:val="00167A10"/>
    <w:rsid w:val="0017170A"/>
    <w:rsid w:val="00173D53"/>
    <w:rsid w:val="00173DE4"/>
    <w:rsid w:val="00175F36"/>
    <w:rsid w:val="00180503"/>
    <w:rsid w:val="00182B42"/>
    <w:rsid w:val="00187D39"/>
    <w:rsid w:val="0019229A"/>
    <w:rsid w:val="00194468"/>
    <w:rsid w:val="001A0C13"/>
    <w:rsid w:val="001A43FC"/>
    <w:rsid w:val="001A471C"/>
    <w:rsid w:val="001A4B51"/>
    <w:rsid w:val="001B7B85"/>
    <w:rsid w:val="001B7D13"/>
    <w:rsid w:val="001C0B54"/>
    <w:rsid w:val="001C3E29"/>
    <w:rsid w:val="001C3F3E"/>
    <w:rsid w:val="001C511B"/>
    <w:rsid w:val="001C5C20"/>
    <w:rsid w:val="001C6309"/>
    <w:rsid w:val="001C65FA"/>
    <w:rsid w:val="001C7A9C"/>
    <w:rsid w:val="001D1375"/>
    <w:rsid w:val="001E379B"/>
    <w:rsid w:val="001E51DC"/>
    <w:rsid w:val="001F31A0"/>
    <w:rsid w:val="001F6358"/>
    <w:rsid w:val="001F6555"/>
    <w:rsid w:val="00201625"/>
    <w:rsid w:val="00210F11"/>
    <w:rsid w:val="002154EF"/>
    <w:rsid w:val="002160ED"/>
    <w:rsid w:val="00216B96"/>
    <w:rsid w:val="002237EA"/>
    <w:rsid w:val="00223A96"/>
    <w:rsid w:val="00230B07"/>
    <w:rsid w:val="00237693"/>
    <w:rsid w:val="00243878"/>
    <w:rsid w:val="00246142"/>
    <w:rsid w:val="0025698A"/>
    <w:rsid w:val="002616E9"/>
    <w:rsid w:val="00263FA2"/>
    <w:rsid w:val="0026567C"/>
    <w:rsid w:val="002763E9"/>
    <w:rsid w:val="00276B1C"/>
    <w:rsid w:val="00277701"/>
    <w:rsid w:val="002806B5"/>
    <w:rsid w:val="00281E52"/>
    <w:rsid w:val="0028202C"/>
    <w:rsid w:val="00284E76"/>
    <w:rsid w:val="002867E9"/>
    <w:rsid w:val="00292C8E"/>
    <w:rsid w:val="00296B8F"/>
    <w:rsid w:val="002A3635"/>
    <w:rsid w:val="002B25DC"/>
    <w:rsid w:val="002B2C6E"/>
    <w:rsid w:val="002B4C1B"/>
    <w:rsid w:val="002B5E17"/>
    <w:rsid w:val="002C5608"/>
    <w:rsid w:val="002C6943"/>
    <w:rsid w:val="002C7500"/>
    <w:rsid w:val="002D03AF"/>
    <w:rsid w:val="002D21DE"/>
    <w:rsid w:val="002D36BF"/>
    <w:rsid w:val="002D5584"/>
    <w:rsid w:val="002D60C5"/>
    <w:rsid w:val="002D60E5"/>
    <w:rsid w:val="002D7AF9"/>
    <w:rsid w:val="002E484E"/>
    <w:rsid w:val="002E6058"/>
    <w:rsid w:val="002F332E"/>
    <w:rsid w:val="003016D1"/>
    <w:rsid w:val="00302EFE"/>
    <w:rsid w:val="00302F21"/>
    <w:rsid w:val="00304059"/>
    <w:rsid w:val="00306472"/>
    <w:rsid w:val="00307E5D"/>
    <w:rsid w:val="00311F69"/>
    <w:rsid w:val="00315F70"/>
    <w:rsid w:val="003163FE"/>
    <w:rsid w:val="00317646"/>
    <w:rsid w:val="00323DB0"/>
    <w:rsid w:val="00333FCF"/>
    <w:rsid w:val="00334218"/>
    <w:rsid w:val="003355E4"/>
    <w:rsid w:val="00335D09"/>
    <w:rsid w:val="003371F9"/>
    <w:rsid w:val="00345847"/>
    <w:rsid w:val="00350633"/>
    <w:rsid w:val="00351974"/>
    <w:rsid w:val="00353C23"/>
    <w:rsid w:val="0035567B"/>
    <w:rsid w:val="003564E3"/>
    <w:rsid w:val="00356BD0"/>
    <w:rsid w:val="00357793"/>
    <w:rsid w:val="003659B7"/>
    <w:rsid w:val="00366B8F"/>
    <w:rsid w:val="00370092"/>
    <w:rsid w:val="0038182C"/>
    <w:rsid w:val="003902BC"/>
    <w:rsid w:val="0039076F"/>
    <w:rsid w:val="0039084A"/>
    <w:rsid w:val="00391224"/>
    <w:rsid w:val="00391AFF"/>
    <w:rsid w:val="003941BD"/>
    <w:rsid w:val="003A2964"/>
    <w:rsid w:val="003A4F77"/>
    <w:rsid w:val="003A50FA"/>
    <w:rsid w:val="003B1040"/>
    <w:rsid w:val="003B249A"/>
    <w:rsid w:val="003B32E1"/>
    <w:rsid w:val="003B4166"/>
    <w:rsid w:val="003B7321"/>
    <w:rsid w:val="003C045D"/>
    <w:rsid w:val="003C1BC8"/>
    <w:rsid w:val="003C21D8"/>
    <w:rsid w:val="003C2472"/>
    <w:rsid w:val="003D4299"/>
    <w:rsid w:val="003D619A"/>
    <w:rsid w:val="003E1E43"/>
    <w:rsid w:val="003E5F18"/>
    <w:rsid w:val="003E7B56"/>
    <w:rsid w:val="003F3546"/>
    <w:rsid w:val="003F5546"/>
    <w:rsid w:val="003F5819"/>
    <w:rsid w:val="003F6F5F"/>
    <w:rsid w:val="00404995"/>
    <w:rsid w:val="004051C6"/>
    <w:rsid w:val="00410349"/>
    <w:rsid w:val="004120F0"/>
    <w:rsid w:val="00415FB6"/>
    <w:rsid w:val="00416BF6"/>
    <w:rsid w:val="00416D6F"/>
    <w:rsid w:val="0041727A"/>
    <w:rsid w:val="004173E4"/>
    <w:rsid w:val="00426B8F"/>
    <w:rsid w:val="00431A75"/>
    <w:rsid w:val="0043337E"/>
    <w:rsid w:val="00433E2C"/>
    <w:rsid w:val="00441D86"/>
    <w:rsid w:val="0044250B"/>
    <w:rsid w:val="00444A2D"/>
    <w:rsid w:val="00446860"/>
    <w:rsid w:val="004476CE"/>
    <w:rsid w:val="0045093D"/>
    <w:rsid w:val="00452835"/>
    <w:rsid w:val="004646EC"/>
    <w:rsid w:val="004705CB"/>
    <w:rsid w:val="00471E42"/>
    <w:rsid w:val="00474EBD"/>
    <w:rsid w:val="0047688D"/>
    <w:rsid w:val="00476F8F"/>
    <w:rsid w:val="00481CA9"/>
    <w:rsid w:val="00484635"/>
    <w:rsid w:val="0048471C"/>
    <w:rsid w:val="00487BDC"/>
    <w:rsid w:val="004961C1"/>
    <w:rsid w:val="004A1434"/>
    <w:rsid w:val="004A3DD5"/>
    <w:rsid w:val="004A6A0A"/>
    <w:rsid w:val="004B0ECD"/>
    <w:rsid w:val="004B350E"/>
    <w:rsid w:val="004B5911"/>
    <w:rsid w:val="004B5AE2"/>
    <w:rsid w:val="004B690A"/>
    <w:rsid w:val="004B7779"/>
    <w:rsid w:val="004C09B4"/>
    <w:rsid w:val="004C5059"/>
    <w:rsid w:val="004D0750"/>
    <w:rsid w:val="004D091F"/>
    <w:rsid w:val="004D22DA"/>
    <w:rsid w:val="004D57BE"/>
    <w:rsid w:val="004D64A4"/>
    <w:rsid w:val="004D68F0"/>
    <w:rsid w:val="004D754E"/>
    <w:rsid w:val="004E0119"/>
    <w:rsid w:val="004E08B1"/>
    <w:rsid w:val="004E4B02"/>
    <w:rsid w:val="004E74AF"/>
    <w:rsid w:val="004F130C"/>
    <w:rsid w:val="004F27CE"/>
    <w:rsid w:val="004F4ADA"/>
    <w:rsid w:val="004F4F03"/>
    <w:rsid w:val="005015B8"/>
    <w:rsid w:val="0051332E"/>
    <w:rsid w:val="00513BAA"/>
    <w:rsid w:val="005167BB"/>
    <w:rsid w:val="0052241A"/>
    <w:rsid w:val="005255DD"/>
    <w:rsid w:val="0052613C"/>
    <w:rsid w:val="0053047A"/>
    <w:rsid w:val="00530CCC"/>
    <w:rsid w:val="00531819"/>
    <w:rsid w:val="0053557A"/>
    <w:rsid w:val="00540F43"/>
    <w:rsid w:val="005424FE"/>
    <w:rsid w:val="00544791"/>
    <w:rsid w:val="00545615"/>
    <w:rsid w:val="00546C08"/>
    <w:rsid w:val="005561D5"/>
    <w:rsid w:val="00557716"/>
    <w:rsid w:val="00557D58"/>
    <w:rsid w:val="00563975"/>
    <w:rsid w:val="0056451D"/>
    <w:rsid w:val="00565EA1"/>
    <w:rsid w:val="0057022D"/>
    <w:rsid w:val="00572259"/>
    <w:rsid w:val="00573691"/>
    <w:rsid w:val="0058056D"/>
    <w:rsid w:val="00583480"/>
    <w:rsid w:val="00583A1E"/>
    <w:rsid w:val="00584AD5"/>
    <w:rsid w:val="00585885"/>
    <w:rsid w:val="00585A81"/>
    <w:rsid w:val="00585CC7"/>
    <w:rsid w:val="005903AB"/>
    <w:rsid w:val="00593768"/>
    <w:rsid w:val="00594A8E"/>
    <w:rsid w:val="00594B4C"/>
    <w:rsid w:val="00597718"/>
    <w:rsid w:val="00597FC0"/>
    <w:rsid w:val="005A1919"/>
    <w:rsid w:val="005A2A9E"/>
    <w:rsid w:val="005A3095"/>
    <w:rsid w:val="005A4256"/>
    <w:rsid w:val="005A5811"/>
    <w:rsid w:val="005A6E86"/>
    <w:rsid w:val="005A7746"/>
    <w:rsid w:val="005B68F1"/>
    <w:rsid w:val="005C71C4"/>
    <w:rsid w:val="005D1039"/>
    <w:rsid w:val="005D14C4"/>
    <w:rsid w:val="005D1EFC"/>
    <w:rsid w:val="005D2BF9"/>
    <w:rsid w:val="005D4C20"/>
    <w:rsid w:val="005D52D7"/>
    <w:rsid w:val="005D58C5"/>
    <w:rsid w:val="005E187D"/>
    <w:rsid w:val="005E52B4"/>
    <w:rsid w:val="005E5A45"/>
    <w:rsid w:val="005F5B02"/>
    <w:rsid w:val="00600AAB"/>
    <w:rsid w:val="006039E6"/>
    <w:rsid w:val="006044CA"/>
    <w:rsid w:val="00606E97"/>
    <w:rsid w:val="0061074D"/>
    <w:rsid w:val="00611445"/>
    <w:rsid w:val="00614036"/>
    <w:rsid w:val="00615725"/>
    <w:rsid w:val="00615915"/>
    <w:rsid w:val="006208E7"/>
    <w:rsid w:val="00621320"/>
    <w:rsid w:val="0062354A"/>
    <w:rsid w:val="00625B56"/>
    <w:rsid w:val="00636FD6"/>
    <w:rsid w:val="00637F13"/>
    <w:rsid w:val="006413CE"/>
    <w:rsid w:val="00644743"/>
    <w:rsid w:val="00644945"/>
    <w:rsid w:val="0065130E"/>
    <w:rsid w:val="00655055"/>
    <w:rsid w:val="00655ED3"/>
    <w:rsid w:val="006615BE"/>
    <w:rsid w:val="0066335F"/>
    <w:rsid w:val="0066775D"/>
    <w:rsid w:val="00675AE2"/>
    <w:rsid w:val="006772B7"/>
    <w:rsid w:val="00677A92"/>
    <w:rsid w:val="00684342"/>
    <w:rsid w:val="00691811"/>
    <w:rsid w:val="00692D21"/>
    <w:rsid w:val="00694FD9"/>
    <w:rsid w:val="00695EA5"/>
    <w:rsid w:val="0069732A"/>
    <w:rsid w:val="006A1090"/>
    <w:rsid w:val="006A2896"/>
    <w:rsid w:val="006A3D4E"/>
    <w:rsid w:val="006A46E8"/>
    <w:rsid w:val="006A4AC0"/>
    <w:rsid w:val="006A6B86"/>
    <w:rsid w:val="006B018F"/>
    <w:rsid w:val="006B6618"/>
    <w:rsid w:val="006B6646"/>
    <w:rsid w:val="006B6A0D"/>
    <w:rsid w:val="006B7DED"/>
    <w:rsid w:val="006C102F"/>
    <w:rsid w:val="006C3202"/>
    <w:rsid w:val="006D1080"/>
    <w:rsid w:val="006D5845"/>
    <w:rsid w:val="006D5929"/>
    <w:rsid w:val="006D78F5"/>
    <w:rsid w:val="006E047E"/>
    <w:rsid w:val="006E1911"/>
    <w:rsid w:val="006E5746"/>
    <w:rsid w:val="006E670B"/>
    <w:rsid w:val="006F4E90"/>
    <w:rsid w:val="00700E3F"/>
    <w:rsid w:val="00706B06"/>
    <w:rsid w:val="00707D10"/>
    <w:rsid w:val="007301F2"/>
    <w:rsid w:val="00733C9A"/>
    <w:rsid w:val="00734D08"/>
    <w:rsid w:val="00734F69"/>
    <w:rsid w:val="00737E28"/>
    <w:rsid w:val="00740D77"/>
    <w:rsid w:val="00744A1A"/>
    <w:rsid w:val="007458F0"/>
    <w:rsid w:val="007478A8"/>
    <w:rsid w:val="0075159D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1FF6"/>
    <w:rsid w:val="0077326B"/>
    <w:rsid w:val="00773633"/>
    <w:rsid w:val="00780C03"/>
    <w:rsid w:val="00783C63"/>
    <w:rsid w:val="007851D4"/>
    <w:rsid w:val="00786575"/>
    <w:rsid w:val="00795DE5"/>
    <w:rsid w:val="00797441"/>
    <w:rsid w:val="007A07F3"/>
    <w:rsid w:val="007A20AF"/>
    <w:rsid w:val="007A23F8"/>
    <w:rsid w:val="007A35B1"/>
    <w:rsid w:val="007A6842"/>
    <w:rsid w:val="007C150D"/>
    <w:rsid w:val="007C4618"/>
    <w:rsid w:val="007C4F28"/>
    <w:rsid w:val="007D1147"/>
    <w:rsid w:val="007D640B"/>
    <w:rsid w:val="007D7914"/>
    <w:rsid w:val="007F0271"/>
    <w:rsid w:val="007F3D48"/>
    <w:rsid w:val="00803F3C"/>
    <w:rsid w:val="00810B81"/>
    <w:rsid w:val="00813D2B"/>
    <w:rsid w:val="0081540F"/>
    <w:rsid w:val="008178E4"/>
    <w:rsid w:val="0082255E"/>
    <w:rsid w:val="00823A0D"/>
    <w:rsid w:val="00831CED"/>
    <w:rsid w:val="00833EE7"/>
    <w:rsid w:val="00836B9F"/>
    <w:rsid w:val="00837F52"/>
    <w:rsid w:val="00843A0A"/>
    <w:rsid w:val="00843BF0"/>
    <w:rsid w:val="00846F59"/>
    <w:rsid w:val="0085047E"/>
    <w:rsid w:val="00850FE8"/>
    <w:rsid w:val="0085179B"/>
    <w:rsid w:val="0085460B"/>
    <w:rsid w:val="008571EB"/>
    <w:rsid w:val="00861430"/>
    <w:rsid w:val="00863BED"/>
    <w:rsid w:val="00864F5D"/>
    <w:rsid w:val="008669B9"/>
    <w:rsid w:val="0087317F"/>
    <w:rsid w:val="00873FD2"/>
    <w:rsid w:val="0087430A"/>
    <w:rsid w:val="00876464"/>
    <w:rsid w:val="0088063F"/>
    <w:rsid w:val="00885C2E"/>
    <w:rsid w:val="00890339"/>
    <w:rsid w:val="00892F44"/>
    <w:rsid w:val="008956D1"/>
    <w:rsid w:val="00896D52"/>
    <w:rsid w:val="008A1DC8"/>
    <w:rsid w:val="008A4595"/>
    <w:rsid w:val="008A6A09"/>
    <w:rsid w:val="008B40C9"/>
    <w:rsid w:val="008B745F"/>
    <w:rsid w:val="008C19A2"/>
    <w:rsid w:val="008C7F87"/>
    <w:rsid w:val="008D1086"/>
    <w:rsid w:val="008D2FC5"/>
    <w:rsid w:val="008D6B87"/>
    <w:rsid w:val="008E311A"/>
    <w:rsid w:val="008E4DE0"/>
    <w:rsid w:val="008F31C0"/>
    <w:rsid w:val="00900D59"/>
    <w:rsid w:val="00901547"/>
    <w:rsid w:val="00901BA2"/>
    <w:rsid w:val="00904399"/>
    <w:rsid w:val="00906399"/>
    <w:rsid w:val="00911278"/>
    <w:rsid w:val="00911767"/>
    <w:rsid w:val="009129B0"/>
    <w:rsid w:val="009155F9"/>
    <w:rsid w:val="0092273A"/>
    <w:rsid w:val="00926350"/>
    <w:rsid w:val="00930FB0"/>
    <w:rsid w:val="0093447A"/>
    <w:rsid w:val="00934981"/>
    <w:rsid w:val="00942217"/>
    <w:rsid w:val="00944A05"/>
    <w:rsid w:val="00945894"/>
    <w:rsid w:val="009526C9"/>
    <w:rsid w:val="009536A6"/>
    <w:rsid w:val="00956B4C"/>
    <w:rsid w:val="00960438"/>
    <w:rsid w:val="00960EE2"/>
    <w:rsid w:val="00961BC7"/>
    <w:rsid w:val="0096386D"/>
    <w:rsid w:val="00963B4E"/>
    <w:rsid w:val="00973EEE"/>
    <w:rsid w:val="00981333"/>
    <w:rsid w:val="00981A14"/>
    <w:rsid w:val="0099225B"/>
    <w:rsid w:val="00995FA1"/>
    <w:rsid w:val="009A3DD7"/>
    <w:rsid w:val="009A5652"/>
    <w:rsid w:val="009B1F7A"/>
    <w:rsid w:val="009B2133"/>
    <w:rsid w:val="009B4DAB"/>
    <w:rsid w:val="009B545A"/>
    <w:rsid w:val="009B545D"/>
    <w:rsid w:val="009B5D16"/>
    <w:rsid w:val="009B704D"/>
    <w:rsid w:val="009C1AD7"/>
    <w:rsid w:val="009C1DC3"/>
    <w:rsid w:val="009C3919"/>
    <w:rsid w:val="009C4046"/>
    <w:rsid w:val="009C6386"/>
    <w:rsid w:val="009D2AA2"/>
    <w:rsid w:val="009E20CB"/>
    <w:rsid w:val="009E47A1"/>
    <w:rsid w:val="009E5600"/>
    <w:rsid w:val="009F1656"/>
    <w:rsid w:val="009F1DDF"/>
    <w:rsid w:val="009F1EE0"/>
    <w:rsid w:val="009F2529"/>
    <w:rsid w:val="009F2E68"/>
    <w:rsid w:val="009F2F8E"/>
    <w:rsid w:val="009F5891"/>
    <w:rsid w:val="009F5DEC"/>
    <w:rsid w:val="009F6020"/>
    <w:rsid w:val="00A01A22"/>
    <w:rsid w:val="00A02340"/>
    <w:rsid w:val="00A02A49"/>
    <w:rsid w:val="00A036DB"/>
    <w:rsid w:val="00A06A6C"/>
    <w:rsid w:val="00A07BD8"/>
    <w:rsid w:val="00A1068A"/>
    <w:rsid w:val="00A10A7E"/>
    <w:rsid w:val="00A118AB"/>
    <w:rsid w:val="00A11A62"/>
    <w:rsid w:val="00A12619"/>
    <w:rsid w:val="00A1373E"/>
    <w:rsid w:val="00A1513E"/>
    <w:rsid w:val="00A202DA"/>
    <w:rsid w:val="00A205D2"/>
    <w:rsid w:val="00A23712"/>
    <w:rsid w:val="00A26742"/>
    <w:rsid w:val="00A32D28"/>
    <w:rsid w:val="00A32F64"/>
    <w:rsid w:val="00A33F66"/>
    <w:rsid w:val="00A36927"/>
    <w:rsid w:val="00A41567"/>
    <w:rsid w:val="00A5149F"/>
    <w:rsid w:val="00A51931"/>
    <w:rsid w:val="00A546FF"/>
    <w:rsid w:val="00A573B5"/>
    <w:rsid w:val="00A6450D"/>
    <w:rsid w:val="00A71075"/>
    <w:rsid w:val="00A71731"/>
    <w:rsid w:val="00A72ACB"/>
    <w:rsid w:val="00A72B80"/>
    <w:rsid w:val="00A74CC7"/>
    <w:rsid w:val="00A771C2"/>
    <w:rsid w:val="00A80EB7"/>
    <w:rsid w:val="00A828FE"/>
    <w:rsid w:val="00A86297"/>
    <w:rsid w:val="00A86A5B"/>
    <w:rsid w:val="00A86B7B"/>
    <w:rsid w:val="00A91BE6"/>
    <w:rsid w:val="00A958BE"/>
    <w:rsid w:val="00A9616F"/>
    <w:rsid w:val="00AA4782"/>
    <w:rsid w:val="00AA7062"/>
    <w:rsid w:val="00AA70C2"/>
    <w:rsid w:val="00AB083D"/>
    <w:rsid w:val="00AB2685"/>
    <w:rsid w:val="00AB5903"/>
    <w:rsid w:val="00AC0907"/>
    <w:rsid w:val="00AC5004"/>
    <w:rsid w:val="00AC547A"/>
    <w:rsid w:val="00AC6692"/>
    <w:rsid w:val="00AD17B6"/>
    <w:rsid w:val="00AD3778"/>
    <w:rsid w:val="00AD56D0"/>
    <w:rsid w:val="00AD7D27"/>
    <w:rsid w:val="00AE5462"/>
    <w:rsid w:val="00AF0AD3"/>
    <w:rsid w:val="00AF1603"/>
    <w:rsid w:val="00AF3056"/>
    <w:rsid w:val="00B06089"/>
    <w:rsid w:val="00B11051"/>
    <w:rsid w:val="00B15D52"/>
    <w:rsid w:val="00B17AD2"/>
    <w:rsid w:val="00B2047B"/>
    <w:rsid w:val="00B21081"/>
    <w:rsid w:val="00B21AE1"/>
    <w:rsid w:val="00B220EA"/>
    <w:rsid w:val="00B2574D"/>
    <w:rsid w:val="00B2772A"/>
    <w:rsid w:val="00B3055F"/>
    <w:rsid w:val="00B33BD3"/>
    <w:rsid w:val="00B40619"/>
    <w:rsid w:val="00B411FD"/>
    <w:rsid w:val="00B53B26"/>
    <w:rsid w:val="00B54D56"/>
    <w:rsid w:val="00B55D07"/>
    <w:rsid w:val="00B56336"/>
    <w:rsid w:val="00B63FDA"/>
    <w:rsid w:val="00B65392"/>
    <w:rsid w:val="00B7244D"/>
    <w:rsid w:val="00B7360B"/>
    <w:rsid w:val="00B75401"/>
    <w:rsid w:val="00B82E98"/>
    <w:rsid w:val="00B8487E"/>
    <w:rsid w:val="00B91A69"/>
    <w:rsid w:val="00B93D6D"/>
    <w:rsid w:val="00BA120C"/>
    <w:rsid w:val="00BA13F9"/>
    <w:rsid w:val="00BA446B"/>
    <w:rsid w:val="00BA5D1C"/>
    <w:rsid w:val="00BB23F2"/>
    <w:rsid w:val="00BB2464"/>
    <w:rsid w:val="00BB2F81"/>
    <w:rsid w:val="00BB6D32"/>
    <w:rsid w:val="00BC2B77"/>
    <w:rsid w:val="00BC39A1"/>
    <w:rsid w:val="00BD1AA7"/>
    <w:rsid w:val="00BD79E2"/>
    <w:rsid w:val="00BE0C47"/>
    <w:rsid w:val="00BE264F"/>
    <w:rsid w:val="00BE5923"/>
    <w:rsid w:val="00BE5DBE"/>
    <w:rsid w:val="00BE617C"/>
    <w:rsid w:val="00BF098A"/>
    <w:rsid w:val="00BF7F2C"/>
    <w:rsid w:val="00C00CAC"/>
    <w:rsid w:val="00C03FDC"/>
    <w:rsid w:val="00C04C38"/>
    <w:rsid w:val="00C11653"/>
    <w:rsid w:val="00C118A5"/>
    <w:rsid w:val="00C157AB"/>
    <w:rsid w:val="00C17CF1"/>
    <w:rsid w:val="00C201F3"/>
    <w:rsid w:val="00C22600"/>
    <w:rsid w:val="00C351D6"/>
    <w:rsid w:val="00C356D4"/>
    <w:rsid w:val="00C364F6"/>
    <w:rsid w:val="00C368CF"/>
    <w:rsid w:val="00C36F18"/>
    <w:rsid w:val="00C42BC3"/>
    <w:rsid w:val="00C448F5"/>
    <w:rsid w:val="00C453BF"/>
    <w:rsid w:val="00C479D3"/>
    <w:rsid w:val="00C479D5"/>
    <w:rsid w:val="00C51952"/>
    <w:rsid w:val="00C54AA2"/>
    <w:rsid w:val="00C5674F"/>
    <w:rsid w:val="00C6355D"/>
    <w:rsid w:val="00C658D6"/>
    <w:rsid w:val="00C66ACE"/>
    <w:rsid w:val="00C74EF4"/>
    <w:rsid w:val="00C7751E"/>
    <w:rsid w:val="00C80A31"/>
    <w:rsid w:val="00C83626"/>
    <w:rsid w:val="00C83B79"/>
    <w:rsid w:val="00C84003"/>
    <w:rsid w:val="00C845BD"/>
    <w:rsid w:val="00C87A1C"/>
    <w:rsid w:val="00C90DC4"/>
    <w:rsid w:val="00C9151C"/>
    <w:rsid w:val="00C91F2E"/>
    <w:rsid w:val="00C95204"/>
    <w:rsid w:val="00C96060"/>
    <w:rsid w:val="00C96DC0"/>
    <w:rsid w:val="00C9765D"/>
    <w:rsid w:val="00CA10BC"/>
    <w:rsid w:val="00CA5916"/>
    <w:rsid w:val="00CA7C1A"/>
    <w:rsid w:val="00CB15EB"/>
    <w:rsid w:val="00CB434C"/>
    <w:rsid w:val="00CB43C5"/>
    <w:rsid w:val="00CC3BCE"/>
    <w:rsid w:val="00CD1B7A"/>
    <w:rsid w:val="00CD2541"/>
    <w:rsid w:val="00CD45CC"/>
    <w:rsid w:val="00CD4682"/>
    <w:rsid w:val="00CD6CBD"/>
    <w:rsid w:val="00CD6CF6"/>
    <w:rsid w:val="00CE0A20"/>
    <w:rsid w:val="00CE0BCD"/>
    <w:rsid w:val="00CE3074"/>
    <w:rsid w:val="00CE4676"/>
    <w:rsid w:val="00CE4A73"/>
    <w:rsid w:val="00CE537C"/>
    <w:rsid w:val="00CE5719"/>
    <w:rsid w:val="00CF0F75"/>
    <w:rsid w:val="00CF3E07"/>
    <w:rsid w:val="00D04FCB"/>
    <w:rsid w:val="00D05996"/>
    <w:rsid w:val="00D06339"/>
    <w:rsid w:val="00D1382E"/>
    <w:rsid w:val="00D14329"/>
    <w:rsid w:val="00D1537C"/>
    <w:rsid w:val="00D21C39"/>
    <w:rsid w:val="00D256A4"/>
    <w:rsid w:val="00D25A77"/>
    <w:rsid w:val="00D2762E"/>
    <w:rsid w:val="00D319BE"/>
    <w:rsid w:val="00D326AA"/>
    <w:rsid w:val="00D35628"/>
    <w:rsid w:val="00D366C5"/>
    <w:rsid w:val="00D36909"/>
    <w:rsid w:val="00D40B5A"/>
    <w:rsid w:val="00D440D4"/>
    <w:rsid w:val="00D461A8"/>
    <w:rsid w:val="00D50A9B"/>
    <w:rsid w:val="00D50E5C"/>
    <w:rsid w:val="00D54033"/>
    <w:rsid w:val="00D553D6"/>
    <w:rsid w:val="00D55856"/>
    <w:rsid w:val="00D56C4D"/>
    <w:rsid w:val="00D615B8"/>
    <w:rsid w:val="00D624CD"/>
    <w:rsid w:val="00D659F1"/>
    <w:rsid w:val="00D662FA"/>
    <w:rsid w:val="00D7586F"/>
    <w:rsid w:val="00D840BE"/>
    <w:rsid w:val="00D8417C"/>
    <w:rsid w:val="00D86B0F"/>
    <w:rsid w:val="00D9080A"/>
    <w:rsid w:val="00D90C2C"/>
    <w:rsid w:val="00D9445E"/>
    <w:rsid w:val="00D9498A"/>
    <w:rsid w:val="00D94F3D"/>
    <w:rsid w:val="00DA2FCA"/>
    <w:rsid w:val="00DB147F"/>
    <w:rsid w:val="00DC1497"/>
    <w:rsid w:val="00DD0646"/>
    <w:rsid w:val="00DD1B5D"/>
    <w:rsid w:val="00DD29C3"/>
    <w:rsid w:val="00DD342C"/>
    <w:rsid w:val="00DD79A8"/>
    <w:rsid w:val="00DF0994"/>
    <w:rsid w:val="00DF25E5"/>
    <w:rsid w:val="00DF2DAB"/>
    <w:rsid w:val="00DF4597"/>
    <w:rsid w:val="00DF6F45"/>
    <w:rsid w:val="00E006B1"/>
    <w:rsid w:val="00E00987"/>
    <w:rsid w:val="00E04CB9"/>
    <w:rsid w:val="00E0686E"/>
    <w:rsid w:val="00E10B8D"/>
    <w:rsid w:val="00E1217E"/>
    <w:rsid w:val="00E16743"/>
    <w:rsid w:val="00E178E9"/>
    <w:rsid w:val="00E21028"/>
    <w:rsid w:val="00E36E24"/>
    <w:rsid w:val="00E422AE"/>
    <w:rsid w:val="00E46FA6"/>
    <w:rsid w:val="00E50252"/>
    <w:rsid w:val="00E50874"/>
    <w:rsid w:val="00E60546"/>
    <w:rsid w:val="00E613D0"/>
    <w:rsid w:val="00E63C5B"/>
    <w:rsid w:val="00E64DB6"/>
    <w:rsid w:val="00E671F5"/>
    <w:rsid w:val="00E678C5"/>
    <w:rsid w:val="00E809F9"/>
    <w:rsid w:val="00E83405"/>
    <w:rsid w:val="00E86C0E"/>
    <w:rsid w:val="00E86FA9"/>
    <w:rsid w:val="00E926C2"/>
    <w:rsid w:val="00E92EBD"/>
    <w:rsid w:val="00E94257"/>
    <w:rsid w:val="00E96CB0"/>
    <w:rsid w:val="00E97A39"/>
    <w:rsid w:val="00EA031E"/>
    <w:rsid w:val="00EA4237"/>
    <w:rsid w:val="00EA4BF4"/>
    <w:rsid w:val="00EA5987"/>
    <w:rsid w:val="00EA73EF"/>
    <w:rsid w:val="00EB0B83"/>
    <w:rsid w:val="00EB3329"/>
    <w:rsid w:val="00EB3B2B"/>
    <w:rsid w:val="00EB7154"/>
    <w:rsid w:val="00EB729F"/>
    <w:rsid w:val="00EB7354"/>
    <w:rsid w:val="00EC0AF3"/>
    <w:rsid w:val="00EC208B"/>
    <w:rsid w:val="00EC4975"/>
    <w:rsid w:val="00EC7C99"/>
    <w:rsid w:val="00ED48AC"/>
    <w:rsid w:val="00ED7A24"/>
    <w:rsid w:val="00EE5176"/>
    <w:rsid w:val="00EE7CC4"/>
    <w:rsid w:val="00EF3575"/>
    <w:rsid w:val="00EF5C09"/>
    <w:rsid w:val="00EF7D0C"/>
    <w:rsid w:val="00F00004"/>
    <w:rsid w:val="00F0438A"/>
    <w:rsid w:val="00F050AB"/>
    <w:rsid w:val="00F06294"/>
    <w:rsid w:val="00F11F30"/>
    <w:rsid w:val="00F13810"/>
    <w:rsid w:val="00F175E8"/>
    <w:rsid w:val="00F22E75"/>
    <w:rsid w:val="00F24BFE"/>
    <w:rsid w:val="00F25651"/>
    <w:rsid w:val="00F33322"/>
    <w:rsid w:val="00F43A86"/>
    <w:rsid w:val="00F448EF"/>
    <w:rsid w:val="00F4754D"/>
    <w:rsid w:val="00F47A31"/>
    <w:rsid w:val="00F54CB5"/>
    <w:rsid w:val="00F57487"/>
    <w:rsid w:val="00F62A95"/>
    <w:rsid w:val="00F62D4F"/>
    <w:rsid w:val="00F64505"/>
    <w:rsid w:val="00F64BC4"/>
    <w:rsid w:val="00F65A82"/>
    <w:rsid w:val="00F65D53"/>
    <w:rsid w:val="00F67BE1"/>
    <w:rsid w:val="00F67EE9"/>
    <w:rsid w:val="00F703A2"/>
    <w:rsid w:val="00F70F3E"/>
    <w:rsid w:val="00F74D95"/>
    <w:rsid w:val="00F76513"/>
    <w:rsid w:val="00F801AB"/>
    <w:rsid w:val="00F81524"/>
    <w:rsid w:val="00F83ED6"/>
    <w:rsid w:val="00F84C6B"/>
    <w:rsid w:val="00F854C8"/>
    <w:rsid w:val="00F94CC1"/>
    <w:rsid w:val="00F9650D"/>
    <w:rsid w:val="00F97585"/>
    <w:rsid w:val="00FA35C0"/>
    <w:rsid w:val="00FA5F97"/>
    <w:rsid w:val="00FB0A71"/>
    <w:rsid w:val="00FB54E5"/>
    <w:rsid w:val="00FB7D8E"/>
    <w:rsid w:val="00FC0607"/>
    <w:rsid w:val="00FC5757"/>
    <w:rsid w:val="00FD64A9"/>
    <w:rsid w:val="00FD7B9D"/>
    <w:rsid w:val="00FE1087"/>
    <w:rsid w:val="00FE19DD"/>
    <w:rsid w:val="00FE1F76"/>
    <w:rsid w:val="00FE3D82"/>
    <w:rsid w:val="00FE5E44"/>
    <w:rsid w:val="00FE6BC3"/>
    <w:rsid w:val="00FF2342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3D904C"/>
  <w15:chartTrackingRefBased/>
  <w15:docId w15:val="{71021AAB-0F43-42A1-8E0D-49B1F306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5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CB15E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CB15EB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C42BC3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625B5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25B56"/>
  </w:style>
  <w:style w:type="character" w:styleId="Refdenotaderodap">
    <w:name w:val="footnote reference"/>
    <w:rsid w:val="00625B56"/>
    <w:rPr>
      <w:vertAlign w:val="superscript"/>
    </w:rPr>
  </w:style>
  <w:style w:type="character" w:styleId="MenoPendente">
    <w:name w:val="Unresolved Mention"/>
    <w:uiPriority w:val="99"/>
    <w:semiHidden/>
    <w:unhideWhenUsed/>
    <w:rsid w:val="006B7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1/6/pdf/00016377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hyperlink" Target="http://www.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acordao-de-parecer-previo-176-2011-do-tribunal-pleno/301300/area/10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1/6/pdf/00016377.pdf" TargetMode="External"/><Relationship Id="rId2" Type="http://schemas.openxmlformats.org/officeDocument/2006/relationships/hyperlink" Target="https://www1.tce.pr.gov.br/multimidia/2012/4/pdf/00012692.pdf" TargetMode="External"/><Relationship Id="rId1" Type="http://schemas.openxmlformats.org/officeDocument/2006/relationships/hyperlink" Target="http://www1.tce.pr.gov.br/multimidia/2011/12/pdf/00000229.pdf" TargetMode="External"/><Relationship Id="rId4" Type="http://schemas.openxmlformats.org/officeDocument/2006/relationships/hyperlink" Target="https://www1.tce.pr.gov.br/conteudo/acordao-de-parecer-previo-176-2011-do-tribunal-pleno/301300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F103D-507A-4CE7-9B3B-FEF6E8A3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2786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>Tribunal de Contas do estado do Paraná</Company>
  <LinksUpToDate>false</LinksUpToDate>
  <CharactersWithSpaces>17796</CharactersWithSpaces>
  <SharedDoc>false</SharedDoc>
  <HLinks>
    <vt:vector size="6" baseType="variant"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 Fonseca</cp:lastModifiedBy>
  <cp:revision>25</cp:revision>
  <cp:lastPrinted>2011-10-26T15:56:00Z</cp:lastPrinted>
  <dcterms:created xsi:type="dcterms:W3CDTF">2022-06-15T21:39:00Z</dcterms:created>
  <dcterms:modified xsi:type="dcterms:W3CDTF">2022-07-12T21:13:00Z</dcterms:modified>
</cp:coreProperties>
</file>