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C1A7" w14:textId="76FBE773" w:rsidR="001E21DA" w:rsidRPr="00FC5C0E" w:rsidRDefault="001E21DA" w:rsidP="001E21D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0" w:after="12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C5C0E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>
        <w:rPr>
          <w:rFonts w:ascii="Arial" w:hAnsi="Arial" w:cs="Arial"/>
          <w:b/>
          <w:bCs/>
          <w:sz w:val="28"/>
          <w:szCs w:val="28"/>
        </w:rPr>
        <w:t>126</w:t>
      </w:r>
      <w:r w:rsidRPr="00FC5C0E">
        <w:rPr>
          <w:rFonts w:ascii="Arial" w:hAnsi="Arial" w:cs="Arial"/>
          <w:b/>
          <w:bCs/>
          <w:sz w:val="28"/>
          <w:szCs w:val="28"/>
        </w:rPr>
        <w:t>/2017</w:t>
      </w:r>
      <w:r w:rsidR="0063710D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91DD81F" w14:textId="77777777" w:rsidR="001E21DA" w:rsidRPr="008D47AC" w:rsidRDefault="001E21DA" w:rsidP="008D47AC">
      <w:pPr>
        <w:autoSpaceDE/>
        <w:autoSpaceDN/>
        <w:spacing w:before="360" w:after="360" w:line="240" w:lineRule="auto"/>
        <w:ind w:left="4536" w:firstLine="0"/>
        <w:rPr>
          <w:rFonts w:ascii="Arial" w:hAnsi="Arial" w:cs="Arial"/>
          <w:bCs/>
          <w:i/>
          <w:sz w:val="22"/>
          <w:szCs w:val="22"/>
        </w:rPr>
      </w:pPr>
      <w:r w:rsidRPr="008D47AC">
        <w:rPr>
          <w:rFonts w:ascii="Arial" w:hAnsi="Arial" w:cs="Arial"/>
          <w:bCs/>
          <w:i/>
          <w:sz w:val="22"/>
          <w:szCs w:val="22"/>
        </w:rPr>
        <w:t xml:space="preserve">Dispõe sobre o encaminhamento da Prestação de Contas do Chefe do Poder Executivo Estadual, relativa ao exercício de 2016, nos termos dos </w:t>
      </w:r>
      <w:proofErr w:type="spellStart"/>
      <w:r w:rsidRPr="008D47AC">
        <w:rPr>
          <w:rFonts w:ascii="Arial" w:hAnsi="Arial" w:cs="Arial"/>
          <w:bCs/>
          <w:i/>
          <w:sz w:val="22"/>
          <w:szCs w:val="22"/>
        </w:rPr>
        <w:t>arts</w:t>
      </w:r>
      <w:proofErr w:type="spellEnd"/>
      <w:r w:rsidRPr="008D47AC">
        <w:rPr>
          <w:rFonts w:ascii="Arial" w:hAnsi="Arial" w:cs="Arial"/>
          <w:bCs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8D47AC">
          <w:rPr>
            <w:rFonts w:ascii="Arial" w:hAnsi="Arial" w:cs="Arial"/>
            <w:bCs/>
            <w:i/>
            <w:sz w:val="22"/>
            <w:szCs w:val="22"/>
          </w:rPr>
          <w:t>211 a</w:t>
        </w:r>
      </w:smartTag>
      <w:r w:rsidRPr="008D47AC">
        <w:rPr>
          <w:rFonts w:ascii="Arial" w:hAnsi="Arial" w:cs="Arial"/>
          <w:bCs/>
          <w:i/>
          <w:sz w:val="22"/>
          <w:szCs w:val="22"/>
        </w:rPr>
        <w:t xml:space="preserve"> 214 do Regimento Interno do Tribunal de Contas, e dá outras providências.</w:t>
      </w:r>
    </w:p>
    <w:p w14:paraId="78F8D66E" w14:textId="77777777" w:rsidR="001E21DA" w:rsidRPr="00FC5C0E" w:rsidRDefault="001E21DA" w:rsidP="008D47AC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8D47AC">
        <w:rPr>
          <w:rFonts w:ascii="Arial" w:hAnsi="Arial" w:cs="Arial"/>
          <w:bCs/>
          <w:szCs w:val="24"/>
        </w:rPr>
        <w:t xml:space="preserve">O </w:t>
      </w:r>
      <w:r w:rsidRPr="00FC5C0E">
        <w:rPr>
          <w:rFonts w:ascii="Arial" w:hAnsi="Arial" w:cs="Arial"/>
          <w:b/>
          <w:szCs w:val="24"/>
        </w:rPr>
        <w:t>TRIBUNAL DE CONTAS DO ESTADO DO PARANÁ</w:t>
      </w:r>
      <w:r w:rsidRPr="00FC5C0E">
        <w:rPr>
          <w:rFonts w:ascii="Arial" w:hAnsi="Arial" w:cs="Arial"/>
          <w:szCs w:val="24"/>
        </w:rPr>
        <w:t xml:space="preserve">, no uso das atribuições contidas no art. 2º, I, da Lei Complementar nº 113, de 15 de dezembro de 2005, e no art. 5º, XIII, do Regimento Interno, e com base no art. 214, c/c os </w:t>
      </w:r>
      <w:proofErr w:type="spellStart"/>
      <w:r w:rsidRPr="00FC5C0E">
        <w:rPr>
          <w:rFonts w:ascii="Arial" w:hAnsi="Arial" w:cs="Arial"/>
          <w:szCs w:val="24"/>
        </w:rPr>
        <w:t>arts</w:t>
      </w:r>
      <w:proofErr w:type="spellEnd"/>
      <w:r w:rsidRPr="00FC5C0E">
        <w:rPr>
          <w:rFonts w:ascii="Arial" w:hAnsi="Arial" w:cs="Arial"/>
          <w:szCs w:val="24"/>
        </w:rPr>
        <w:t>. 193 a 196, também do Regimento Interno,</w:t>
      </w:r>
    </w:p>
    <w:p w14:paraId="7D472A80" w14:textId="77777777" w:rsidR="001E21DA" w:rsidRPr="00FC5C0E" w:rsidRDefault="001E21DA" w:rsidP="008D47AC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240" w:after="240" w:line="240" w:lineRule="auto"/>
        <w:ind w:firstLine="1134"/>
        <w:rPr>
          <w:rFonts w:ascii="Arial" w:hAnsi="Arial" w:cs="Arial"/>
          <w:b/>
          <w:bCs/>
          <w:szCs w:val="24"/>
        </w:rPr>
      </w:pPr>
      <w:r w:rsidRPr="00FC5C0E">
        <w:rPr>
          <w:rFonts w:ascii="Arial" w:hAnsi="Arial" w:cs="Arial"/>
          <w:b/>
          <w:bCs/>
          <w:szCs w:val="24"/>
        </w:rPr>
        <w:t>RESOLVE</w:t>
      </w:r>
    </w:p>
    <w:p w14:paraId="2E366A1C" w14:textId="77777777" w:rsidR="001E21DA" w:rsidRPr="00FC5C0E" w:rsidRDefault="001E21DA" w:rsidP="0021577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240" w:after="0" w:line="240" w:lineRule="auto"/>
        <w:ind w:firstLine="1134"/>
        <w:rPr>
          <w:rFonts w:ascii="Arial" w:hAnsi="Arial" w:cs="Arial"/>
          <w:b/>
          <w:szCs w:val="24"/>
        </w:rPr>
      </w:pPr>
      <w:r w:rsidRPr="00FC5C0E">
        <w:rPr>
          <w:rFonts w:ascii="Arial" w:hAnsi="Arial" w:cs="Arial"/>
          <w:b/>
          <w:szCs w:val="24"/>
        </w:rPr>
        <w:t xml:space="preserve">Art. 1º </w:t>
      </w:r>
      <w:r w:rsidRPr="00FC5C0E">
        <w:rPr>
          <w:rFonts w:ascii="Arial" w:hAnsi="Arial" w:cs="Arial"/>
          <w:szCs w:val="24"/>
        </w:rPr>
        <w:t>As normas desta Instrução aplicam-se ao Chefe do Poder Executivo Estadual, no que tange à composição da Prestação de Contas Anual do Governo do Estado do Paraná, a ser encaminhada à Assembleia Legislativa, nos termos do artigo 87, XI, da Constituição Estadual.</w:t>
      </w:r>
    </w:p>
    <w:p w14:paraId="78918684" w14:textId="65DB9206" w:rsidR="001E21DA" w:rsidRPr="00FC5C0E" w:rsidRDefault="001E21DA" w:rsidP="001416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b/>
          <w:szCs w:val="24"/>
        </w:rPr>
        <w:t xml:space="preserve">Art. 2º </w:t>
      </w:r>
      <w:r w:rsidRPr="00FC5C0E">
        <w:rPr>
          <w:rFonts w:ascii="Arial" w:hAnsi="Arial" w:cs="Arial"/>
          <w:szCs w:val="24"/>
        </w:rPr>
        <w:t xml:space="preserve">Os documentos integrantes da Prestação de Contas deverão ser encaminhados a este Tribunal nos termos definidos pela </w:t>
      </w:r>
      <w:hyperlink r:id="rId8" w:history="1">
        <w:r w:rsidRPr="00CA67DA">
          <w:rPr>
            <w:rStyle w:val="Hyperlink"/>
            <w:rFonts w:ascii="Arial" w:hAnsi="Arial" w:cs="Arial"/>
            <w:szCs w:val="24"/>
          </w:rPr>
          <w:t>Instrução Normativa nº 62/2011</w:t>
        </w:r>
      </w:hyperlink>
      <w:r w:rsidRPr="00FC5C0E">
        <w:rPr>
          <w:rFonts w:ascii="Arial" w:hAnsi="Arial" w:cs="Arial"/>
          <w:szCs w:val="24"/>
        </w:rPr>
        <w:t xml:space="preserve">, que trata da implantação do peticionamento eletrônico, e pela </w:t>
      </w:r>
      <w:hyperlink r:id="rId9" w:history="1">
        <w:r w:rsidRPr="00CA67DA">
          <w:rPr>
            <w:rStyle w:val="Hyperlink"/>
            <w:rFonts w:ascii="Arial" w:hAnsi="Arial" w:cs="Arial"/>
            <w:szCs w:val="24"/>
          </w:rPr>
          <w:t>Instrução de Serviço nº 27/2011</w:t>
        </w:r>
      </w:hyperlink>
      <w:r w:rsidRPr="00FC5C0E">
        <w:rPr>
          <w:rFonts w:ascii="Arial" w:hAnsi="Arial" w:cs="Arial"/>
          <w:szCs w:val="24"/>
        </w:rPr>
        <w:t>, da Presidência deste Tribunal, que dispõe sobre as mídias, o tamanho e o formato dos documentos.</w:t>
      </w:r>
    </w:p>
    <w:p w14:paraId="01E267B3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i/>
          <w:szCs w:val="24"/>
        </w:rPr>
      </w:pPr>
      <w:r w:rsidRPr="00FC5C0E">
        <w:rPr>
          <w:rFonts w:ascii="Arial" w:hAnsi="Arial" w:cs="Arial"/>
          <w:szCs w:val="24"/>
        </w:rPr>
        <w:t xml:space="preserve">Parágrafo único. As instruções e procedimentos para o peticionamento em meio eletrônico estão disponíveis no </w:t>
      </w:r>
      <w:r w:rsidRPr="00FC5C0E">
        <w:rPr>
          <w:rFonts w:ascii="Arial" w:hAnsi="Arial" w:cs="Arial"/>
          <w:i/>
        </w:rPr>
        <w:t>site</w:t>
      </w:r>
      <w:r w:rsidRPr="00FC5C0E">
        <w:rPr>
          <w:rFonts w:ascii="Arial" w:hAnsi="Arial" w:cs="Arial"/>
        </w:rPr>
        <w:t xml:space="preserve"> deste Tribunal (</w:t>
      </w:r>
      <w:hyperlink r:id="rId10" w:history="1">
        <w:r w:rsidRPr="00FC5C0E">
          <w:rPr>
            <w:rFonts w:ascii="Arial" w:hAnsi="Arial" w:cs="Arial"/>
            <w:color w:val="0000FF"/>
            <w:u w:val="single"/>
          </w:rPr>
          <w:t>www.tce.pr.gov.br</w:t>
        </w:r>
      </w:hyperlink>
      <w:r w:rsidRPr="00FC5C0E">
        <w:rPr>
          <w:rFonts w:ascii="Arial" w:hAnsi="Arial" w:cs="Arial"/>
        </w:rPr>
        <w:t xml:space="preserve">), no </w:t>
      </w:r>
      <w:r w:rsidRPr="00FC5C0E">
        <w:rPr>
          <w:rFonts w:ascii="Arial" w:hAnsi="Arial" w:cs="Arial"/>
          <w:i/>
        </w:rPr>
        <w:t>Portal e-Contas Paraná.</w:t>
      </w:r>
    </w:p>
    <w:p w14:paraId="65B0E750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b/>
          <w:szCs w:val="24"/>
        </w:rPr>
        <w:t xml:space="preserve">Art. 3º </w:t>
      </w:r>
      <w:r w:rsidRPr="00FC5C0E">
        <w:rPr>
          <w:rFonts w:ascii="Arial" w:hAnsi="Arial" w:cs="Arial"/>
          <w:szCs w:val="24"/>
        </w:rPr>
        <w:t>A Prestação de Contas Anual relativa ao exercício de 2016, do Chefe do Poder Executivo Estadual, constitui-se das informações encaminhadas por meio do sistema SEI-CED e deve, também, conter os seguintes documentos:</w:t>
      </w:r>
    </w:p>
    <w:p w14:paraId="4EA6C520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left="-3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I - Ofício de encaminhamento ao Presidente da Assembleia Legislativa;</w:t>
      </w:r>
    </w:p>
    <w:p w14:paraId="6EE53E07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6B8997D7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a) Balanço Orçamentário;</w:t>
      </w:r>
    </w:p>
    <w:p w14:paraId="1892F258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lastRenderedPageBreak/>
        <w:t>b) Balanço Financeiro;</w:t>
      </w:r>
    </w:p>
    <w:p w14:paraId="5867C859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c) Balanço Patrimonial;</w:t>
      </w:r>
    </w:p>
    <w:p w14:paraId="207DE8E2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d) Demonstração das Variações Patrimoniais;</w:t>
      </w:r>
    </w:p>
    <w:p w14:paraId="195BE4D2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e) Demonstração dos Fluxos de Caixa;</w:t>
      </w:r>
    </w:p>
    <w:p w14:paraId="75660109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f) Notas Explicativas às DCASP</w:t>
      </w:r>
      <w:r>
        <w:rPr>
          <w:rFonts w:ascii="Arial" w:hAnsi="Arial" w:cs="Arial"/>
          <w:szCs w:val="24"/>
        </w:rPr>
        <w:t>.</w:t>
      </w:r>
    </w:p>
    <w:p w14:paraId="6542B1AD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left="-3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III - Relatório circunstanciado de gestão do exercício, contendo, dentre outras informações:</w:t>
      </w:r>
    </w:p>
    <w:p w14:paraId="4AA719FB" w14:textId="77777777" w:rsidR="001E21DA" w:rsidRPr="00FC5C0E" w:rsidRDefault="001E21DA" w:rsidP="00141601">
      <w:pPr>
        <w:numPr>
          <w:ilvl w:val="0"/>
          <w:numId w:val="1"/>
        </w:numPr>
        <w:tabs>
          <w:tab w:val="left" w:pos="708"/>
        </w:tabs>
        <w:autoSpaceDE/>
        <w:autoSpaceDN/>
        <w:spacing w:before="120" w:after="0" w:line="240" w:lineRule="auto"/>
        <w:ind w:left="0" w:firstLine="1112"/>
        <w:rPr>
          <w:rFonts w:ascii="Arial" w:hAnsi="Arial" w:cs="Arial"/>
          <w:snapToGrid w:val="0"/>
          <w:color w:val="000000"/>
          <w:szCs w:val="24"/>
        </w:rPr>
      </w:pPr>
      <w:r w:rsidRPr="00FC5C0E">
        <w:rPr>
          <w:rFonts w:ascii="Arial" w:hAnsi="Arial" w:cs="Arial"/>
          <w:szCs w:val="24"/>
        </w:rPr>
        <w:t>demonstrativo quanto ao atendimento dos limites constitucionais, da LRF, da Lei de Diretrizes Orçamentárias e do seu Anexo de Metas Fiscais;</w:t>
      </w:r>
    </w:p>
    <w:p w14:paraId="079C8DC0" w14:textId="77777777" w:rsidR="001E21DA" w:rsidRPr="00FC5C0E" w:rsidRDefault="001E21DA" w:rsidP="00141601">
      <w:pPr>
        <w:numPr>
          <w:ilvl w:val="0"/>
          <w:numId w:val="1"/>
        </w:numPr>
        <w:tabs>
          <w:tab w:val="left" w:pos="708"/>
        </w:tabs>
        <w:autoSpaceDE/>
        <w:autoSpaceDN/>
        <w:spacing w:before="120" w:after="0" w:line="240" w:lineRule="auto"/>
        <w:ind w:left="0" w:firstLine="1112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medidas adotadas para o retorno da despesa total com pessoal ao respectivo limite, se for o caso;</w:t>
      </w:r>
    </w:p>
    <w:p w14:paraId="1BF6B0E1" w14:textId="77777777" w:rsidR="001E21DA" w:rsidRPr="00FC5C0E" w:rsidRDefault="001E21DA" w:rsidP="00141601">
      <w:pPr>
        <w:numPr>
          <w:ilvl w:val="0"/>
          <w:numId w:val="1"/>
        </w:numPr>
        <w:tabs>
          <w:tab w:val="left" w:pos="708"/>
        </w:tabs>
        <w:autoSpaceDE/>
        <w:autoSpaceDN/>
        <w:spacing w:before="120" w:after="0" w:line="240" w:lineRule="auto"/>
        <w:ind w:left="0" w:firstLine="1112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Relatório de acompanhamento e avaliação quanto aos Contratos de Gestão dos Órgãos e Entidades da Administração Pública Estadual</w:t>
      </w:r>
      <w:r>
        <w:rPr>
          <w:rFonts w:ascii="Arial" w:hAnsi="Arial" w:cs="Arial"/>
          <w:szCs w:val="24"/>
        </w:rPr>
        <w:t>.</w:t>
      </w:r>
    </w:p>
    <w:p w14:paraId="61EC6F11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left="-3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IV - Demonstrativo dos gastos com Divulgação e Propaganda, desmembrado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Dependentes), conforme Anexo I desta Instrução;</w:t>
      </w:r>
    </w:p>
    <w:p w14:paraId="466DDC62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V - Demonstrativo dos Instrumentos de arrecadação do ICMS contendo:</w:t>
      </w:r>
    </w:p>
    <w:p w14:paraId="7FAC6314" w14:textId="77777777" w:rsidR="001E21DA" w:rsidRPr="00FC5C0E" w:rsidRDefault="001E21DA" w:rsidP="00141601">
      <w:pPr>
        <w:numPr>
          <w:ilvl w:val="0"/>
          <w:numId w:val="2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Delegacias Regionais (contendo endereço, área de abrangência e Delegado Responsável);</w:t>
      </w:r>
    </w:p>
    <w:p w14:paraId="13620169" w14:textId="77777777" w:rsidR="001E21DA" w:rsidRPr="00FC5C0E" w:rsidRDefault="001E21DA" w:rsidP="00141601">
      <w:pPr>
        <w:numPr>
          <w:ilvl w:val="0"/>
          <w:numId w:val="2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Agências da Receita Estadual (contendo endereço, área de abrangência e Responsável);</w:t>
      </w:r>
    </w:p>
    <w:p w14:paraId="31DCD876" w14:textId="77777777" w:rsidR="001E21DA" w:rsidRPr="00FC5C0E" w:rsidRDefault="001E21DA" w:rsidP="00141601">
      <w:pPr>
        <w:numPr>
          <w:ilvl w:val="0"/>
          <w:numId w:val="2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Fiscalizações Volantes (realizadas no ano de 2016, contendo responsável, datas e locais);</w:t>
      </w:r>
    </w:p>
    <w:p w14:paraId="0068ED01" w14:textId="77777777" w:rsidR="001E21DA" w:rsidRPr="00FC5C0E" w:rsidRDefault="001E21DA" w:rsidP="00141601">
      <w:pPr>
        <w:numPr>
          <w:ilvl w:val="0"/>
          <w:numId w:val="2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Número de Auditores Fiscais.</w:t>
      </w:r>
    </w:p>
    <w:p w14:paraId="5458F370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left="1134" w:firstLine="0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VI - Demonstrativo da arrecadação do ICMS contendo:</w:t>
      </w:r>
    </w:p>
    <w:p w14:paraId="737FF2BE" w14:textId="77777777" w:rsidR="001E21DA" w:rsidRPr="00FC5C0E" w:rsidRDefault="001E21DA" w:rsidP="00141601">
      <w:pPr>
        <w:numPr>
          <w:ilvl w:val="0"/>
          <w:numId w:val="3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Estabelecimentos ativos enquadrados no “Regime Normal” de Apuração do ICMS;</w:t>
      </w:r>
    </w:p>
    <w:p w14:paraId="0E905033" w14:textId="77777777" w:rsidR="001E21DA" w:rsidRPr="00FC5C0E" w:rsidRDefault="001E21DA" w:rsidP="00141601">
      <w:pPr>
        <w:numPr>
          <w:ilvl w:val="0"/>
          <w:numId w:val="3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Estabelecimentos ativos enquadrados no “Simples Nacional”;</w:t>
      </w:r>
    </w:p>
    <w:p w14:paraId="51615AAA" w14:textId="77777777" w:rsidR="001E21DA" w:rsidRPr="00FC5C0E" w:rsidRDefault="001E21DA" w:rsidP="00141601">
      <w:pPr>
        <w:numPr>
          <w:ilvl w:val="0"/>
          <w:numId w:val="3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Contribuintes responsáveis por 90% da arrecadação anual do ICMS;</w:t>
      </w:r>
    </w:p>
    <w:p w14:paraId="1EE0170F" w14:textId="77777777" w:rsidR="001E21DA" w:rsidRPr="00FC5C0E" w:rsidRDefault="001E21DA" w:rsidP="00141601">
      <w:pPr>
        <w:numPr>
          <w:ilvl w:val="0"/>
          <w:numId w:val="3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Total do ICMS arrecadado em 2016 através do Regime Especial Unificado de Arrecadação de Tributos e Contribuições – Simples Nacional;</w:t>
      </w:r>
    </w:p>
    <w:p w14:paraId="15E15220" w14:textId="77777777" w:rsidR="001E21DA" w:rsidRPr="00FC5C0E" w:rsidRDefault="001E21DA" w:rsidP="00141601">
      <w:pPr>
        <w:numPr>
          <w:ilvl w:val="0"/>
          <w:numId w:val="3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Total do valor auferido em 2016, referente à remuneração dos recursos da conta do Fundo de Participação dos Municípios no ICMS</w:t>
      </w:r>
      <w:r>
        <w:rPr>
          <w:rFonts w:ascii="Arial" w:hAnsi="Arial" w:cs="Arial"/>
          <w:szCs w:val="24"/>
        </w:rPr>
        <w:t>;</w:t>
      </w:r>
    </w:p>
    <w:p w14:paraId="00184788" w14:textId="77777777" w:rsidR="001E21DA" w:rsidRPr="00FC5C0E" w:rsidRDefault="001E21DA" w:rsidP="00141601">
      <w:pPr>
        <w:numPr>
          <w:ilvl w:val="0"/>
          <w:numId w:val="3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lastRenderedPageBreak/>
        <w:t>Relação dos Benefícios Fiscais relativos ao ICMS concedidos em 2016, com indicação da legislação pertinente e respectivos impactos orçamentários e financeiros.</w:t>
      </w:r>
    </w:p>
    <w:p w14:paraId="3E7CDED5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VII - Demonstrativo da participação percentual na arrecadação do ICMS de cada um dos 10 maiores contribuintes do imposto; das empresas enquadradas no “Regime Normal de Tributação”; e das empresas enquadradas no “Simples Nacional”</w:t>
      </w:r>
      <w:r>
        <w:rPr>
          <w:rFonts w:ascii="Arial" w:hAnsi="Arial" w:cs="Arial"/>
          <w:szCs w:val="24"/>
        </w:rPr>
        <w:t>;</w:t>
      </w:r>
    </w:p>
    <w:p w14:paraId="577D7496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VIII - Demonstrativo da arrecadação do ITCMD por força do Convênio de Cooperação Técnica entre a Secretaria da Receita Federal e a SEFA-PR;</w:t>
      </w:r>
    </w:p>
    <w:p w14:paraId="02EE727E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IX - Demonstrativo dos veículos tributados pelo IPVA, discriminados por município;</w:t>
      </w:r>
    </w:p>
    <w:p w14:paraId="10AAF0A4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08DE8525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XI - Medidas que implicaram em renúncia de receitas, elaborando demonstrativo que evidencie o montante dos benefícios fiscais concedidos no exercício e as respectivas ações adotadas para compensar tais renúncias;</w:t>
      </w:r>
    </w:p>
    <w:p w14:paraId="5BA6A472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XII - Demonstrativo da movimentação da dívida ativa ocorrida no exercício, contendo:</w:t>
      </w:r>
    </w:p>
    <w:p w14:paraId="22FF989C" w14:textId="77777777" w:rsidR="001E21DA" w:rsidRPr="00FC5C0E" w:rsidRDefault="001E21DA" w:rsidP="00141601">
      <w:pPr>
        <w:numPr>
          <w:ilvl w:val="0"/>
          <w:numId w:val="4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detalhamento das baixas ocorridas, independentemente se por pagamento ou outros motivos (prescrições, anistias, isenções e remissões concedidas, por exemplo), com justificativas esclarecendo as diversas situações ocorridas;</w:t>
      </w:r>
    </w:p>
    <w:p w14:paraId="428E616D" w14:textId="77777777" w:rsidR="001E21DA" w:rsidRPr="00FC5C0E" w:rsidRDefault="001E21DA" w:rsidP="00141601">
      <w:pPr>
        <w:numPr>
          <w:ilvl w:val="0"/>
          <w:numId w:val="4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 xml:space="preserve">resumo da situação processual das ações de execução e probabilidade de sucesso dessas ações; </w:t>
      </w:r>
    </w:p>
    <w:p w14:paraId="6B3C7ABF" w14:textId="77777777" w:rsidR="001E21DA" w:rsidRPr="00FC5C0E" w:rsidRDefault="001E21DA" w:rsidP="00141601">
      <w:pPr>
        <w:numPr>
          <w:ilvl w:val="0"/>
          <w:numId w:val="4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estratégias operacionais da Procuradoria Geral do Estado para maximizar a recuperação dos créditos.</w:t>
      </w:r>
    </w:p>
    <w:p w14:paraId="0A3DDDA9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XIII - Demonstrativo evidenciando, na forma do art. 13 da LRF, as medidas de combate à evasão e sonegação, com indicação da quantidade e valores de ações ajuizadas para cobrança da dívida ativa, bem como da evolução do montante dos créditos tributários passíveis de cobrança administrativa;</w:t>
      </w:r>
    </w:p>
    <w:p w14:paraId="026D6202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XIV – Relatório gerencial da dívida ativa, por situação de contribuinte, tipo de crédito e situação da exigibilidade, com valores atualizados por contribuinte, tendo como referência dez/2016, conforme Anexo II desta Instrução;</w:t>
      </w:r>
    </w:p>
    <w:p w14:paraId="39559063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XV - Demonstrativo da movimentação dos Precatórios ocorrida no exercício, identificando: inscrições, pagamentos, baixas, provisões, compensações, atualização dos requisitórios e saldo final;</w:t>
      </w:r>
    </w:p>
    <w:p w14:paraId="2290FF82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lastRenderedPageBreak/>
        <w:t>XVI - Demonstrativo com registros realizados a fim de regularizar valores históricos ou anulações;</w:t>
      </w:r>
    </w:p>
    <w:p w14:paraId="2FA6EB08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XVII - Demonstrativo do estoque dos precatórios, segmentados em natureza alimentar e comum, discriminando quantidade, credor, origem, ofício requisitório e valores existentes totalizados, por ano;</w:t>
      </w:r>
    </w:p>
    <w:p w14:paraId="31934C5A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XVIII - Demonstrativo dos valores mensais repassados ao Tribunal de Justiça, no exercício, pela Secretaria de Estado da Fazenda, para pagamento de Precatórios, apresentado, por mês de referência, a base de cálculo da Receita Corrente Líquida; o total de ser transferido, bem como o valor a ser destinado à conta especial, à conta cronológica e a data do depósito;</w:t>
      </w:r>
    </w:p>
    <w:p w14:paraId="7AE4E63E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XIX - Notas explicativas sobre a gestão de precatórios no exercício, em especial, as informações recebidas pelo Tribunal de Justiça e seus respectivos registros</w:t>
      </w:r>
      <w:r>
        <w:rPr>
          <w:rFonts w:ascii="Arial" w:hAnsi="Arial" w:cs="Arial"/>
          <w:szCs w:val="24"/>
        </w:rPr>
        <w:t>;</w:t>
      </w:r>
    </w:p>
    <w:p w14:paraId="3A61D8A7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 - Demonstrativo dos valores mensais repassados ao Tribunal de Justiça, no exercício de 2016, pela Secretaria de Estado da Fazenda, para pagamento de Precatórios;</w:t>
      </w:r>
    </w:p>
    <w:p w14:paraId="56C14985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XXI - Participação acionária do Estado, em 31 de dezembro de 2016, nas Empresas Públicas e Sociedades de Economia Mista;</w:t>
      </w:r>
    </w:p>
    <w:p w14:paraId="502E5EC3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XXII - Quantitativo do Quadro de Pessoal do Estado em 31 de dezembro de 2016, conforme Anexo III desta Instrução;</w:t>
      </w:r>
    </w:p>
    <w:p w14:paraId="1DF64AD0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XXIII - Demonstrativo indicando origem e destino dos recursos provenientes da alienação de ativos, em complementação ao Anexo 15 da Lei nº 4.320/64, atendendo ao disposto no inciso VI do art. 50 da LRF;</w:t>
      </w:r>
    </w:p>
    <w:p w14:paraId="0CA0DD97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XXIV - 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12619D09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 xml:space="preserve">XXV - Demonstrativos Contábeis (Balanços Orçamentário, Financeiro e Patrimonial, Demonstração das Variações Patrimoniais e </w:t>
      </w:r>
      <w:r w:rsidRPr="00FC5C0E">
        <w:rPr>
          <w:rFonts w:ascii="Arial" w:hAnsi="Arial" w:cs="Arial"/>
        </w:rPr>
        <w:t>Demonstração do Fluxo de Caixa</w:t>
      </w:r>
      <w:r w:rsidRPr="00FC5C0E">
        <w:rPr>
          <w:rFonts w:ascii="Arial" w:hAnsi="Arial" w:cs="Arial"/>
          <w:szCs w:val="24"/>
        </w:rPr>
        <w:t>) e Parecer Atuarial, relativos ao exercício de 2016, dos Fundos Previdenciários (Fundo de Previdência, Fundo Financeiro e Fundo Militar);</w:t>
      </w:r>
    </w:p>
    <w:p w14:paraId="45D21811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XXVI - Demonstrativo dos valores repassados pelo Estado aos Fundos Previdenciários no exercício de 2016,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Lei;</w:t>
      </w:r>
    </w:p>
    <w:p w14:paraId="27F22E0D" w14:textId="77777777" w:rsidR="001E21DA" w:rsidRPr="00FC5C0E" w:rsidRDefault="001E21DA" w:rsidP="00141601">
      <w:pPr>
        <w:tabs>
          <w:tab w:val="left" w:pos="708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XXVII - Cópia das atas das audiências públicas realizadas em 2016, em atendimento ao determinado pelo § 4º do art. 9º da Lei Complementar nº 101/00;</w:t>
      </w:r>
    </w:p>
    <w:p w14:paraId="10DD7574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left="-3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lastRenderedPageBreak/>
        <w:t>XXVIII - Medidas implementadas visando atender as determinações e recomendações e sanar as ressalvas contidas nos Acórdãos que aprovaram os Pareceres Prévios das Contas do Governo Estadual dos três exercícios anteriores;</w:t>
      </w:r>
    </w:p>
    <w:p w14:paraId="1AEF969E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left="-3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XXIX – Relatório da Controladoria Geral do Estado contendo, dentre outras informações:</w:t>
      </w:r>
    </w:p>
    <w:p w14:paraId="7471FD11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resultado das ações do Sistema de Controle Interno realizadas no exercício de 2016;</w:t>
      </w:r>
    </w:p>
    <w:p w14:paraId="540674ED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avaliação do cumprimento das metas previstas no Plano Plurianual, da execução dos Programas de Governo e dos Orçamentos de que trata o § 6º do art. 133 da Constituição Estadual;</w:t>
      </w:r>
    </w:p>
    <w:p w14:paraId="16C09CC4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764AB78F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análise das operações de crédito, avais e garantias, bem como dos direitos e haveres do Estado;</w:t>
      </w:r>
    </w:p>
    <w:p w14:paraId="2B70D72C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22FB6DF4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as ações desenvolvidas pelas Coordenadorias de Controle Interno, de Corregedoria, de Ouvidoria e Transparência e de Controle Social</w:t>
      </w:r>
      <w:r>
        <w:rPr>
          <w:rFonts w:ascii="Arial" w:hAnsi="Arial" w:cs="Arial"/>
          <w:szCs w:val="24"/>
        </w:rPr>
        <w:t>;</w:t>
      </w:r>
    </w:p>
    <w:p w14:paraId="22B6019C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Plano Anual de Fiscalização elaborado pela unidade de controle interno para o período;</w:t>
      </w:r>
    </w:p>
    <w:p w14:paraId="3B687A97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Relatório informando a metodologia de trabalho adotada pela controladoria geral do estado, com vistas ao cumprimento do planejamento proposto para o período;</w:t>
      </w:r>
    </w:p>
    <w:p w14:paraId="3233C02F" w14:textId="77777777" w:rsidR="001E21DA" w:rsidRPr="00FC5C0E" w:rsidRDefault="001E21DA" w:rsidP="00141601">
      <w:pPr>
        <w:numPr>
          <w:ilvl w:val="0"/>
          <w:numId w:val="5"/>
        </w:numPr>
        <w:tabs>
          <w:tab w:val="left" w:pos="708"/>
        </w:tabs>
        <w:autoSpaceDE/>
        <w:autoSpaceDN/>
        <w:spacing w:before="120" w:after="0" w:line="240" w:lineRule="auto"/>
        <w:ind w:left="0"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Relatório contendo informações acerca do quadro de servidores da Controladoria Geral do Estado, suas atribuições e responsabilidades</w:t>
      </w:r>
      <w:r>
        <w:rPr>
          <w:rFonts w:ascii="Arial" w:hAnsi="Arial" w:cs="Arial"/>
          <w:szCs w:val="24"/>
        </w:rPr>
        <w:t>.</w:t>
      </w:r>
    </w:p>
    <w:p w14:paraId="06608FF0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XXX - Demonstrativo das alterações orçamentárias ocorridas no exercício de 2016, detalhando-as por artigos, parágrafos, incisos e alíneas, constantes da Lei Orçamentária, a fim de permitir a aferição dos limites previstos;</w:t>
      </w:r>
    </w:p>
    <w:p w14:paraId="417E9AE4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</w:t>
      </w:r>
      <w:r>
        <w:rPr>
          <w:rFonts w:ascii="Arial" w:hAnsi="Arial" w:cs="Arial"/>
          <w:szCs w:val="24"/>
        </w:rPr>
        <w:t>X</w:t>
      </w:r>
      <w:r w:rsidRPr="00FC5C0E">
        <w:rPr>
          <w:rFonts w:ascii="Arial" w:hAnsi="Arial" w:cs="Arial"/>
          <w:szCs w:val="24"/>
        </w:rPr>
        <w:t>I - Relação dos Restos a Pagar inscritos, no exercício, por órgãos da Administração Direta e Indireta do Estado;</w:t>
      </w:r>
    </w:p>
    <w:p w14:paraId="3108F937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</w:t>
      </w:r>
      <w:r>
        <w:rPr>
          <w:rFonts w:ascii="Arial" w:hAnsi="Arial" w:cs="Arial"/>
          <w:szCs w:val="24"/>
        </w:rPr>
        <w:t>X</w:t>
      </w:r>
      <w:r w:rsidRPr="00FC5C0E">
        <w:rPr>
          <w:rFonts w:ascii="Arial" w:hAnsi="Arial" w:cs="Arial"/>
          <w:szCs w:val="24"/>
        </w:rPr>
        <w:t>II - Demonstrativo da movimentação da Dívida Pública, desmembrada em Flutuante e Fundada, acompanhado da relação de inscrições e baixas no exercício, bem como dos respectivos contratos vigentes;</w:t>
      </w:r>
    </w:p>
    <w:p w14:paraId="404D8B65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</w:t>
      </w:r>
      <w:r>
        <w:rPr>
          <w:rFonts w:ascii="Arial" w:hAnsi="Arial" w:cs="Arial"/>
          <w:szCs w:val="24"/>
        </w:rPr>
        <w:t>X</w:t>
      </w:r>
      <w:r w:rsidRPr="00FC5C0E">
        <w:rPr>
          <w:rFonts w:ascii="Arial" w:hAnsi="Arial" w:cs="Arial"/>
          <w:szCs w:val="24"/>
        </w:rPr>
        <w:t>III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79E9886A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lastRenderedPageBreak/>
        <w:t>XX</w:t>
      </w:r>
      <w:r>
        <w:rPr>
          <w:rFonts w:ascii="Arial" w:hAnsi="Arial" w:cs="Arial"/>
          <w:szCs w:val="24"/>
        </w:rPr>
        <w:t>X</w:t>
      </w:r>
      <w:r w:rsidRPr="00FC5C0E">
        <w:rPr>
          <w:rFonts w:ascii="Arial" w:hAnsi="Arial" w:cs="Arial"/>
          <w:szCs w:val="24"/>
        </w:rPr>
        <w:t>IV – Certidão de regularidade, junto ao Conselho Regional de Contabilidade – CRC, do profissional que assina os demonstrativos, emitida no exercício de 2017;</w:t>
      </w:r>
    </w:p>
    <w:p w14:paraId="0F234BD6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XXXV – Certificado de Regularidade Previdenciária - CRP, emitido pelo Ministério da Previdência Social – MPS, com validade atualizada à entrega da prestação de contas</w:t>
      </w:r>
      <w:r>
        <w:rPr>
          <w:rFonts w:ascii="Arial" w:hAnsi="Arial" w:cs="Arial"/>
          <w:szCs w:val="24"/>
        </w:rPr>
        <w:t>;</w:t>
      </w:r>
    </w:p>
    <w:p w14:paraId="582117FF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XXXVI - Informações analíticas do cumprimento/concretização do Plano de Governo (valores e diretrizes);</w:t>
      </w:r>
    </w:p>
    <w:p w14:paraId="08A287E1" w14:textId="77777777" w:rsidR="001E21DA" w:rsidRPr="00FC5C0E" w:rsidRDefault="001E21DA" w:rsidP="00141601">
      <w:pPr>
        <w:tabs>
          <w:tab w:val="num" w:pos="851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>XXXVII - Demonstrativo do desempenho das atividades desenvolvidas pelos Serviços Sociais Autônomos, segundo o contrato de gestão, detalhando metas previstas e realizadas, e os respectivos custos e indicadores</w:t>
      </w:r>
      <w:r>
        <w:rPr>
          <w:rFonts w:ascii="Arial" w:hAnsi="Arial" w:cs="Arial"/>
          <w:szCs w:val="24"/>
        </w:rPr>
        <w:t>.</w:t>
      </w:r>
    </w:p>
    <w:p w14:paraId="5E4367FA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b/>
          <w:szCs w:val="24"/>
        </w:rPr>
        <w:t>Art. 4º</w:t>
      </w:r>
      <w:r w:rsidRPr="00FC5C0E">
        <w:rPr>
          <w:rFonts w:ascii="Arial" w:hAnsi="Arial" w:cs="Arial"/>
          <w:szCs w:val="24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5AF8C639" w14:textId="77777777" w:rsidR="001E21DA" w:rsidRPr="00FC5C0E" w:rsidRDefault="001E21DA" w:rsidP="00141601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0" w:line="240" w:lineRule="auto"/>
        <w:ind w:firstLine="1134"/>
        <w:rPr>
          <w:rFonts w:ascii="Arial" w:hAnsi="Arial" w:cs="Arial"/>
          <w:bCs/>
          <w:szCs w:val="24"/>
        </w:rPr>
      </w:pPr>
      <w:r w:rsidRPr="00FC5C0E">
        <w:rPr>
          <w:rFonts w:ascii="Arial" w:hAnsi="Arial" w:cs="Arial"/>
          <w:b/>
          <w:bCs/>
          <w:szCs w:val="24"/>
        </w:rPr>
        <w:t>Art. 5º</w:t>
      </w:r>
      <w:r w:rsidRPr="00FC5C0E">
        <w:rPr>
          <w:rFonts w:ascii="Arial" w:hAnsi="Arial" w:cs="Arial"/>
          <w:bCs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14D961D6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b/>
          <w:szCs w:val="24"/>
        </w:rPr>
        <w:t>Art. 6º</w:t>
      </w:r>
      <w:r w:rsidRPr="00FC5C0E">
        <w:rPr>
          <w:rFonts w:ascii="Arial" w:hAnsi="Arial" w:cs="Arial"/>
          <w:szCs w:val="24"/>
        </w:rPr>
        <w:t xml:space="preserve"> A análise da prestação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728AFC25" w14:textId="77777777" w:rsidR="001E21DA" w:rsidRPr="00FC5C0E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b/>
          <w:szCs w:val="24"/>
        </w:rPr>
        <w:t>Art. 7º</w:t>
      </w:r>
      <w:r w:rsidRPr="00FC5C0E">
        <w:rPr>
          <w:rFonts w:ascii="Arial" w:hAnsi="Arial" w:cs="Arial"/>
          <w:szCs w:val="24"/>
        </w:rPr>
        <w:t xml:space="preserve"> As orientações técnicas sobre o contido nesta Instrução Normativa poderão ser obtidas junto à Coordenadoria de Fiscalização Estadual, pelos telefones (41)3350-1740 e (41)3350-1741, ou acessando o Canal de Comunicação, disponível no </w:t>
      </w:r>
      <w:r w:rsidRPr="00FC5C0E">
        <w:rPr>
          <w:rFonts w:ascii="Arial" w:hAnsi="Arial" w:cs="Arial"/>
          <w:i/>
          <w:szCs w:val="24"/>
        </w:rPr>
        <w:t>site</w:t>
      </w:r>
      <w:r w:rsidRPr="00FC5C0E">
        <w:rPr>
          <w:rFonts w:ascii="Arial" w:hAnsi="Arial" w:cs="Arial"/>
          <w:szCs w:val="24"/>
        </w:rPr>
        <w:t xml:space="preserve"> deste Tribunal (</w:t>
      </w:r>
      <w:hyperlink r:id="rId11" w:history="1">
        <w:r w:rsidRPr="00FC5C0E">
          <w:rPr>
            <w:rFonts w:ascii="Arial" w:hAnsi="Arial" w:cs="Arial"/>
            <w:color w:val="0000FF"/>
            <w:sz w:val="16"/>
            <w:szCs w:val="24"/>
            <w:u w:val="single"/>
          </w:rPr>
          <w:t>www.tce.pr.gov.br</w:t>
        </w:r>
      </w:hyperlink>
      <w:r w:rsidRPr="00FC5C0E">
        <w:rPr>
          <w:rFonts w:ascii="Arial" w:hAnsi="Arial" w:cs="Arial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58F81A7D" w14:textId="77777777" w:rsidR="001E21DA" w:rsidRDefault="001E21DA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FC5C0E">
        <w:rPr>
          <w:rFonts w:ascii="Arial" w:hAnsi="Arial" w:cs="Arial"/>
          <w:b/>
          <w:szCs w:val="24"/>
        </w:rPr>
        <w:t>Art. 8º</w:t>
      </w:r>
      <w:r w:rsidRPr="00FC5C0E">
        <w:rPr>
          <w:rFonts w:ascii="Arial" w:hAnsi="Arial" w:cs="Arial"/>
          <w:szCs w:val="24"/>
        </w:rPr>
        <w:t xml:space="preserve"> Esta Instrução Normativa entra em vigor na data de sua publicação.</w:t>
      </w:r>
    </w:p>
    <w:p w14:paraId="7FA1B2F2" w14:textId="77777777" w:rsidR="00141601" w:rsidRDefault="00141601" w:rsidP="00141601">
      <w:pPr>
        <w:autoSpaceDE/>
        <w:autoSpaceDN/>
        <w:spacing w:before="120" w:after="0" w:line="240" w:lineRule="auto"/>
        <w:ind w:firstLine="1134"/>
        <w:rPr>
          <w:rFonts w:ascii="Arial" w:hAnsi="Arial" w:cs="Arial"/>
          <w:szCs w:val="24"/>
        </w:rPr>
      </w:pPr>
    </w:p>
    <w:p w14:paraId="411D21C6" w14:textId="77777777" w:rsidR="001E21DA" w:rsidRDefault="001E21DA" w:rsidP="002E3EDE">
      <w:pPr>
        <w:autoSpaceDE/>
        <w:autoSpaceDN/>
        <w:spacing w:before="240" w:after="0" w:line="240" w:lineRule="auto"/>
        <w:ind w:firstLine="0"/>
        <w:jc w:val="center"/>
        <w:rPr>
          <w:rFonts w:ascii="Arial" w:hAnsi="Arial" w:cs="Arial"/>
          <w:szCs w:val="24"/>
        </w:rPr>
      </w:pPr>
      <w:r w:rsidRPr="00FC5C0E">
        <w:rPr>
          <w:rFonts w:ascii="Arial" w:hAnsi="Arial" w:cs="Arial"/>
          <w:szCs w:val="24"/>
        </w:rPr>
        <w:t xml:space="preserve">Curitiba, </w:t>
      </w:r>
      <w:r w:rsidRPr="00D80831">
        <w:rPr>
          <w:rFonts w:ascii="Arial" w:hAnsi="Arial" w:cs="Arial"/>
          <w:szCs w:val="24"/>
        </w:rPr>
        <w:t xml:space="preserve">16 de </w:t>
      </w:r>
      <w:r>
        <w:rPr>
          <w:rFonts w:ascii="Arial" w:hAnsi="Arial" w:cs="Arial"/>
          <w:szCs w:val="24"/>
        </w:rPr>
        <w:t>fevereiro</w:t>
      </w:r>
      <w:r w:rsidRPr="00FC5C0E">
        <w:rPr>
          <w:rFonts w:ascii="Arial" w:hAnsi="Arial" w:cs="Arial"/>
          <w:szCs w:val="24"/>
        </w:rPr>
        <w:t xml:space="preserve"> de 2017.</w:t>
      </w:r>
    </w:p>
    <w:p w14:paraId="57D122C6" w14:textId="77777777" w:rsidR="002E3EDE" w:rsidRPr="00FC5C0E" w:rsidRDefault="002E3EDE" w:rsidP="002E3EDE">
      <w:pPr>
        <w:autoSpaceDE/>
        <w:autoSpaceDN/>
        <w:spacing w:before="240" w:after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15A58625" w14:textId="77777777" w:rsidR="001E21DA" w:rsidRPr="00CB3485" w:rsidRDefault="001E21DA" w:rsidP="002E3EDE">
      <w:pPr>
        <w:spacing w:before="240" w:after="0" w:line="240" w:lineRule="auto"/>
        <w:ind w:firstLine="0"/>
        <w:jc w:val="center"/>
        <w:rPr>
          <w:rFonts w:ascii="Arial" w:hAnsi="Arial" w:cs="Arial"/>
          <w:b/>
          <w:szCs w:val="14"/>
        </w:rPr>
      </w:pPr>
      <w:r w:rsidRPr="00CB3485">
        <w:rPr>
          <w:rFonts w:ascii="Arial" w:hAnsi="Arial" w:cs="Arial"/>
          <w:b/>
          <w:szCs w:val="14"/>
        </w:rPr>
        <w:t>JOSÉ DURVAL MATTOS DO AMARAL</w:t>
      </w:r>
    </w:p>
    <w:p w14:paraId="0A17EB6C" w14:textId="77777777" w:rsidR="001E21DA" w:rsidRPr="00CB3485" w:rsidRDefault="001E21DA" w:rsidP="00141601">
      <w:pPr>
        <w:spacing w:before="0" w:after="0" w:line="240" w:lineRule="auto"/>
        <w:ind w:firstLine="0"/>
        <w:jc w:val="center"/>
        <w:rPr>
          <w:rFonts w:ascii="Arial" w:hAnsi="Arial" w:cs="Arial"/>
          <w:szCs w:val="14"/>
        </w:rPr>
      </w:pPr>
      <w:r w:rsidRPr="00CB3485">
        <w:rPr>
          <w:rFonts w:ascii="Arial" w:hAnsi="Arial" w:cs="Arial"/>
          <w:bCs/>
          <w:iCs/>
        </w:rPr>
        <w:t>Presidente</w:t>
      </w:r>
    </w:p>
    <w:p w14:paraId="295BCA93" w14:textId="77777777" w:rsidR="001E21DA" w:rsidRPr="00FC5C0E" w:rsidRDefault="001E21DA" w:rsidP="00215771">
      <w:pPr>
        <w:autoSpaceDE/>
        <w:autoSpaceDN/>
        <w:spacing w:before="240" w:after="0" w:line="240" w:lineRule="auto"/>
        <w:rPr>
          <w:rFonts w:ascii="Arial" w:hAnsi="Arial" w:cs="Arial"/>
          <w:szCs w:val="24"/>
        </w:rPr>
        <w:sectPr w:rsidR="001E21DA" w:rsidRPr="00FC5C0E" w:rsidSect="008D47AC">
          <w:headerReference w:type="default" r:id="rId12"/>
          <w:footnotePr>
            <w:numFmt w:val="chicago"/>
          </w:footnotePr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41773023" w14:textId="77777777" w:rsidR="001E21DA" w:rsidRPr="00FC5C0E" w:rsidRDefault="001E21DA" w:rsidP="00215771">
      <w:pPr>
        <w:shd w:val="pct5" w:color="auto" w:fill="auto"/>
        <w:autoSpaceDE/>
        <w:autoSpaceDN/>
        <w:ind w:right="752" w:firstLine="0"/>
        <w:jc w:val="center"/>
        <w:rPr>
          <w:rFonts w:ascii="Arial" w:hAnsi="Arial" w:cs="Arial"/>
          <w:b/>
          <w:sz w:val="28"/>
          <w:szCs w:val="28"/>
        </w:rPr>
      </w:pPr>
      <w:r w:rsidRPr="00FC5C0E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147E742D" w14:textId="77777777" w:rsidR="001E21DA" w:rsidRPr="00FC5C0E" w:rsidRDefault="001E21DA" w:rsidP="00215771">
      <w:pPr>
        <w:autoSpaceDE/>
        <w:autoSpaceDN/>
        <w:spacing w:before="480" w:after="240"/>
        <w:ind w:right="752" w:firstLine="0"/>
        <w:jc w:val="center"/>
        <w:rPr>
          <w:rFonts w:ascii="Arial" w:hAnsi="Arial" w:cs="Arial"/>
          <w:b/>
          <w:szCs w:val="24"/>
        </w:rPr>
      </w:pPr>
      <w:r w:rsidRPr="00FC5C0E">
        <w:rPr>
          <w:rFonts w:ascii="Arial" w:hAnsi="Arial" w:cs="Arial"/>
          <w:b/>
          <w:szCs w:val="24"/>
        </w:rPr>
        <w:t>DEMONSTRATIVO DOS GASTOS COM DIVULGAÇÃO E PROPAGANDA</w:t>
      </w:r>
      <w:r w:rsidRPr="00FC5C0E">
        <w:rPr>
          <w:rFonts w:ascii="Arial" w:hAnsi="Arial" w:cs="Arial"/>
          <w:b/>
          <w:szCs w:val="24"/>
        </w:rPr>
        <w:br/>
        <w:t>PODER EXECUTIVO ESTADUAL</w:t>
      </w:r>
      <w:r w:rsidRPr="00FC5C0E">
        <w:rPr>
          <w:rFonts w:ascii="Arial" w:hAnsi="Arial" w:cs="Arial"/>
          <w:b/>
          <w:szCs w:val="24"/>
        </w:rPr>
        <w:br/>
      </w:r>
      <w:r w:rsidRPr="00FC5C0E">
        <w:rPr>
          <w:rFonts w:ascii="Arial" w:hAnsi="Arial" w:cs="Arial"/>
          <w:sz w:val="18"/>
          <w:szCs w:val="18"/>
        </w:rPr>
        <w:t>EXERCÍCIO DE 2016</w:t>
      </w:r>
    </w:p>
    <w:p w14:paraId="523BA46F" w14:textId="77777777" w:rsidR="001E21DA" w:rsidRPr="00FC5C0E" w:rsidRDefault="001E21DA" w:rsidP="00215771">
      <w:pPr>
        <w:autoSpaceDE/>
        <w:autoSpaceDN/>
        <w:ind w:right="752" w:firstLine="0"/>
        <w:jc w:val="right"/>
        <w:rPr>
          <w:rFonts w:ascii="Arial" w:hAnsi="Arial" w:cs="Arial"/>
          <w:sz w:val="12"/>
          <w:szCs w:val="12"/>
        </w:rPr>
      </w:pPr>
    </w:p>
    <w:p w14:paraId="5520181B" w14:textId="77777777" w:rsidR="001E21DA" w:rsidRPr="00FC5C0E" w:rsidRDefault="001E21DA" w:rsidP="00215771">
      <w:pPr>
        <w:autoSpaceDE/>
        <w:autoSpaceDN/>
        <w:ind w:right="752" w:firstLine="0"/>
        <w:jc w:val="right"/>
        <w:rPr>
          <w:rFonts w:ascii="Arial" w:hAnsi="Arial" w:cs="Arial"/>
          <w:sz w:val="12"/>
          <w:szCs w:val="12"/>
        </w:rPr>
      </w:pPr>
      <w:r w:rsidRPr="00FC5C0E">
        <w:rPr>
          <w:rFonts w:ascii="Arial" w:hAnsi="Arial" w:cs="Arial"/>
          <w:sz w:val="12"/>
          <w:szCs w:val="12"/>
        </w:rPr>
        <w:t>Em R$</w:t>
      </w:r>
    </w:p>
    <w:tbl>
      <w:tblPr>
        <w:tblW w:w="4613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1471"/>
        <w:gridCol w:w="1346"/>
        <w:gridCol w:w="1223"/>
        <w:gridCol w:w="1298"/>
      </w:tblGrid>
      <w:tr w:rsidR="001E21DA" w:rsidRPr="00FC5C0E" w14:paraId="4EDB941A" w14:textId="77777777" w:rsidTr="004427B1">
        <w:trPr>
          <w:trHeight w:val="387"/>
        </w:trPr>
        <w:tc>
          <w:tcPr>
            <w:tcW w:w="1884" w:type="pct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  <w:hideMark/>
          </w:tcPr>
          <w:p w14:paraId="4B499F39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  <w:hideMark/>
          </w:tcPr>
          <w:p w14:paraId="626E1842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1448" w:type="pct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pct5" w:color="auto" w:fill="auto"/>
            <w:hideMark/>
          </w:tcPr>
          <w:p w14:paraId="34A591EA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FC5C0E">
              <w:rPr>
                <w:rFonts w:ascii="Arial" w:hAnsi="Arial" w:cs="Arial"/>
                <w:b/>
                <w:sz w:val="14"/>
                <w:szCs w:val="14"/>
              </w:rPr>
              <w:t>PADVs</w:t>
            </w:r>
            <w:proofErr w:type="spellEnd"/>
          </w:p>
        </w:tc>
      </w:tr>
      <w:tr w:rsidR="001E21DA" w:rsidRPr="00FC5C0E" w14:paraId="1054A4B8" w14:textId="77777777" w:rsidTr="004427B1">
        <w:trPr>
          <w:trHeight w:val="628"/>
        </w:trPr>
        <w:tc>
          <w:tcPr>
            <w:tcW w:w="1884" w:type="pct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8CD77F8" w14:textId="77777777" w:rsidR="001E21DA" w:rsidRPr="00FC5C0E" w:rsidRDefault="001E21DA" w:rsidP="004E7872">
            <w:pPr>
              <w:autoSpaceDE/>
              <w:autoSpaceDN/>
              <w:ind w:firstLine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hideMark/>
          </w:tcPr>
          <w:p w14:paraId="5D804CB8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C5C0E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hideMark/>
          </w:tcPr>
          <w:p w14:paraId="1E0C10B4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hideMark/>
          </w:tcPr>
          <w:p w14:paraId="4FE98568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C5C0E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pct5" w:color="auto" w:fill="auto"/>
            <w:hideMark/>
          </w:tcPr>
          <w:p w14:paraId="4CAFD394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1E21DA" w:rsidRPr="00FC5C0E" w14:paraId="55C9F0FE" w14:textId="77777777" w:rsidTr="004427B1">
        <w:trPr>
          <w:trHeight w:val="38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A3FD30E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ADMINISTRAÇÃO DIRETA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07A02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A561DD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A82B89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F9AEED9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5354476D" w14:textId="77777777" w:rsidTr="004427B1">
        <w:trPr>
          <w:trHeight w:val="61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3F2F2B45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as Secretarias de Estado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9BDE98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B72F9A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AA249A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14AF2E0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76F4EE32" w14:textId="77777777" w:rsidTr="004427B1">
        <w:trPr>
          <w:trHeight w:val="38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3450872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ADMINISTRAÇÃO INDIRETA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61F42C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E1385D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3C35B5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9E52623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3F1E5BBD" w14:textId="77777777" w:rsidTr="004427B1">
        <w:trPr>
          <w:trHeight w:val="38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2D62DA11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as Autarquias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549937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6A10D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DD7A44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2A856FF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7A8FF755" w14:textId="77777777" w:rsidTr="004427B1">
        <w:trPr>
          <w:trHeight w:val="61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0AB2391B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os Órgãos de Regime Especial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45734F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6587DF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1A5EAF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DAF5655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146C1A33" w14:textId="77777777" w:rsidTr="004427B1">
        <w:trPr>
          <w:trHeight w:val="61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00106CD9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os Fundos Especiais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2C62C7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D62AA2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2E7525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650CA41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08BCA813" w14:textId="77777777" w:rsidTr="004427B1">
        <w:trPr>
          <w:trHeight w:val="38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235D04D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as Fundações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84CF2C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0CA37A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E846A7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7EB4B83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1604B726" w14:textId="77777777" w:rsidTr="004427B1">
        <w:trPr>
          <w:trHeight w:val="61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8889F51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os Serviços Sociais Autônomos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54CC07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40E13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3CA71A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E34CC3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4B0AC996" w14:textId="77777777" w:rsidTr="004427B1">
        <w:trPr>
          <w:trHeight w:val="617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DF2EC45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as Empresas Públicas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5EE722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5FBEA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2DFD86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D63DC65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7B003DBC" w14:textId="77777777" w:rsidTr="004427B1">
        <w:trPr>
          <w:trHeight w:val="628"/>
        </w:trPr>
        <w:tc>
          <w:tcPr>
            <w:tcW w:w="18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77E4507D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FC5C0E">
              <w:rPr>
                <w:rFonts w:ascii="Arial" w:hAnsi="Arial" w:cs="Arial"/>
                <w:sz w:val="14"/>
                <w:szCs w:val="14"/>
              </w:rPr>
              <w:t>- Listar as Sociedades de Economia Mista que tiveram gastos nesta área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F0B2D1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8A284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4F6A56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0AF2A8E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21DA" w:rsidRPr="00FC5C0E" w14:paraId="34219791" w14:textId="77777777" w:rsidTr="004427B1">
        <w:trPr>
          <w:trHeight w:val="374"/>
        </w:trPr>
        <w:tc>
          <w:tcPr>
            <w:tcW w:w="188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pct5" w:color="auto" w:fill="auto"/>
            <w:hideMark/>
          </w:tcPr>
          <w:p w14:paraId="534D3F52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5C0E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870" w:type="pc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55830787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97" w:type="pc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1EC49E9C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780594F8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4" w:type="pct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pct5" w:color="auto" w:fill="auto"/>
          </w:tcPr>
          <w:p w14:paraId="0930E72E" w14:textId="77777777" w:rsidR="001E21DA" w:rsidRPr="00FC5C0E" w:rsidRDefault="001E21DA" w:rsidP="004E7872">
            <w:pPr>
              <w:autoSpaceDE/>
              <w:autoSpaceDN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7C076F0" w14:textId="77777777" w:rsidR="001E21DA" w:rsidRPr="00FC5C0E" w:rsidRDefault="001E21DA" w:rsidP="001E21DA">
      <w:pPr>
        <w:autoSpaceDE/>
        <w:autoSpaceDN/>
        <w:ind w:firstLine="0"/>
        <w:jc w:val="center"/>
        <w:rPr>
          <w:rFonts w:ascii="Arial" w:hAnsi="Arial" w:cs="Arial"/>
          <w:b/>
          <w:szCs w:val="24"/>
        </w:rPr>
      </w:pPr>
    </w:p>
    <w:tbl>
      <w:tblPr>
        <w:tblW w:w="455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8"/>
        <w:gridCol w:w="4033"/>
      </w:tblGrid>
      <w:tr w:rsidR="001E21DA" w:rsidRPr="00FC5C0E" w14:paraId="315D7E1A" w14:textId="77777777" w:rsidTr="004427B1">
        <w:trPr>
          <w:trHeight w:val="1339"/>
        </w:trPr>
        <w:tc>
          <w:tcPr>
            <w:tcW w:w="26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9F7FD1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6AF782B0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345D8D41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0400BF13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 xml:space="preserve">   Local e Data</w:t>
            </w:r>
          </w:p>
        </w:tc>
        <w:tc>
          <w:tcPr>
            <w:tcW w:w="23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AEE1D1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6F19E551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4F7F3ED3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5F99FBCB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6ABB7FBD" w14:textId="77777777" w:rsidR="001E21DA" w:rsidRPr="00FC5C0E" w:rsidRDefault="001E21DA" w:rsidP="001E21DA">
      <w:pPr>
        <w:autoSpaceDE/>
        <w:autoSpaceDN/>
        <w:ind w:firstLine="0"/>
        <w:rPr>
          <w:rFonts w:ascii="Arial" w:hAnsi="Arial" w:cs="Arial"/>
          <w:b/>
          <w:sz w:val="12"/>
          <w:szCs w:val="12"/>
        </w:rPr>
        <w:sectPr w:rsidR="001E21DA" w:rsidRPr="00FC5C0E">
          <w:pgSz w:w="11907" w:h="16840"/>
          <w:pgMar w:top="1843" w:right="850" w:bottom="1560" w:left="1800" w:header="284" w:footer="720" w:gutter="0"/>
          <w:paperSrc w:first="15" w:other="15"/>
          <w:cols w:space="720"/>
        </w:sectPr>
      </w:pPr>
    </w:p>
    <w:p w14:paraId="36205CC3" w14:textId="77777777" w:rsidR="001E21DA" w:rsidRDefault="001E21DA" w:rsidP="001E21DA">
      <w:pPr>
        <w:tabs>
          <w:tab w:val="center" w:pos="3502"/>
        </w:tabs>
        <w:autoSpaceDE/>
        <w:autoSpaceDN/>
        <w:ind w:firstLine="0"/>
        <w:rPr>
          <w:rFonts w:ascii="Arial" w:hAnsi="Arial" w:cs="Arial"/>
          <w:b/>
          <w:sz w:val="28"/>
          <w:szCs w:val="28"/>
        </w:rPr>
      </w:pPr>
    </w:p>
    <w:p w14:paraId="12937C49" w14:textId="77777777" w:rsidR="001E21DA" w:rsidRPr="00FC5C0E" w:rsidRDefault="001E21DA" w:rsidP="001E21DA">
      <w:pPr>
        <w:shd w:val="pct5" w:color="auto" w:fill="auto"/>
        <w:tabs>
          <w:tab w:val="center" w:pos="3502"/>
        </w:tabs>
        <w:autoSpaceDE/>
        <w:autoSpaceDN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C5C0E">
        <w:rPr>
          <w:rFonts w:ascii="Arial" w:hAnsi="Arial" w:cs="Arial"/>
          <w:b/>
          <w:sz w:val="28"/>
          <w:szCs w:val="28"/>
        </w:rPr>
        <w:t>ANEXO II</w:t>
      </w:r>
    </w:p>
    <w:p w14:paraId="3F13AF06" w14:textId="77777777" w:rsidR="001E21DA" w:rsidRDefault="001E21DA" w:rsidP="001E21DA">
      <w:pPr>
        <w:autoSpaceDE/>
        <w:autoSpaceDN/>
        <w:ind w:firstLine="0"/>
        <w:jc w:val="center"/>
        <w:rPr>
          <w:rFonts w:ascii="Arial" w:hAnsi="Arial" w:cs="Arial"/>
          <w:b/>
          <w:szCs w:val="24"/>
        </w:rPr>
      </w:pPr>
    </w:p>
    <w:p w14:paraId="712E3CFD" w14:textId="77777777" w:rsidR="001E21DA" w:rsidRPr="00FC5C0E" w:rsidRDefault="001E21DA" w:rsidP="001E21DA">
      <w:pPr>
        <w:autoSpaceDE/>
        <w:autoSpaceDN/>
        <w:ind w:firstLine="0"/>
        <w:jc w:val="center"/>
        <w:rPr>
          <w:rFonts w:ascii="Arial" w:hAnsi="Arial" w:cs="Arial"/>
          <w:b/>
          <w:szCs w:val="24"/>
        </w:rPr>
      </w:pPr>
      <w:r w:rsidRPr="00FC5C0E">
        <w:rPr>
          <w:rFonts w:ascii="Arial" w:hAnsi="Arial" w:cs="Arial"/>
          <w:b/>
          <w:szCs w:val="24"/>
        </w:rPr>
        <w:t>RESUMO DA DÍVIDA ATIVA</w:t>
      </w:r>
    </w:p>
    <w:p w14:paraId="15E69E83" w14:textId="77777777" w:rsidR="001E21DA" w:rsidRPr="00FC5C0E" w:rsidRDefault="001E21DA" w:rsidP="001E21DA">
      <w:pPr>
        <w:autoSpaceDE/>
        <w:autoSpaceDN/>
        <w:ind w:firstLine="0"/>
        <w:jc w:val="center"/>
        <w:rPr>
          <w:rFonts w:ascii="Arial" w:hAnsi="Arial" w:cs="Arial"/>
          <w:sz w:val="18"/>
          <w:szCs w:val="18"/>
        </w:rPr>
      </w:pPr>
      <w:r w:rsidRPr="00FC5C0E">
        <w:rPr>
          <w:rFonts w:ascii="Arial" w:hAnsi="Arial" w:cs="Arial"/>
          <w:sz w:val="18"/>
          <w:szCs w:val="18"/>
        </w:rPr>
        <w:t>POSIÇÃO DE 31/12/2016</w:t>
      </w:r>
    </w:p>
    <w:p w14:paraId="4B5BD0F2" w14:textId="002DF99C" w:rsidR="001E21DA" w:rsidRPr="00FC5C0E" w:rsidRDefault="001E21DA" w:rsidP="001E21DA">
      <w:pPr>
        <w:shd w:val="clear" w:color="auto" w:fill="FFFFFF"/>
        <w:autoSpaceDE/>
        <w:autoSpaceDN/>
        <w:ind w:firstLine="0"/>
        <w:jc w:val="center"/>
        <w:rPr>
          <w:rFonts w:ascii="Arial" w:hAnsi="Arial" w:cs="Arial"/>
          <w:szCs w:val="24"/>
        </w:rPr>
      </w:pPr>
      <w:r w:rsidRPr="00346B6E">
        <w:rPr>
          <w:rFonts w:ascii="Arial" w:hAnsi="Arial" w:cs="Arial"/>
          <w:noProof/>
          <w:szCs w:val="24"/>
        </w:rPr>
        <w:drawing>
          <wp:inline distT="0" distB="0" distL="0" distR="0" wp14:anchorId="2D984F2E" wp14:editId="636A4D8D">
            <wp:extent cx="3124835" cy="57804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935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3967"/>
      </w:tblGrid>
      <w:tr w:rsidR="001E21DA" w:rsidRPr="00FC5C0E" w14:paraId="36920259" w14:textId="77777777" w:rsidTr="004E7872">
        <w:trPr>
          <w:trHeight w:val="76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6BA716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68F5C24B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372BA624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Local e Data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18653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09DAF06D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2F464A02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772AFECB" w14:textId="77777777" w:rsidR="001E21DA" w:rsidRDefault="001E21DA" w:rsidP="001E21DA">
      <w:pPr>
        <w:autoSpaceDE/>
        <w:autoSpaceDN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77DAD9A" w14:textId="77777777" w:rsidR="001E21DA" w:rsidRPr="00FC5C0E" w:rsidRDefault="001E21DA" w:rsidP="001E21DA">
      <w:pPr>
        <w:shd w:val="pct5" w:color="auto" w:fill="auto"/>
        <w:autoSpaceDE/>
        <w:autoSpaceDN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C5C0E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3B79D087" w14:textId="77777777" w:rsidR="001E21DA" w:rsidRPr="00FC5C0E" w:rsidRDefault="001E21DA" w:rsidP="001E21DA">
      <w:pPr>
        <w:autoSpaceDE/>
        <w:autoSpaceDN/>
        <w:ind w:firstLine="0"/>
        <w:jc w:val="center"/>
        <w:rPr>
          <w:rFonts w:ascii="Arial" w:hAnsi="Arial" w:cs="Arial"/>
          <w:b/>
          <w:szCs w:val="24"/>
        </w:rPr>
      </w:pPr>
    </w:p>
    <w:p w14:paraId="4B418DE1" w14:textId="77777777" w:rsidR="001E21DA" w:rsidRPr="00FC5C0E" w:rsidRDefault="001E21DA" w:rsidP="001E21DA">
      <w:pPr>
        <w:autoSpaceDE/>
        <w:autoSpaceDN/>
        <w:ind w:firstLine="0"/>
        <w:jc w:val="center"/>
        <w:rPr>
          <w:rFonts w:ascii="Arial" w:hAnsi="Arial" w:cs="Arial"/>
          <w:b/>
          <w:szCs w:val="24"/>
        </w:rPr>
      </w:pPr>
      <w:r w:rsidRPr="00FC5C0E">
        <w:rPr>
          <w:rFonts w:ascii="Arial" w:hAnsi="Arial" w:cs="Arial"/>
          <w:b/>
          <w:szCs w:val="24"/>
        </w:rPr>
        <w:t>QUADRO DE PESSOAL DO PODER EXECUTIVO</w:t>
      </w:r>
    </w:p>
    <w:p w14:paraId="2CECCB7A" w14:textId="77777777" w:rsidR="001E21DA" w:rsidRPr="00FC5C0E" w:rsidRDefault="001E21DA" w:rsidP="001E21DA">
      <w:pPr>
        <w:autoSpaceDE/>
        <w:autoSpaceDN/>
        <w:ind w:firstLine="0"/>
        <w:jc w:val="center"/>
        <w:rPr>
          <w:rFonts w:ascii="Arial" w:hAnsi="Arial" w:cs="Arial"/>
          <w:sz w:val="18"/>
          <w:szCs w:val="18"/>
        </w:rPr>
      </w:pPr>
      <w:r w:rsidRPr="00FC5C0E">
        <w:rPr>
          <w:rFonts w:ascii="Arial" w:hAnsi="Arial" w:cs="Arial"/>
          <w:sz w:val="18"/>
          <w:szCs w:val="18"/>
        </w:rPr>
        <w:t>POSIÇÃO DE 31/12/2016</w:t>
      </w:r>
    </w:p>
    <w:p w14:paraId="1346DFE3" w14:textId="06577ADC" w:rsidR="001E21DA" w:rsidRPr="00FC5C0E" w:rsidRDefault="001E21DA" w:rsidP="001E21DA">
      <w:pPr>
        <w:keepNext/>
        <w:autoSpaceDE/>
        <w:autoSpaceDN/>
        <w:ind w:firstLine="0"/>
        <w:jc w:val="center"/>
        <w:outlineLvl w:val="8"/>
        <w:rPr>
          <w:rFonts w:ascii="Arial" w:hAnsi="Arial" w:cs="Arial"/>
          <w:i/>
          <w:color w:val="FF0000"/>
          <w:sz w:val="22"/>
          <w:szCs w:val="24"/>
        </w:rPr>
      </w:pPr>
      <w:r w:rsidRPr="00346B6E">
        <w:rPr>
          <w:rFonts w:ascii="Arial" w:hAnsi="Arial" w:cs="Arial"/>
          <w:i/>
          <w:noProof/>
          <w:color w:val="FF0000"/>
          <w:sz w:val="22"/>
          <w:szCs w:val="24"/>
        </w:rPr>
        <w:drawing>
          <wp:inline distT="0" distB="0" distL="0" distR="0" wp14:anchorId="47225DFE" wp14:editId="523AE4CE">
            <wp:extent cx="4932072" cy="590782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593" cy="592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D5C4" w14:textId="77777777" w:rsidR="001E21DA" w:rsidRPr="00FC5C0E" w:rsidRDefault="001E21DA" w:rsidP="001E21DA">
      <w:pPr>
        <w:autoSpaceDE/>
        <w:autoSpaceDN/>
        <w:ind w:firstLine="0"/>
        <w:rPr>
          <w:rFonts w:ascii="Arial" w:hAnsi="Arial" w:cs="Arial"/>
          <w:szCs w:val="24"/>
        </w:rPr>
      </w:pPr>
    </w:p>
    <w:tbl>
      <w:tblPr>
        <w:tblW w:w="792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7"/>
        <w:gridCol w:w="3953"/>
      </w:tblGrid>
      <w:tr w:rsidR="001E21DA" w:rsidRPr="00FC5C0E" w14:paraId="7F212CF1" w14:textId="77777777" w:rsidTr="00E31591">
        <w:trPr>
          <w:trHeight w:val="1035"/>
          <w:jc w:val="center"/>
        </w:trPr>
        <w:tc>
          <w:tcPr>
            <w:tcW w:w="3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092ED" w14:textId="77777777" w:rsidR="001E21DA" w:rsidRPr="00FC5C0E" w:rsidRDefault="001E21DA" w:rsidP="00E31591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5F3155F4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__________________________________</w:t>
            </w:r>
          </w:p>
          <w:p w14:paraId="02BB52E7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 xml:space="preserve">   Local e Data</w:t>
            </w:r>
          </w:p>
        </w:tc>
        <w:tc>
          <w:tcPr>
            <w:tcW w:w="3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8128D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</w:p>
          <w:p w14:paraId="1E9C92A1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__________________________________________</w:t>
            </w:r>
          </w:p>
          <w:p w14:paraId="77B1E814" w14:textId="77777777" w:rsidR="001E21DA" w:rsidRPr="00FC5C0E" w:rsidRDefault="001E21DA" w:rsidP="004E7872">
            <w:pPr>
              <w:tabs>
                <w:tab w:val="center" w:pos="1418"/>
                <w:tab w:val="center" w:pos="4253"/>
                <w:tab w:val="center" w:pos="7088"/>
              </w:tabs>
              <w:autoSpaceDE/>
              <w:autoSpaceDN/>
              <w:ind w:firstLine="0"/>
              <w:rPr>
                <w:rFonts w:ascii="Arial" w:hAnsi="Arial" w:cs="Arial"/>
                <w:sz w:val="16"/>
                <w:szCs w:val="24"/>
              </w:rPr>
            </w:pPr>
            <w:r w:rsidRPr="00FC5C0E">
              <w:rPr>
                <w:rFonts w:ascii="Arial" w:hAnsi="Arial" w:cs="Arial"/>
                <w:sz w:val="16"/>
                <w:szCs w:val="24"/>
              </w:rPr>
              <w:t>Responsável pelas Informações</w:t>
            </w:r>
          </w:p>
        </w:tc>
      </w:tr>
    </w:tbl>
    <w:p w14:paraId="36C6061F" w14:textId="77777777" w:rsidR="001E21DA" w:rsidRDefault="001E21DA" w:rsidP="00E31591">
      <w:pPr>
        <w:ind w:firstLine="0"/>
      </w:pPr>
    </w:p>
    <w:sectPr w:rsidR="001E21DA" w:rsidSect="001E21DA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6E5F" w14:textId="77777777" w:rsidR="00BF3583" w:rsidRDefault="00BF3583" w:rsidP="008D47AC">
      <w:pPr>
        <w:spacing w:before="0" w:after="0" w:line="240" w:lineRule="auto"/>
      </w:pPr>
      <w:r>
        <w:separator/>
      </w:r>
    </w:p>
  </w:endnote>
  <w:endnote w:type="continuationSeparator" w:id="0">
    <w:p w14:paraId="1A1A7BE3" w14:textId="77777777" w:rsidR="00BF3583" w:rsidRDefault="00BF3583" w:rsidP="008D47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53D8" w14:textId="77777777" w:rsidR="00BF3583" w:rsidRDefault="00BF3583" w:rsidP="0063710D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7D2ABF7C" w14:textId="77777777" w:rsidR="00BF3583" w:rsidRDefault="00BF3583" w:rsidP="008D47AC">
      <w:pPr>
        <w:spacing w:before="0" w:after="0" w:line="240" w:lineRule="auto"/>
      </w:pPr>
      <w:r>
        <w:continuationSeparator/>
      </w:r>
    </w:p>
  </w:footnote>
  <w:footnote w:id="1">
    <w:p w14:paraId="7487702B" w14:textId="77777777" w:rsidR="0063710D" w:rsidRPr="006372CB" w:rsidRDefault="0063710D" w:rsidP="0063710D">
      <w:pPr>
        <w:pStyle w:val="Textodenotaderodap"/>
        <w:ind w:firstLine="0"/>
        <w:contextualSpacing/>
        <w:jc w:val="left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6372CB">
        <w:rPr>
          <w:rFonts w:ascii="Arial" w:hAnsi="Arial" w:cs="Arial"/>
          <w:b/>
        </w:rPr>
        <w:t>Notas da Biblioteca:</w:t>
      </w:r>
    </w:p>
    <w:bookmarkEnd w:id="0"/>
    <w:p w14:paraId="0AE7214D" w14:textId="21274BCB" w:rsidR="0063710D" w:rsidRPr="006372CB" w:rsidRDefault="0063710D" w:rsidP="00CA67DA">
      <w:pPr>
        <w:pStyle w:val="PargrafodaLista"/>
        <w:numPr>
          <w:ilvl w:val="0"/>
          <w:numId w:val="8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6372CB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29703D" w:rsidRPr="0085727B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29703D" w:rsidRPr="006372CB">
          <w:rPr>
            <w:rStyle w:val="Hyperlink"/>
            <w:rFonts w:ascii="Arial" w:hAnsi="Arial" w:cs="Arial"/>
            <w:sz w:val="20"/>
            <w:szCs w:val="20"/>
          </w:rPr>
          <w:t>, Curitiba, PR, n. 1539, 20 fev. 2017, p. 70-73</w:t>
        </w:r>
      </w:hyperlink>
      <w:r w:rsidR="0029703D" w:rsidRPr="006372CB">
        <w:rPr>
          <w:rFonts w:ascii="Arial" w:hAnsi="Arial" w:cs="Arial"/>
          <w:sz w:val="20"/>
          <w:szCs w:val="20"/>
        </w:rPr>
        <w:t>.</w:t>
      </w:r>
    </w:p>
    <w:p w14:paraId="38EB20FC" w14:textId="59FA079B" w:rsidR="0063710D" w:rsidRPr="006372CB" w:rsidRDefault="0063710D" w:rsidP="00CA67DA">
      <w:pPr>
        <w:pStyle w:val="Textodenotaderodap"/>
        <w:numPr>
          <w:ilvl w:val="0"/>
          <w:numId w:val="8"/>
        </w:numPr>
        <w:ind w:left="426" w:hanging="284"/>
        <w:jc w:val="left"/>
        <w:rPr>
          <w:rStyle w:val="Hyperlink"/>
          <w:rFonts w:ascii="Arial" w:hAnsi="Arial" w:cs="Arial"/>
        </w:rPr>
      </w:pPr>
      <w:r w:rsidRPr="006372CB">
        <w:rPr>
          <w:rFonts w:ascii="Arial" w:hAnsi="Arial" w:cs="Arial"/>
        </w:rPr>
        <w:t xml:space="preserve">Origem: </w:t>
      </w:r>
      <w:r w:rsidR="0034323E" w:rsidRPr="006372CB">
        <w:rPr>
          <w:rFonts w:ascii="Arial" w:hAnsi="Arial" w:cs="Arial"/>
        </w:rPr>
        <w:t xml:space="preserve">Processo n. 986113/16 – </w:t>
      </w:r>
      <w:hyperlink r:id="rId2" w:history="1">
        <w:r w:rsidR="0034323E" w:rsidRPr="006372CB">
          <w:rPr>
            <w:rStyle w:val="Hyperlink"/>
            <w:rFonts w:ascii="Arial" w:hAnsi="Arial" w:cs="Arial"/>
          </w:rPr>
          <w:t>Acórdão n. 356/2017 – Tribunal Pleno.</w:t>
        </w:r>
      </w:hyperlink>
    </w:p>
    <w:p w14:paraId="6BE39386" w14:textId="27540701" w:rsidR="006A560A" w:rsidRPr="006372CB" w:rsidRDefault="006A560A" w:rsidP="00CA67DA">
      <w:pPr>
        <w:pStyle w:val="Textodenotaderodap"/>
        <w:numPr>
          <w:ilvl w:val="0"/>
          <w:numId w:val="8"/>
        </w:numPr>
        <w:ind w:left="426" w:hanging="284"/>
        <w:jc w:val="left"/>
        <w:rPr>
          <w:rStyle w:val="Hyperlink"/>
          <w:rFonts w:ascii="Arial" w:hAnsi="Arial" w:cs="Arial"/>
          <w:color w:val="auto"/>
          <w:u w:val="none"/>
        </w:rPr>
      </w:pPr>
      <w:r w:rsidRPr="006372CB">
        <w:rPr>
          <w:rStyle w:val="Hyperlink"/>
          <w:rFonts w:ascii="Arial" w:hAnsi="Arial" w:cs="Arial"/>
          <w:color w:val="auto"/>
          <w:u w:val="none"/>
        </w:rPr>
        <w:t>Ver também:</w:t>
      </w:r>
    </w:p>
    <w:p w14:paraId="1ECC4457" w14:textId="77777777" w:rsidR="006A560A" w:rsidRPr="006372CB" w:rsidRDefault="00000000" w:rsidP="00CA67DA">
      <w:pPr>
        <w:spacing w:before="0" w:after="0" w:line="240" w:lineRule="auto"/>
        <w:ind w:firstLine="426"/>
        <w:rPr>
          <w:rFonts w:ascii="Arial" w:hAnsi="Arial" w:cs="Arial"/>
          <w:sz w:val="20"/>
        </w:rPr>
      </w:pPr>
      <w:hyperlink r:id="rId3" w:history="1">
        <w:r w:rsidR="006A560A" w:rsidRPr="006372CB">
          <w:rPr>
            <w:rStyle w:val="Hyperlink"/>
            <w:rFonts w:ascii="Arial" w:hAnsi="Arial" w:cs="Arial"/>
            <w:sz w:val="20"/>
          </w:rPr>
          <w:t>Instrução Normativa n. 62, de 15 de dezembro de 2011</w:t>
        </w:r>
      </w:hyperlink>
      <w:r w:rsidR="006A560A" w:rsidRPr="006372CB">
        <w:rPr>
          <w:rFonts w:ascii="Arial" w:hAnsi="Arial" w:cs="Arial"/>
          <w:sz w:val="20"/>
        </w:rPr>
        <w:t>.</w:t>
      </w:r>
    </w:p>
    <w:p w14:paraId="555451A0" w14:textId="2CBED229" w:rsidR="006A560A" w:rsidRDefault="00000000" w:rsidP="00CA67DA">
      <w:pPr>
        <w:spacing w:before="0" w:after="0" w:line="240" w:lineRule="auto"/>
        <w:ind w:firstLine="426"/>
      </w:pPr>
      <w:hyperlink r:id="rId4" w:history="1">
        <w:r w:rsidR="006A560A" w:rsidRPr="006372CB">
          <w:rPr>
            <w:rStyle w:val="Hyperlink"/>
            <w:rFonts w:ascii="Arial" w:hAnsi="Arial" w:cs="Arial"/>
            <w:sz w:val="20"/>
          </w:rPr>
          <w:t>Instrução de Serviço n. 27, de 3 de outubro de 2011</w:t>
        </w:r>
      </w:hyperlink>
      <w:r w:rsidR="006A560A" w:rsidRPr="006372CB">
        <w:rPr>
          <w:rFonts w:ascii="Arial" w:hAnsi="Arial"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C2ED" w14:textId="0C84CAEE" w:rsidR="00E41F04" w:rsidRDefault="001E21DA" w:rsidP="00E41F04">
    <w:pPr>
      <w:pStyle w:val="Cabealho"/>
      <w:spacing w:before="360" w:after="120"/>
      <w:ind w:left="1134" w:firstLine="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5B4BE" wp14:editId="39B4081B">
          <wp:simplePos x="0" y="0"/>
          <wp:positionH relativeFrom="column">
            <wp:posOffset>229235</wp:posOffset>
          </wp:positionH>
          <wp:positionV relativeFrom="paragraph">
            <wp:posOffset>17780</wp:posOffset>
          </wp:positionV>
          <wp:extent cx="605790" cy="712470"/>
          <wp:effectExtent l="0" t="0" r="3810" b="0"/>
          <wp:wrapSquare wrapText="bothSides"/>
          <wp:docPr id="4" name="Imagem 4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E7B" w:rsidRPr="00B41FC5">
      <w:rPr>
        <w:rFonts w:ascii="Arial" w:hAnsi="Arial" w:cs="Arial"/>
        <w:b/>
        <w:sz w:val="28"/>
        <w:szCs w:val="28"/>
      </w:rPr>
      <w:t>TRIBUNAL DE CONTAS DO ESTADO DO PARANÁ</w:t>
    </w:r>
  </w:p>
  <w:p w14:paraId="5D69D404" w14:textId="77777777" w:rsidR="008D47AC" w:rsidRPr="00B41FC5" w:rsidRDefault="008D47AC" w:rsidP="008D47AC">
    <w:pPr>
      <w:pStyle w:val="Cabealho"/>
      <w:spacing w:before="120" w:after="120" w:line="240" w:lineRule="auto"/>
      <w:ind w:left="1134"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CD"/>
    <w:multiLevelType w:val="hybridMultilevel"/>
    <w:tmpl w:val="6F64CDC2"/>
    <w:lvl w:ilvl="0" w:tplc="4B101744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2265B3"/>
    <w:multiLevelType w:val="hybridMultilevel"/>
    <w:tmpl w:val="90FCA322"/>
    <w:lvl w:ilvl="0" w:tplc="FA44CD38">
      <w:start w:val="1"/>
      <w:numFmt w:val="lowerLetter"/>
      <w:lvlText w:val="%1)"/>
      <w:lvlJc w:val="left"/>
      <w:pPr>
        <w:ind w:left="2574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4D7449"/>
    <w:multiLevelType w:val="hybridMultilevel"/>
    <w:tmpl w:val="54886C00"/>
    <w:lvl w:ilvl="0" w:tplc="AF7A4EFA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DC313CD"/>
    <w:multiLevelType w:val="hybridMultilevel"/>
    <w:tmpl w:val="7B76E108"/>
    <w:lvl w:ilvl="0" w:tplc="9BBC243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75E7"/>
    <w:multiLevelType w:val="hybridMultilevel"/>
    <w:tmpl w:val="16506EBC"/>
    <w:lvl w:ilvl="0" w:tplc="85D49A80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32770AE"/>
    <w:multiLevelType w:val="hybridMultilevel"/>
    <w:tmpl w:val="3BF694A6"/>
    <w:lvl w:ilvl="0" w:tplc="4FDE509C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9E52B1D"/>
    <w:multiLevelType w:val="hybridMultilevel"/>
    <w:tmpl w:val="AC827240"/>
    <w:lvl w:ilvl="0" w:tplc="7E46B5E2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0073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618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582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65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963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3451187">
    <w:abstractNumId w:val="4"/>
  </w:num>
  <w:num w:numId="7" w16cid:durableId="1197349060">
    <w:abstractNumId w:val="0"/>
  </w:num>
  <w:num w:numId="8" w16cid:durableId="10772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F7"/>
    <w:rsid w:val="00112E7B"/>
    <w:rsid w:val="00141601"/>
    <w:rsid w:val="001E21DA"/>
    <w:rsid w:val="00215771"/>
    <w:rsid w:val="0029703D"/>
    <w:rsid w:val="002E3EDE"/>
    <w:rsid w:val="0034323E"/>
    <w:rsid w:val="003B6DD8"/>
    <w:rsid w:val="004427B1"/>
    <w:rsid w:val="0063710D"/>
    <w:rsid w:val="006372CB"/>
    <w:rsid w:val="006A560A"/>
    <w:rsid w:val="006E55CB"/>
    <w:rsid w:val="0085727B"/>
    <w:rsid w:val="008D47AC"/>
    <w:rsid w:val="00AC43F7"/>
    <w:rsid w:val="00BD6C68"/>
    <w:rsid w:val="00BF3583"/>
    <w:rsid w:val="00CA67DA"/>
    <w:rsid w:val="00D6203B"/>
    <w:rsid w:val="00D80831"/>
    <w:rsid w:val="00E3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62F1B5"/>
  <w15:chartTrackingRefBased/>
  <w15:docId w15:val="{DE4A66A4-4A65-4354-932B-F1165C51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DA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1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1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7A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A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63710D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6371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3710D"/>
    <w:rPr>
      <w:vertAlign w:val="superscript"/>
    </w:rPr>
  </w:style>
  <w:style w:type="character" w:styleId="Hyperlink">
    <w:name w:val="Hyperlink"/>
    <w:uiPriority w:val="99"/>
    <w:unhideWhenUsed/>
    <w:rsid w:val="0063710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710D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A6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2-de-15-de-dezembro-de-2011/237411/area/10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27-de-3-de-outubro-de-2011/1294/area/10" TargetMode="External"/><Relationship Id="rId14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17/2/pdf/00310331.pdf" TargetMode="External"/><Relationship Id="rId1" Type="http://schemas.openxmlformats.org/officeDocument/2006/relationships/hyperlink" Target="http://www1.tce.pr.gov.br/multimidia/2017/2/pdf/00310515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3198-9991-44B8-AE5F-FA257593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2386</Words>
  <Characters>12890</Characters>
  <Application>Microsoft Office Word</Application>
  <DocSecurity>0</DocSecurity>
  <Lines>107</Lines>
  <Paragraphs>30</Paragraphs>
  <ScaleCrop>false</ScaleCrop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18</cp:revision>
  <dcterms:created xsi:type="dcterms:W3CDTF">2022-06-27T16:14:00Z</dcterms:created>
  <dcterms:modified xsi:type="dcterms:W3CDTF">2022-07-13T00:47:00Z</dcterms:modified>
</cp:coreProperties>
</file>