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2305E" w14:textId="7397173A" w:rsidR="00490AA9" w:rsidRPr="00AC0D10" w:rsidRDefault="00490AA9" w:rsidP="00490AA9">
      <w:pPr>
        <w:spacing w:before="240" w:after="120" w:line="360" w:lineRule="auto"/>
        <w:jc w:val="center"/>
        <w:rPr>
          <w:rFonts w:ascii="Arial" w:hAnsi="Arial" w:cs="Arial"/>
          <w:b/>
          <w:sz w:val="28"/>
          <w:szCs w:val="28"/>
        </w:rPr>
      </w:pPr>
      <w:r w:rsidRPr="00AC0D10">
        <w:rPr>
          <w:rFonts w:ascii="Arial" w:hAnsi="Arial" w:cs="Arial"/>
          <w:b/>
          <w:sz w:val="28"/>
          <w:szCs w:val="28"/>
        </w:rPr>
        <w:t xml:space="preserve">INSTRUÇÃO NORMATIVA Nº </w:t>
      </w:r>
      <w:r>
        <w:rPr>
          <w:rFonts w:ascii="Arial" w:hAnsi="Arial" w:cs="Arial"/>
          <w:b/>
          <w:sz w:val="28"/>
          <w:szCs w:val="28"/>
        </w:rPr>
        <w:t>122</w:t>
      </w:r>
      <w:r w:rsidRPr="00AC0D10">
        <w:rPr>
          <w:rFonts w:ascii="Arial" w:hAnsi="Arial" w:cs="Arial"/>
          <w:b/>
          <w:sz w:val="28"/>
          <w:szCs w:val="28"/>
        </w:rPr>
        <w:t>/2016</w:t>
      </w:r>
      <w:r w:rsidR="00D77272">
        <w:rPr>
          <w:rStyle w:val="Refdenotaderodap"/>
          <w:rFonts w:ascii="Arial" w:hAnsi="Arial" w:cs="Arial"/>
          <w:b/>
          <w:sz w:val="28"/>
          <w:szCs w:val="28"/>
        </w:rPr>
        <w:footnoteReference w:id="1"/>
      </w:r>
    </w:p>
    <w:p w14:paraId="25818F57" w14:textId="77777777" w:rsidR="00490AA9" w:rsidRPr="00A2476D" w:rsidRDefault="00490AA9" w:rsidP="00A2476D">
      <w:pPr>
        <w:spacing w:before="360" w:after="360"/>
        <w:ind w:left="4536"/>
        <w:jc w:val="both"/>
        <w:rPr>
          <w:rFonts w:ascii="Arial" w:hAnsi="Arial" w:cs="Arial"/>
          <w:i/>
          <w:sz w:val="22"/>
          <w:szCs w:val="22"/>
        </w:rPr>
      </w:pPr>
      <w:r w:rsidRPr="00A2476D">
        <w:rPr>
          <w:rFonts w:ascii="Arial" w:hAnsi="Arial" w:cs="Arial"/>
          <w:i/>
          <w:sz w:val="22"/>
          <w:szCs w:val="22"/>
        </w:rPr>
        <w:t>Dispõe sobre a Malha Eletrônica e sobre o sistema de gerenciamento, instrumentos para fiscalização via acompanhamento das entidades de Administração Pública Municipal e Estadual, e dá outras providências.</w:t>
      </w:r>
    </w:p>
    <w:p w14:paraId="128FA71A" w14:textId="77777777" w:rsidR="00490AA9" w:rsidRDefault="00490AA9" w:rsidP="00490AA9">
      <w:pPr>
        <w:spacing w:before="120"/>
        <w:ind w:firstLine="1134"/>
        <w:jc w:val="both"/>
        <w:rPr>
          <w:rFonts w:ascii="Arial" w:hAnsi="Arial" w:cs="Arial"/>
          <w:sz w:val="24"/>
          <w:szCs w:val="24"/>
        </w:rPr>
      </w:pPr>
      <w:r w:rsidRPr="00A2476D">
        <w:rPr>
          <w:rFonts w:ascii="Arial" w:hAnsi="Arial" w:cs="Arial"/>
          <w:bCs/>
          <w:sz w:val="24"/>
          <w:szCs w:val="24"/>
        </w:rPr>
        <w:t xml:space="preserve">O </w:t>
      </w:r>
      <w:r w:rsidRPr="00AC0D10">
        <w:rPr>
          <w:rFonts w:ascii="Arial" w:hAnsi="Arial" w:cs="Arial"/>
          <w:b/>
          <w:sz w:val="24"/>
          <w:szCs w:val="24"/>
        </w:rPr>
        <w:t>TRIBUNAL DE CONTAS DO ESTADO DO PARANÁ</w:t>
      </w:r>
      <w:r w:rsidRPr="00993B22">
        <w:rPr>
          <w:rFonts w:ascii="Arial" w:hAnsi="Arial" w:cs="Arial"/>
          <w:sz w:val="24"/>
          <w:szCs w:val="24"/>
        </w:rPr>
        <w:t xml:space="preserve">, </w:t>
      </w:r>
      <w:r w:rsidRPr="00C45437">
        <w:rPr>
          <w:rFonts w:ascii="Arial" w:hAnsi="Arial" w:cs="Arial"/>
          <w:sz w:val="24"/>
          <w:szCs w:val="24"/>
        </w:rPr>
        <w:t xml:space="preserve">no uso das atribuições contidas no art. 1º, XIII, art. 2º, I, da Lei Complementar nº 113, de 15 de dezembro de 2005, e com base nos </w:t>
      </w:r>
      <w:proofErr w:type="spellStart"/>
      <w:r w:rsidRPr="00C45437">
        <w:rPr>
          <w:rFonts w:ascii="Arial" w:hAnsi="Arial" w:cs="Arial"/>
          <w:sz w:val="24"/>
          <w:szCs w:val="24"/>
        </w:rPr>
        <w:t>arts</w:t>
      </w:r>
      <w:proofErr w:type="spellEnd"/>
      <w:r w:rsidRPr="00C45437">
        <w:rPr>
          <w:rFonts w:ascii="Arial" w:hAnsi="Arial" w:cs="Arial"/>
          <w:sz w:val="24"/>
          <w:szCs w:val="24"/>
        </w:rPr>
        <w:t>. 187, II, 193 a 196, 219, 256, 257 e 273, IV, do Regimento Interno,</w:t>
      </w:r>
    </w:p>
    <w:p w14:paraId="2C0A4D37" w14:textId="77777777" w:rsidR="00490AA9" w:rsidRPr="00356971" w:rsidRDefault="00490AA9" w:rsidP="00490AA9">
      <w:pPr>
        <w:tabs>
          <w:tab w:val="left" w:pos="1260"/>
          <w:tab w:val="left" w:pos="1440"/>
          <w:tab w:val="left" w:pos="1620"/>
          <w:tab w:val="left" w:pos="1800"/>
          <w:tab w:val="left" w:pos="1980"/>
        </w:tabs>
        <w:spacing w:before="120"/>
        <w:ind w:firstLine="1134"/>
        <w:jc w:val="both"/>
        <w:rPr>
          <w:rFonts w:ascii="Arial" w:hAnsi="Arial" w:cs="Arial"/>
          <w:b/>
          <w:bCs/>
          <w:sz w:val="24"/>
          <w:szCs w:val="24"/>
        </w:rPr>
      </w:pPr>
    </w:p>
    <w:p w14:paraId="2240F65F" w14:textId="77777777" w:rsidR="00490AA9" w:rsidRPr="00356971" w:rsidRDefault="00490AA9" w:rsidP="00490AA9">
      <w:pPr>
        <w:tabs>
          <w:tab w:val="left" w:pos="1260"/>
          <w:tab w:val="left" w:pos="1440"/>
          <w:tab w:val="left" w:pos="1620"/>
          <w:tab w:val="left" w:pos="1800"/>
          <w:tab w:val="left" w:pos="1980"/>
        </w:tabs>
        <w:spacing w:before="120"/>
        <w:ind w:firstLine="1134"/>
        <w:jc w:val="both"/>
        <w:rPr>
          <w:rFonts w:ascii="Arial" w:hAnsi="Arial" w:cs="Arial"/>
          <w:b/>
          <w:bCs/>
          <w:sz w:val="24"/>
          <w:szCs w:val="24"/>
        </w:rPr>
      </w:pPr>
      <w:r w:rsidRPr="00356971">
        <w:rPr>
          <w:rFonts w:ascii="Arial" w:hAnsi="Arial" w:cs="Arial"/>
          <w:b/>
          <w:bCs/>
          <w:sz w:val="24"/>
          <w:szCs w:val="24"/>
        </w:rPr>
        <w:t>RESOLVE</w:t>
      </w:r>
    </w:p>
    <w:p w14:paraId="3138679D" w14:textId="77777777" w:rsidR="00490AA9" w:rsidRPr="00356971" w:rsidRDefault="00490AA9" w:rsidP="00490AA9">
      <w:pPr>
        <w:tabs>
          <w:tab w:val="left" w:pos="1260"/>
          <w:tab w:val="left" w:pos="1440"/>
          <w:tab w:val="left" w:pos="1620"/>
          <w:tab w:val="left" w:pos="1800"/>
          <w:tab w:val="left" w:pos="1980"/>
        </w:tabs>
        <w:spacing w:before="120"/>
        <w:ind w:firstLine="1134"/>
        <w:jc w:val="both"/>
        <w:rPr>
          <w:rFonts w:ascii="Arial" w:hAnsi="Arial" w:cs="Arial"/>
          <w:sz w:val="24"/>
          <w:szCs w:val="24"/>
        </w:rPr>
      </w:pPr>
    </w:p>
    <w:p w14:paraId="5BEBC85A" w14:textId="77777777" w:rsidR="00490AA9" w:rsidRPr="00C45437" w:rsidRDefault="00490AA9" w:rsidP="00490AA9">
      <w:pPr>
        <w:tabs>
          <w:tab w:val="left" w:pos="1260"/>
          <w:tab w:val="left" w:pos="1440"/>
          <w:tab w:val="left" w:pos="1620"/>
          <w:tab w:val="left" w:pos="1800"/>
          <w:tab w:val="left" w:pos="1980"/>
        </w:tabs>
        <w:autoSpaceDE/>
        <w:autoSpaceDN/>
        <w:spacing w:before="120"/>
        <w:jc w:val="center"/>
        <w:rPr>
          <w:rFonts w:ascii="Arial" w:hAnsi="Arial" w:cs="Arial"/>
          <w:b/>
          <w:bCs/>
          <w:sz w:val="24"/>
          <w:szCs w:val="24"/>
        </w:rPr>
      </w:pPr>
      <w:r w:rsidRPr="00C45437">
        <w:rPr>
          <w:rFonts w:ascii="Arial" w:hAnsi="Arial" w:cs="Arial"/>
          <w:b/>
          <w:bCs/>
          <w:sz w:val="24"/>
          <w:szCs w:val="24"/>
        </w:rPr>
        <w:t>CAPÍTULO I</w:t>
      </w:r>
    </w:p>
    <w:p w14:paraId="7F72081F" w14:textId="77777777" w:rsidR="00490AA9" w:rsidRPr="00C45437" w:rsidRDefault="00490AA9" w:rsidP="00490AA9">
      <w:pPr>
        <w:tabs>
          <w:tab w:val="left" w:pos="1260"/>
          <w:tab w:val="left" w:pos="1440"/>
          <w:tab w:val="left" w:pos="1620"/>
          <w:tab w:val="left" w:pos="1800"/>
          <w:tab w:val="left" w:pos="1980"/>
        </w:tabs>
        <w:autoSpaceDE/>
        <w:autoSpaceDN/>
        <w:jc w:val="center"/>
        <w:rPr>
          <w:rFonts w:ascii="Arial" w:hAnsi="Arial" w:cs="Arial"/>
          <w:b/>
          <w:bCs/>
          <w:sz w:val="24"/>
          <w:szCs w:val="24"/>
        </w:rPr>
      </w:pPr>
      <w:r w:rsidRPr="00C45437">
        <w:rPr>
          <w:rFonts w:ascii="Arial" w:hAnsi="Arial" w:cs="Arial"/>
          <w:b/>
          <w:bCs/>
          <w:sz w:val="24"/>
          <w:szCs w:val="24"/>
        </w:rPr>
        <w:t>DISPOSIÇÕES GERAIS</w:t>
      </w:r>
    </w:p>
    <w:p w14:paraId="54AE8EE3"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Art. 1º</w:t>
      </w:r>
      <w:r w:rsidRPr="00C45437">
        <w:rPr>
          <w:rFonts w:ascii="Arial" w:hAnsi="Arial" w:cs="Arial"/>
          <w:sz w:val="24"/>
          <w:szCs w:val="24"/>
        </w:rPr>
        <w:t xml:space="preserve"> A fiscalização realizada pelas unidades técnicas do Tribunal de Contas do Estado do Paraná via acompanhamento será preferencialmente realizada mediante procedimento previsto nesta Instrução Normativa.</w:t>
      </w:r>
    </w:p>
    <w:p w14:paraId="47AC7D98"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 xml:space="preserve">§ 1º A Coordenadoria-Geral de Fiscalização – CGF estabelecerá, com auxílio do Núcleo de Apoio à Fiscalização - NAF, até o mês de outubro de cada ano, as áreas e as diretrizes para a fiscalização referenciada no </w:t>
      </w:r>
      <w:r w:rsidRPr="00C45437">
        <w:rPr>
          <w:rFonts w:ascii="Arial" w:hAnsi="Arial" w:cs="Arial"/>
          <w:i/>
          <w:sz w:val="24"/>
          <w:szCs w:val="24"/>
        </w:rPr>
        <w:t>caput</w:t>
      </w:r>
      <w:r w:rsidRPr="00C45437">
        <w:rPr>
          <w:rFonts w:ascii="Arial" w:hAnsi="Arial" w:cs="Arial"/>
          <w:sz w:val="24"/>
          <w:szCs w:val="24"/>
        </w:rPr>
        <w:t xml:space="preserve"> deste artigo, aplicáveis ao exercício subsequente.</w:t>
      </w:r>
    </w:p>
    <w:p w14:paraId="3F5B15F9"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 xml:space="preserve">§ 2º A fiscalização de que trata o </w:t>
      </w:r>
      <w:r w:rsidRPr="00C45437">
        <w:rPr>
          <w:rFonts w:ascii="Arial" w:hAnsi="Arial" w:cs="Arial"/>
          <w:i/>
          <w:sz w:val="24"/>
          <w:szCs w:val="24"/>
        </w:rPr>
        <w:t>caput</w:t>
      </w:r>
      <w:r w:rsidRPr="00C45437">
        <w:rPr>
          <w:rFonts w:ascii="Arial" w:hAnsi="Arial" w:cs="Arial"/>
          <w:sz w:val="24"/>
          <w:szCs w:val="24"/>
        </w:rPr>
        <w:t xml:space="preserve"> será realizada principalmente por meio de método seletivo de verificação automática e semiautomática de indícios de inconformidades, denominado ora em diante nesta Instrução de “malha eletrônica”, baseado em critérios específicos previamente sugeridos pela unidade técnica fiscalizadora, definidos em conjunto com o Núcleo de Apoio à Fiscalização – NAF a partir das definições de áreas pela Coordenadoria-Geral de Fiscalização – CGF, respeitadas as diretrizes estratégicas de fiscalização do Tribunal.</w:t>
      </w:r>
    </w:p>
    <w:p w14:paraId="2466BE8F"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lastRenderedPageBreak/>
        <w:t>§ 3º A CGF poderá, a qualquer tempo, promover a revisão das definições previstas no § 1º deste artigo.</w:t>
      </w:r>
    </w:p>
    <w:p w14:paraId="14A94A45"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 4º O NAF encaminhará à CGF, mensalmente, relatório gerencial das atividades e dos resultados das fiscalizações realizadas nos termos da presente normativa.</w:t>
      </w:r>
    </w:p>
    <w:p w14:paraId="3D92F622"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 xml:space="preserve">Art. 2º </w:t>
      </w:r>
      <w:r w:rsidRPr="00C45437">
        <w:rPr>
          <w:rFonts w:ascii="Arial" w:hAnsi="Arial" w:cs="Arial"/>
          <w:sz w:val="24"/>
          <w:szCs w:val="24"/>
        </w:rPr>
        <w:t>A malha eletrônica terá por fonte dados disponíveis em quaisquer bases de informações da rede própria do Tribunal, dados externos de bases de outros órgãos parceiros ou dados de livre disponibilidade na rede mundial de computadores.</w:t>
      </w:r>
    </w:p>
    <w:p w14:paraId="49F9519D"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 xml:space="preserve">§ 1º Independe de programação a fiscalização realizada para avaliação dos critérios previstos no art. 1º, que devem ser sugeridos pela unidade técnica juntamente com os parâmetros de conformidade, a periodicidade da sua aplicação, os prazos de fiscalização, os respectivos encaminhamentos previstos e outras especificidades que se fizerem necessárias para o seu adequado desenvolvimento. </w:t>
      </w:r>
    </w:p>
    <w:p w14:paraId="7CBCD703"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 2º A fiscalização de que trata este artigo prescinde da instauração de processo de prestação ou de tomada de contas.</w:t>
      </w:r>
    </w:p>
    <w:p w14:paraId="73918C44"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 xml:space="preserve">Art. 3º </w:t>
      </w:r>
      <w:r w:rsidRPr="00C45437">
        <w:rPr>
          <w:rFonts w:ascii="Arial" w:hAnsi="Arial" w:cs="Arial"/>
          <w:sz w:val="24"/>
          <w:szCs w:val="24"/>
        </w:rPr>
        <w:t xml:space="preserve">O procedimento de acompanhamento não obsta a possibilidade de realização de auditorias e inspeções </w:t>
      </w:r>
      <w:r w:rsidRPr="00C45437">
        <w:rPr>
          <w:rFonts w:ascii="Arial" w:hAnsi="Arial" w:cs="Arial"/>
          <w:i/>
          <w:sz w:val="24"/>
          <w:szCs w:val="24"/>
        </w:rPr>
        <w:t>in loco</w:t>
      </w:r>
      <w:r w:rsidRPr="00C45437">
        <w:rPr>
          <w:rFonts w:ascii="Arial" w:hAnsi="Arial" w:cs="Arial"/>
          <w:sz w:val="24"/>
          <w:szCs w:val="24"/>
        </w:rPr>
        <w:t xml:space="preserve"> e o uso de outros mecanismos de fiscalização previstos na Lei Orgânica e no Regimento Interno deste Tribunal de Contas.</w:t>
      </w:r>
    </w:p>
    <w:p w14:paraId="31BF0869" w14:textId="77777777" w:rsidR="00490AA9" w:rsidRPr="00C45437" w:rsidRDefault="00490AA9" w:rsidP="00A2476D">
      <w:pPr>
        <w:autoSpaceDE/>
        <w:autoSpaceDN/>
        <w:spacing w:before="120"/>
        <w:ind w:firstLine="1134"/>
        <w:jc w:val="both"/>
        <w:rPr>
          <w:rFonts w:ascii="Arial" w:hAnsi="Arial" w:cs="Arial"/>
          <w:sz w:val="24"/>
          <w:szCs w:val="24"/>
        </w:rPr>
      </w:pPr>
    </w:p>
    <w:p w14:paraId="08B279CB" w14:textId="77777777" w:rsidR="00490AA9" w:rsidRPr="00C45437" w:rsidRDefault="00490AA9" w:rsidP="00490AA9">
      <w:pPr>
        <w:tabs>
          <w:tab w:val="left" w:pos="1260"/>
          <w:tab w:val="left" w:pos="1440"/>
          <w:tab w:val="left" w:pos="1620"/>
          <w:tab w:val="left" w:pos="1800"/>
          <w:tab w:val="left" w:pos="1980"/>
        </w:tabs>
        <w:autoSpaceDE/>
        <w:autoSpaceDN/>
        <w:spacing w:before="120"/>
        <w:jc w:val="center"/>
        <w:rPr>
          <w:rFonts w:ascii="Arial" w:hAnsi="Arial" w:cs="Arial"/>
          <w:b/>
          <w:bCs/>
          <w:sz w:val="24"/>
          <w:szCs w:val="24"/>
        </w:rPr>
      </w:pPr>
      <w:r w:rsidRPr="00C45437">
        <w:rPr>
          <w:rFonts w:ascii="Arial" w:hAnsi="Arial" w:cs="Arial"/>
          <w:b/>
          <w:bCs/>
          <w:sz w:val="24"/>
          <w:szCs w:val="24"/>
        </w:rPr>
        <w:t>CAPÍTULO II</w:t>
      </w:r>
    </w:p>
    <w:p w14:paraId="41F70576" w14:textId="77777777" w:rsidR="00490AA9" w:rsidRPr="00C45437" w:rsidRDefault="00490AA9" w:rsidP="00490AA9">
      <w:pPr>
        <w:tabs>
          <w:tab w:val="left" w:pos="1260"/>
          <w:tab w:val="left" w:pos="1440"/>
          <w:tab w:val="left" w:pos="1620"/>
          <w:tab w:val="left" w:pos="1800"/>
          <w:tab w:val="left" w:pos="1980"/>
        </w:tabs>
        <w:autoSpaceDE/>
        <w:autoSpaceDN/>
        <w:jc w:val="center"/>
        <w:rPr>
          <w:rFonts w:ascii="Arial" w:hAnsi="Arial" w:cs="Arial"/>
          <w:b/>
          <w:bCs/>
          <w:sz w:val="24"/>
          <w:szCs w:val="24"/>
        </w:rPr>
      </w:pPr>
      <w:r w:rsidRPr="00C45437">
        <w:rPr>
          <w:rFonts w:ascii="Arial" w:hAnsi="Arial" w:cs="Arial"/>
          <w:b/>
          <w:bCs/>
          <w:sz w:val="24"/>
          <w:szCs w:val="24"/>
        </w:rPr>
        <w:t>DO ACOMPANHAMENTO DE GESTÃO VIA MALHA ELETRÔNICA</w:t>
      </w:r>
    </w:p>
    <w:p w14:paraId="3C9959DB"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 xml:space="preserve">Art. 4º </w:t>
      </w:r>
      <w:r w:rsidRPr="00C45437">
        <w:rPr>
          <w:rFonts w:ascii="Arial" w:hAnsi="Arial" w:cs="Arial"/>
          <w:sz w:val="24"/>
          <w:szCs w:val="24"/>
        </w:rPr>
        <w:t>A identificação de atos, fatos e informações que consistam em indícios de incorreções, riscos à gestão, irregularidades ou ilegalidades poderá ensejar as seguintes espécies de comunicação, realizadas via sistema de gerenciamento, ao representante legal cadastrado no sistema do Tribunal e ao responsável pelo controle interno:</w:t>
      </w:r>
    </w:p>
    <w:p w14:paraId="6219062A"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I – Advertência;</w:t>
      </w:r>
    </w:p>
    <w:p w14:paraId="750E70C4"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II – Apontamento Preliminar de Acompanhamento – APA;</w:t>
      </w:r>
    </w:p>
    <w:p w14:paraId="4609048A"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III – Outras formas de comunicação disponibilizadas no sistema de gerenciamento.</w:t>
      </w:r>
    </w:p>
    <w:p w14:paraId="63000D5A"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 xml:space="preserve">Parágrafo único. A identificação dos atos, fatos e informações prevista no </w:t>
      </w:r>
      <w:r w:rsidRPr="00C45437">
        <w:rPr>
          <w:rFonts w:ascii="Arial" w:hAnsi="Arial" w:cs="Arial"/>
          <w:i/>
          <w:sz w:val="24"/>
          <w:szCs w:val="24"/>
        </w:rPr>
        <w:t xml:space="preserve">caput, </w:t>
      </w:r>
      <w:r w:rsidRPr="00C45437">
        <w:rPr>
          <w:rFonts w:ascii="Arial" w:hAnsi="Arial" w:cs="Arial"/>
          <w:sz w:val="24"/>
          <w:szCs w:val="24"/>
        </w:rPr>
        <w:t>de acordo com o risco e a relevância dos indícios, poderá gerar outros tipos de acompanhamento previstos no sistema de gerenciamento, sem que seja aberta comunicação imediata ao representante legal e ao responsável pelo controle interno.</w:t>
      </w:r>
    </w:p>
    <w:p w14:paraId="140D3321"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Art. 5º</w:t>
      </w:r>
      <w:r w:rsidRPr="00C45437">
        <w:rPr>
          <w:rFonts w:ascii="Arial" w:hAnsi="Arial" w:cs="Arial"/>
          <w:sz w:val="24"/>
          <w:szCs w:val="24"/>
        </w:rPr>
        <w:t xml:space="preserve"> A advertência será cabível nos casos em que forem apuradas deficiências ou faltas de natureza formal, nas hipóteses de danos ao erário que resultem em valor igual ou inferior aos limites mínimos para fins de instauração de processos ou procedimentos em geral, conforme importe estabelecido em ato </w:t>
      </w:r>
      <w:r w:rsidRPr="00C45437">
        <w:rPr>
          <w:rFonts w:ascii="Arial" w:hAnsi="Arial" w:cs="Arial"/>
          <w:sz w:val="24"/>
          <w:szCs w:val="24"/>
        </w:rPr>
        <w:lastRenderedPageBreak/>
        <w:t>normativo próprio, ou em outras situações em que tal tipo de comunicação for mais adequado, considerando-se a racionalização administrativa e a economia processual.</w:t>
      </w:r>
    </w:p>
    <w:p w14:paraId="596F2F03" w14:textId="77777777" w:rsidR="00490AA9" w:rsidRPr="00C45437" w:rsidRDefault="00490AA9" w:rsidP="00A2476D">
      <w:pPr>
        <w:autoSpaceDE/>
        <w:autoSpaceDN/>
        <w:spacing w:before="120"/>
        <w:ind w:firstLine="1134"/>
        <w:jc w:val="both"/>
        <w:rPr>
          <w:rFonts w:ascii="Arial" w:hAnsi="Arial" w:cs="Arial"/>
          <w:color w:val="7030A0"/>
          <w:sz w:val="24"/>
          <w:szCs w:val="24"/>
        </w:rPr>
      </w:pPr>
      <w:r w:rsidRPr="00C45437">
        <w:rPr>
          <w:rFonts w:ascii="Arial" w:hAnsi="Arial" w:cs="Arial"/>
          <w:sz w:val="24"/>
          <w:szCs w:val="24"/>
        </w:rPr>
        <w:t>§ 1º Aplicada a advertência, os agentes comunicados deverão registrar a sua ciência, via sistema de gerenciamento.</w:t>
      </w:r>
    </w:p>
    <w:p w14:paraId="196B5E82"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 2º A unidade técnica poderá, a qualquer tempo, de ofício ou mediante provocação, propor a instauração de procedimento específico com a finalidade de apurar responsabilidades, aplicar sanções e/ou reorientar a gestão em decorrência da prática reiterada de fatos ensejadores de advertência ou da ausência contumaz de registro de ciência pelos agentes comunicados.</w:t>
      </w:r>
    </w:p>
    <w:p w14:paraId="47156197"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Art. 6º</w:t>
      </w:r>
      <w:r w:rsidRPr="00C45437">
        <w:rPr>
          <w:rFonts w:ascii="Arial" w:hAnsi="Arial" w:cs="Arial"/>
          <w:sz w:val="24"/>
          <w:szCs w:val="24"/>
        </w:rPr>
        <w:t xml:space="preserve"> O APA será cabível quando, de acordo com critérios de relevância, risco e materialidade, forem apurados indícios de irregularidades que não recomendem a aplicação de mera advertência e que não demandem a abertura imediata de processo, conforme definições previstas nesta Instrução.</w:t>
      </w:r>
    </w:p>
    <w:p w14:paraId="1A4DB8D2"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Parágrafo único.</w:t>
      </w:r>
      <w:r w:rsidRPr="00C45437">
        <w:rPr>
          <w:rFonts w:ascii="Arial" w:hAnsi="Arial" w:cs="Arial"/>
          <w:b/>
          <w:sz w:val="24"/>
          <w:szCs w:val="24"/>
        </w:rPr>
        <w:t xml:space="preserve"> </w:t>
      </w:r>
      <w:r w:rsidRPr="00C45437">
        <w:rPr>
          <w:rFonts w:ascii="Arial" w:hAnsi="Arial" w:cs="Arial"/>
          <w:sz w:val="24"/>
          <w:szCs w:val="24"/>
        </w:rPr>
        <w:t>Será dada preferência à abertura imediata de processo nos casos em que o indício de irregularidade detectado recomendar a aplicação de medida cautelar, nos termos do art. 53, da Lei Complementar estadual nº 113/05.</w:t>
      </w:r>
    </w:p>
    <w:p w14:paraId="32B81766"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Art. 7º</w:t>
      </w:r>
      <w:r w:rsidRPr="00C45437">
        <w:rPr>
          <w:rFonts w:ascii="Arial" w:hAnsi="Arial" w:cs="Arial"/>
          <w:sz w:val="24"/>
          <w:szCs w:val="24"/>
        </w:rPr>
        <w:t xml:space="preserve"> Os agentes comunicados deverão se manifestar sobre o conteúdo do APA na página do Tribunal, na rede mundial de computadores, na área reservada ao sistema gerenciador, mediante acesso controlado por senha de segurança.</w:t>
      </w:r>
    </w:p>
    <w:p w14:paraId="5B6665FE"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 xml:space="preserve">§ 1º O prazo para a manifestação de que trata o </w:t>
      </w:r>
      <w:r w:rsidRPr="00C45437">
        <w:rPr>
          <w:rFonts w:ascii="Arial" w:hAnsi="Arial" w:cs="Arial"/>
          <w:i/>
          <w:sz w:val="24"/>
          <w:szCs w:val="24"/>
        </w:rPr>
        <w:t>caput</w:t>
      </w:r>
      <w:r w:rsidRPr="00C45437">
        <w:rPr>
          <w:rFonts w:ascii="Arial" w:hAnsi="Arial" w:cs="Arial"/>
          <w:sz w:val="24"/>
          <w:szCs w:val="24"/>
        </w:rPr>
        <w:t xml:space="preserve"> deste artigo constará da comunicação eletrônica encaminhada pela unidade técnica, possibilitada a apresentação de um pedido de prorrogação pelos agentes comunicados.</w:t>
      </w:r>
    </w:p>
    <w:p w14:paraId="0263951F"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 2º O representante legal poderá, sem caracterização de transferência de responsabilidade, designar responsável técnico, devidamente cadastrado no sistema do Tribunal, para complementar as informações e a documentação requeridas no APA.</w:t>
      </w:r>
    </w:p>
    <w:p w14:paraId="415C838E"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 3º Tendo em vista a natureza prévia do APA, o sistema somente admitirá, para cada comunicação, uma única manifestação dos interessados, estando a unidade técnica autorizada a requerer eventual complementação ou aditamento.</w:t>
      </w:r>
    </w:p>
    <w:p w14:paraId="152FA865" w14:textId="77777777" w:rsidR="00490AA9" w:rsidRPr="00C45437" w:rsidRDefault="00490AA9" w:rsidP="00A2476D">
      <w:pPr>
        <w:autoSpaceDE/>
        <w:autoSpaceDN/>
        <w:spacing w:before="120"/>
        <w:ind w:firstLine="1134"/>
        <w:jc w:val="both"/>
        <w:rPr>
          <w:rFonts w:ascii="Arial" w:hAnsi="Arial" w:cs="Arial"/>
          <w:color w:val="7030A0"/>
          <w:sz w:val="24"/>
          <w:szCs w:val="24"/>
        </w:rPr>
      </w:pPr>
      <w:r w:rsidRPr="00C45437">
        <w:rPr>
          <w:rFonts w:ascii="Arial" w:hAnsi="Arial" w:cs="Arial"/>
          <w:sz w:val="24"/>
          <w:szCs w:val="24"/>
        </w:rPr>
        <w:t xml:space="preserve">§ 4º O sistema não permitirá apresentação de resposta após o término do prazo fixado conforme o § 1º deste artigo. </w:t>
      </w:r>
    </w:p>
    <w:p w14:paraId="605BF1F2"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 5º O representante legal e/ou o responsável pelo controle interno estará(</w:t>
      </w:r>
      <w:proofErr w:type="spellStart"/>
      <w:r w:rsidRPr="00C45437">
        <w:rPr>
          <w:rFonts w:ascii="Arial" w:hAnsi="Arial" w:cs="Arial"/>
          <w:sz w:val="24"/>
          <w:szCs w:val="24"/>
        </w:rPr>
        <w:t>ão</w:t>
      </w:r>
      <w:proofErr w:type="spellEnd"/>
      <w:r w:rsidRPr="00C45437">
        <w:rPr>
          <w:rFonts w:ascii="Arial" w:hAnsi="Arial" w:cs="Arial"/>
          <w:sz w:val="24"/>
          <w:szCs w:val="24"/>
        </w:rPr>
        <w:t>) sujeito(s) às sanções enunciadas na Lei Orgânica do Tribunal de Contas, e ao previsto no art. 8º, II, desta Instrução, caso tenha(m) permanecido silente(s) e não tenha(m) sido apresentada(s) resposta(s) satisfatória(s) pelo outro agente comunicado.</w:t>
      </w:r>
    </w:p>
    <w:p w14:paraId="425DC727"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lastRenderedPageBreak/>
        <w:t>§ 6º Caso se verifique a falsidade da resposta apresentada pelo interessado, o fato será comunicado ao Ministério Público do Estado do Paraná para apuração quanto à possível prática do crime previsto no artigo 299 do Código Penal.</w:t>
      </w:r>
    </w:p>
    <w:p w14:paraId="22ADEEC6"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Art. 8º</w:t>
      </w:r>
      <w:r w:rsidRPr="00C45437">
        <w:rPr>
          <w:rFonts w:ascii="Arial" w:hAnsi="Arial" w:cs="Arial"/>
          <w:sz w:val="24"/>
          <w:szCs w:val="24"/>
        </w:rPr>
        <w:t xml:space="preserve"> Expirado o prazo para a manifestação dos agentes comunicados, a unidade técnica efetuará a conclusão do APA, com base nas seguintes diretrizes:</w:t>
      </w:r>
    </w:p>
    <w:p w14:paraId="05ADDFF9"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I – considerada satisfatória a resposta de pelo menos um dos agentes, e/ou não mais subsistindo os fatos que motivaram a emissão do APA, será encerrada a ocorrência, não sendo gerado processo administrativo;</w:t>
      </w:r>
    </w:p>
    <w:p w14:paraId="7A761637"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II – considerada insatisfatória ou não apresentada resposta, serão tomadas as medidas cabíveis, na forma do Regimento Interno, inclusive mediante abertura de Comunicação de Irregularidade, para fins de autuação, instrução, julgamento, cumprimento das deliberações e encerramento do processo.</w:t>
      </w:r>
    </w:p>
    <w:p w14:paraId="1F3F361E"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Art. 9º</w:t>
      </w:r>
      <w:r w:rsidRPr="00C45437">
        <w:rPr>
          <w:rFonts w:ascii="Arial" w:hAnsi="Arial" w:cs="Arial"/>
          <w:sz w:val="24"/>
          <w:szCs w:val="24"/>
        </w:rPr>
        <w:t xml:space="preserve"> Dependendo da natureza do objeto do questionamento ou da forma de verificação da sua regularização, o indício detectado na forma do artigo 4º poderá subsidiar outros eventuais procedimentos de fiscalização ou implicar a inclusão do ente ou da entidade no Plano Anual de Fiscalização.</w:t>
      </w:r>
    </w:p>
    <w:p w14:paraId="570BD35F"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Art. 10</w:t>
      </w:r>
      <w:r w:rsidRPr="00C45437">
        <w:rPr>
          <w:rFonts w:ascii="Arial" w:hAnsi="Arial" w:cs="Arial"/>
          <w:sz w:val="24"/>
          <w:szCs w:val="24"/>
        </w:rPr>
        <w:t>. Quando os indícios de incorreções, riscos à gestão, irregularidades ou ilegalidades dependerem de diligência externa para sua apuração ou confirmação da sua caracterização, poderá ser realizada visita técnica, mediante autorização da Coordenadoria-Geral de Fiscalização e da Presidência, no âmbito do procedimento de acompanhamento, nos termos do artigo 258, V, do Regimento Interno.</w:t>
      </w:r>
    </w:p>
    <w:p w14:paraId="7BB8BF5F"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 xml:space="preserve">Parágrafo único. A visita técnica prevista no </w:t>
      </w:r>
      <w:r w:rsidRPr="00C45437">
        <w:rPr>
          <w:rFonts w:ascii="Arial" w:hAnsi="Arial" w:cs="Arial"/>
          <w:i/>
          <w:sz w:val="24"/>
          <w:szCs w:val="24"/>
        </w:rPr>
        <w:t>caput</w:t>
      </w:r>
      <w:r w:rsidRPr="00C45437">
        <w:rPr>
          <w:rFonts w:ascii="Arial" w:hAnsi="Arial" w:cs="Arial"/>
          <w:sz w:val="24"/>
          <w:szCs w:val="24"/>
        </w:rPr>
        <w:t xml:space="preserve"> resultará na emissão de relatório, que comporá o procedimento de acompanhamento.</w:t>
      </w:r>
    </w:p>
    <w:p w14:paraId="799293DF" w14:textId="77777777" w:rsidR="00490AA9" w:rsidRPr="00C45437" w:rsidRDefault="00490AA9" w:rsidP="00490AA9">
      <w:pPr>
        <w:autoSpaceDE/>
        <w:autoSpaceDN/>
        <w:spacing w:before="120"/>
        <w:ind w:firstLine="1134"/>
        <w:jc w:val="both"/>
        <w:rPr>
          <w:rFonts w:ascii="Arial" w:hAnsi="Arial" w:cs="Arial"/>
          <w:sz w:val="24"/>
          <w:szCs w:val="24"/>
        </w:rPr>
      </w:pPr>
    </w:p>
    <w:p w14:paraId="073FD5AA" w14:textId="77777777" w:rsidR="00490AA9" w:rsidRPr="00C45437" w:rsidRDefault="00490AA9" w:rsidP="00490AA9">
      <w:pPr>
        <w:autoSpaceDE/>
        <w:autoSpaceDN/>
        <w:spacing w:before="120"/>
        <w:jc w:val="center"/>
        <w:rPr>
          <w:rFonts w:ascii="Arial" w:hAnsi="Arial" w:cs="Arial"/>
          <w:b/>
          <w:sz w:val="24"/>
          <w:szCs w:val="24"/>
        </w:rPr>
      </w:pPr>
      <w:r w:rsidRPr="00C45437">
        <w:rPr>
          <w:rFonts w:ascii="Arial" w:hAnsi="Arial" w:cs="Arial"/>
          <w:b/>
          <w:sz w:val="24"/>
          <w:szCs w:val="24"/>
        </w:rPr>
        <w:t>CAPÍTULO III</w:t>
      </w:r>
    </w:p>
    <w:p w14:paraId="36F493C7" w14:textId="77777777" w:rsidR="00490AA9" w:rsidRPr="00C45437" w:rsidRDefault="00490AA9" w:rsidP="00490AA9">
      <w:pPr>
        <w:tabs>
          <w:tab w:val="left" w:pos="1260"/>
          <w:tab w:val="left" w:pos="1440"/>
          <w:tab w:val="left" w:pos="1620"/>
          <w:tab w:val="left" w:pos="1800"/>
          <w:tab w:val="left" w:pos="1980"/>
        </w:tabs>
        <w:autoSpaceDE/>
        <w:autoSpaceDN/>
        <w:jc w:val="center"/>
        <w:rPr>
          <w:rFonts w:ascii="Arial" w:hAnsi="Arial" w:cs="Arial"/>
          <w:b/>
          <w:sz w:val="24"/>
          <w:szCs w:val="24"/>
        </w:rPr>
      </w:pPr>
      <w:r w:rsidRPr="00C45437">
        <w:rPr>
          <w:rFonts w:ascii="Arial" w:hAnsi="Arial" w:cs="Arial"/>
          <w:b/>
          <w:sz w:val="24"/>
          <w:szCs w:val="24"/>
        </w:rPr>
        <w:t xml:space="preserve">OUTRAS FORMAS DE </w:t>
      </w:r>
      <w:r w:rsidRPr="00C45437">
        <w:rPr>
          <w:rFonts w:ascii="Arial" w:hAnsi="Arial" w:cs="Arial"/>
          <w:b/>
          <w:bCs/>
          <w:sz w:val="24"/>
          <w:szCs w:val="24"/>
        </w:rPr>
        <w:t>FISCALIZAÇÃO</w:t>
      </w:r>
      <w:r w:rsidRPr="00C45437">
        <w:rPr>
          <w:rFonts w:ascii="Arial" w:hAnsi="Arial" w:cs="Arial"/>
          <w:b/>
          <w:sz w:val="24"/>
          <w:szCs w:val="24"/>
        </w:rPr>
        <w:t xml:space="preserve"> VIA ACOMPANHAMENTO E VIA LEVANTAMENTO</w:t>
      </w:r>
    </w:p>
    <w:p w14:paraId="5FD61BE6"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Art. 11</w:t>
      </w:r>
      <w:r w:rsidRPr="00C45437">
        <w:rPr>
          <w:rFonts w:ascii="Arial" w:hAnsi="Arial" w:cs="Arial"/>
          <w:sz w:val="24"/>
          <w:szCs w:val="24"/>
        </w:rPr>
        <w:t>. Observada a preferência de uso da malha eletrônic</w:t>
      </w:r>
      <w:r>
        <w:rPr>
          <w:rFonts w:ascii="Arial" w:hAnsi="Arial" w:cs="Arial"/>
          <w:sz w:val="24"/>
          <w:szCs w:val="24"/>
        </w:rPr>
        <w:t>a de forma automatizada ou semi</w:t>
      </w:r>
      <w:r w:rsidRPr="00C45437">
        <w:rPr>
          <w:rFonts w:ascii="Arial" w:hAnsi="Arial" w:cs="Arial"/>
          <w:sz w:val="24"/>
          <w:szCs w:val="24"/>
        </w:rPr>
        <w:t>automatizada, a fiscalização via acompanhamento também poderá ser realizada por outros meios, de forma não automatizada, mediante uso do sistema de gerenciamento, regendo-se, no que couber, pelos termos desta Instrução.</w:t>
      </w:r>
    </w:p>
    <w:p w14:paraId="33F921E5" w14:textId="77777777" w:rsidR="00490AA9" w:rsidRPr="00C45437" w:rsidRDefault="00490AA9" w:rsidP="00A2476D">
      <w:pPr>
        <w:autoSpaceDE/>
        <w:autoSpaceDN/>
        <w:spacing w:before="120"/>
        <w:ind w:firstLine="1134"/>
        <w:jc w:val="both"/>
        <w:rPr>
          <w:rFonts w:ascii="Arial" w:hAnsi="Arial" w:cs="Arial"/>
          <w:b/>
          <w:sz w:val="24"/>
          <w:szCs w:val="24"/>
        </w:rPr>
      </w:pPr>
      <w:r w:rsidRPr="00C45437">
        <w:rPr>
          <w:rFonts w:ascii="Arial" w:hAnsi="Arial" w:cs="Arial"/>
          <w:sz w:val="24"/>
          <w:szCs w:val="24"/>
        </w:rPr>
        <w:t>Parágrafo único. O acompanhamento não automatizado também deverá ser baseado em critérios específicos sugeridos pela unidade técnica fiscalizadora, definidos em conjunto com o Núcleo de Apoio à Fiscalização – NAF a partir das definições de áreas pela Coordenadoria-Geral de Fiscalização – CGF, respeitadas as diretrizes estratégicas de fiscalização do Tribunal.</w:t>
      </w:r>
    </w:p>
    <w:p w14:paraId="779611C6"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lastRenderedPageBreak/>
        <w:t>Art. 12</w:t>
      </w:r>
      <w:r w:rsidRPr="00C45437">
        <w:rPr>
          <w:rFonts w:ascii="Arial" w:hAnsi="Arial" w:cs="Arial"/>
          <w:sz w:val="24"/>
          <w:szCs w:val="24"/>
        </w:rPr>
        <w:t>. Para identificar objetos e procedimentos e avaliar a viabilidade da realização de outros tipos de fiscalizações, as unidades técnicas poderão requerer aos entes e entidades fiscalizados documentos e informações necessários à avaliação da regularidade da gestão, nos termos do art. 256, do Regimento Interno.</w:t>
      </w:r>
    </w:p>
    <w:p w14:paraId="5334D2FD"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 xml:space="preserve">§ 1º O requerimento de documentos e informações de que trata o </w:t>
      </w:r>
      <w:r w:rsidRPr="00C45437">
        <w:rPr>
          <w:rFonts w:ascii="Arial" w:hAnsi="Arial" w:cs="Arial"/>
          <w:i/>
          <w:sz w:val="24"/>
          <w:szCs w:val="24"/>
        </w:rPr>
        <w:t>caput</w:t>
      </w:r>
      <w:r w:rsidRPr="00C45437">
        <w:rPr>
          <w:rFonts w:ascii="Arial" w:hAnsi="Arial" w:cs="Arial"/>
          <w:sz w:val="24"/>
          <w:szCs w:val="24"/>
        </w:rPr>
        <w:t xml:space="preserve"> deste artigo será feito pelos meios de comunicação disponibilizados pelo Tribunal de Contas.</w:t>
      </w:r>
    </w:p>
    <w:p w14:paraId="2C8F09B4" w14:textId="77777777" w:rsidR="00490AA9" w:rsidRPr="00C45437" w:rsidRDefault="00490AA9" w:rsidP="00A2476D">
      <w:pPr>
        <w:autoSpaceDE/>
        <w:autoSpaceDN/>
        <w:spacing w:before="120"/>
        <w:ind w:firstLine="1134"/>
        <w:jc w:val="both"/>
        <w:rPr>
          <w:rFonts w:ascii="Arial" w:hAnsi="Arial" w:cs="Arial"/>
          <w:color w:val="7030A0"/>
          <w:sz w:val="24"/>
          <w:szCs w:val="24"/>
        </w:rPr>
      </w:pPr>
      <w:r w:rsidRPr="00C45437">
        <w:rPr>
          <w:rFonts w:ascii="Arial" w:hAnsi="Arial" w:cs="Arial"/>
          <w:sz w:val="24"/>
          <w:szCs w:val="24"/>
        </w:rPr>
        <w:t xml:space="preserve">§ 2º O não encaminhamento dos documentos e informações no prazo estabelecido implicará a aplicação das sanções previstas na Lei Orgânica do Tribunal de Contas. </w:t>
      </w:r>
    </w:p>
    <w:p w14:paraId="06741769" w14:textId="77777777" w:rsidR="00490AA9" w:rsidRPr="00C45437" w:rsidRDefault="00490AA9" w:rsidP="00A2476D">
      <w:pPr>
        <w:autoSpaceDE/>
        <w:autoSpaceDN/>
        <w:spacing w:before="120"/>
        <w:ind w:firstLine="1134"/>
        <w:jc w:val="both"/>
        <w:rPr>
          <w:rFonts w:ascii="Arial" w:hAnsi="Arial" w:cs="Arial"/>
          <w:sz w:val="24"/>
          <w:szCs w:val="24"/>
        </w:rPr>
      </w:pPr>
    </w:p>
    <w:p w14:paraId="2EB2C288" w14:textId="77777777" w:rsidR="00490AA9" w:rsidRPr="00C45437" w:rsidRDefault="00490AA9" w:rsidP="00490AA9">
      <w:pPr>
        <w:autoSpaceDE/>
        <w:autoSpaceDN/>
        <w:spacing w:before="120"/>
        <w:jc w:val="center"/>
        <w:rPr>
          <w:rFonts w:ascii="Arial" w:hAnsi="Arial" w:cs="Arial"/>
          <w:b/>
          <w:sz w:val="24"/>
          <w:szCs w:val="24"/>
        </w:rPr>
      </w:pPr>
      <w:r w:rsidRPr="00C45437">
        <w:rPr>
          <w:rFonts w:ascii="Arial" w:hAnsi="Arial" w:cs="Arial"/>
          <w:b/>
          <w:sz w:val="24"/>
          <w:szCs w:val="24"/>
        </w:rPr>
        <w:t>CAPÍTULO IV</w:t>
      </w:r>
    </w:p>
    <w:p w14:paraId="1ADD9567" w14:textId="77777777" w:rsidR="00490AA9" w:rsidRPr="00C45437" w:rsidRDefault="00490AA9" w:rsidP="00490AA9">
      <w:pPr>
        <w:tabs>
          <w:tab w:val="left" w:pos="1260"/>
          <w:tab w:val="left" w:pos="1440"/>
          <w:tab w:val="left" w:pos="1620"/>
          <w:tab w:val="left" w:pos="1800"/>
          <w:tab w:val="left" w:pos="1980"/>
        </w:tabs>
        <w:autoSpaceDE/>
        <w:autoSpaceDN/>
        <w:jc w:val="center"/>
        <w:rPr>
          <w:rFonts w:ascii="Arial" w:hAnsi="Arial" w:cs="Arial"/>
          <w:b/>
          <w:sz w:val="24"/>
          <w:szCs w:val="24"/>
        </w:rPr>
      </w:pPr>
      <w:r w:rsidRPr="00C45437">
        <w:rPr>
          <w:rFonts w:ascii="Arial" w:hAnsi="Arial" w:cs="Arial"/>
          <w:b/>
          <w:sz w:val="24"/>
          <w:szCs w:val="24"/>
        </w:rPr>
        <w:t xml:space="preserve">DAS DISPOSIÇÕES </w:t>
      </w:r>
      <w:r w:rsidRPr="00C45437">
        <w:rPr>
          <w:rFonts w:ascii="Arial" w:hAnsi="Arial" w:cs="Arial"/>
          <w:b/>
          <w:bCs/>
          <w:sz w:val="24"/>
          <w:szCs w:val="24"/>
        </w:rPr>
        <w:t>COMPLEMENTARES</w:t>
      </w:r>
    </w:p>
    <w:p w14:paraId="41B95A86"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Art. 13</w:t>
      </w:r>
      <w:r w:rsidRPr="00C45437">
        <w:rPr>
          <w:rFonts w:ascii="Arial" w:hAnsi="Arial" w:cs="Arial"/>
          <w:sz w:val="24"/>
          <w:szCs w:val="24"/>
        </w:rPr>
        <w:t xml:space="preserve">. Os critérios de análise utilizados nos procedimentos de acompanhamento, bem como os parâmetros de conformidade, a periodicidade da sua aplicação, os prazos de fiscalização, os itens detectados e os respectivos encaminhamentos, deverão estar acessíveis, mediante publicação na </w:t>
      </w:r>
      <w:r w:rsidRPr="00C45437">
        <w:rPr>
          <w:rFonts w:ascii="Arial" w:hAnsi="Arial" w:cs="Arial"/>
          <w:i/>
          <w:sz w:val="24"/>
          <w:szCs w:val="24"/>
        </w:rPr>
        <w:t>Intranet,</w:t>
      </w:r>
      <w:r w:rsidRPr="00C45437">
        <w:rPr>
          <w:rFonts w:ascii="Arial" w:hAnsi="Arial" w:cs="Arial"/>
          <w:sz w:val="24"/>
          <w:szCs w:val="24"/>
        </w:rPr>
        <w:t xml:space="preserve"> aos Conselheiros, Auditores e Procuradores do Ministério Público junto ao Tribunal de Contas.</w:t>
      </w:r>
    </w:p>
    <w:p w14:paraId="7ED292CE"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Art. 14</w:t>
      </w:r>
      <w:r w:rsidRPr="00C45437">
        <w:rPr>
          <w:rFonts w:ascii="Arial" w:hAnsi="Arial" w:cs="Arial"/>
          <w:sz w:val="24"/>
          <w:szCs w:val="24"/>
        </w:rPr>
        <w:t>. Os indícios apontados por este Tribunal de Contas serão mantidos em registro e a sua recorrência poderá levar à adoção das medidas procedimentais e sancionatórias cabíveis.</w:t>
      </w:r>
    </w:p>
    <w:p w14:paraId="6F56D7A7"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Parágrafo único. O responsável pelo controle interno poderá incluir em seu plano de trabalho a avaliação dos atos e fatos recorrentemente levantados por este Tribunal de Contas, de acordo com o art. 5º, da Lei Complementar Estadual nº 113/05.</w:t>
      </w:r>
    </w:p>
    <w:p w14:paraId="719C1461"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Art. 15</w:t>
      </w:r>
      <w:r w:rsidRPr="00C45437">
        <w:rPr>
          <w:rFonts w:ascii="Arial" w:hAnsi="Arial" w:cs="Arial"/>
          <w:sz w:val="24"/>
          <w:szCs w:val="24"/>
        </w:rPr>
        <w:t>. Os procedimentos previstos nesta Instrução Normativa poderão ser aplicados aos processos de transferências voluntárias já autuados, excetuados aqueles que já contenham ato instrutivo ou medida de cunho decisório.</w:t>
      </w:r>
    </w:p>
    <w:p w14:paraId="0BC6D10A"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 xml:space="preserve">Parágrafo único. Os processos em trâmite que venham a ser fiscalizados na sistemática do </w:t>
      </w:r>
      <w:r w:rsidRPr="00C45437">
        <w:rPr>
          <w:rFonts w:ascii="Arial" w:hAnsi="Arial" w:cs="Arial"/>
          <w:i/>
          <w:sz w:val="24"/>
          <w:szCs w:val="24"/>
        </w:rPr>
        <w:t>caput</w:t>
      </w:r>
      <w:r w:rsidRPr="00C45437">
        <w:rPr>
          <w:rFonts w:ascii="Arial" w:hAnsi="Arial" w:cs="Arial"/>
          <w:sz w:val="24"/>
          <w:szCs w:val="24"/>
        </w:rPr>
        <w:t xml:space="preserve"> serão encerrados sem julgamento do mérito, observado o disposto no art. 398, § 3º, do Regimento Interno.</w:t>
      </w:r>
    </w:p>
    <w:p w14:paraId="654E3397" w14:textId="77777777" w:rsidR="00490AA9" w:rsidRPr="00C45437" w:rsidRDefault="00490AA9" w:rsidP="00A2476D">
      <w:pPr>
        <w:autoSpaceDE/>
        <w:autoSpaceDN/>
        <w:spacing w:before="120"/>
        <w:ind w:firstLine="1134"/>
        <w:jc w:val="both"/>
        <w:rPr>
          <w:rFonts w:ascii="Arial" w:hAnsi="Arial" w:cs="Arial"/>
          <w:bCs/>
          <w:sz w:val="24"/>
          <w:szCs w:val="24"/>
        </w:rPr>
      </w:pPr>
      <w:r w:rsidRPr="00C45437">
        <w:rPr>
          <w:rFonts w:ascii="Arial" w:hAnsi="Arial" w:cs="Arial"/>
          <w:b/>
          <w:sz w:val="24"/>
          <w:szCs w:val="24"/>
        </w:rPr>
        <w:t>Art. 16</w:t>
      </w:r>
      <w:r w:rsidRPr="00C45437">
        <w:rPr>
          <w:rFonts w:ascii="Arial" w:hAnsi="Arial" w:cs="Arial"/>
          <w:sz w:val="24"/>
          <w:szCs w:val="24"/>
        </w:rPr>
        <w:t xml:space="preserve">. </w:t>
      </w:r>
      <w:r w:rsidRPr="00C45437">
        <w:rPr>
          <w:rFonts w:ascii="Arial" w:hAnsi="Arial" w:cs="Arial"/>
          <w:bCs/>
          <w:color w:val="000000"/>
          <w:sz w:val="24"/>
          <w:szCs w:val="24"/>
        </w:rPr>
        <w:t>O sistema de gerenciamento e demais</w:t>
      </w:r>
      <w:r>
        <w:rPr>
          <w:rFonts w:ascii="Arial" w:hAnsi="Arial" w:cs="Arial"/>
          <w:bCs/>
          <w:color w:val="000000"/>
          <w:sz w:val="24"/>
          <w:szCs w:val="24"/>
        </w:rPr>
        <w:t xml:space="preserve"> meios de comunicação previstos </w:t>
      </w:r>
      <w:r w:rsidRPr="00C45437">
        <w:rPr>
          <w:rFonts w:ascii="Arial" w:hAnsi="Arial" w:cs="Arial"/>
          <w:bCs/>
          <w:color w:val="000000"/>
          <w:sz w:val="24"/>
          <w:szCs w:val="24"/>
        </w:rPr>
        <w:t xml:space="preserve">nesta Instrução Normativa poderão ser utilizados pelas Inspetorias de Controle Externo para a realização das suas atividades de </w:t>
      </w:r>
      <w:r w:rsidRPr="00C45437">
        <w:rPr>
          <w:rFonts w:ascii="Arial" w:hAnsi="Arial" w:cs="Arial"/>
          <w:bCs/>
          <w:sz w:val="24"/>
          <w:szCs w:val="24"/>
        </w:rPr>
        <w:t>fiscalização, observadas as disposições legais e regimentais deste Tribunal.</w:t>
      </w:r>
    </w:p>
    <w:p w14:paraId="041E0239" w14:textId="77777777" w:rsidR="00490AA9" w:rsidRPr="00C45437" w:rsidRDefault="00490AA9" w:rsidP="00A2476D">
      <w:pPr>
        <w:autoSpaceDE/>
        <w:autoSpaceDN/>
        <w:spacing w:before="120"/>
        <w:ind w:firstLine="1134"/>
        <w:jc w:val="both"/>
        <w:rPr>
          <w:rFonts w:ascii="Arial" w:hAnsi="Arial" w:cs="Arial"/>
          <w:bCs/>
          <w:sz w:val="24"/>
          <w:szCs w:val="24"/>
        </w:rPr>
      </w:pPr>
      <w:r w:rsidRPr="00C45437">
        <w:rPr>
          <w:rFonts w:ascii="Arial" w:hAnsi="Arial" w:cs="Arial"/>
          <w:bCs/>
          <w:sz w:val="24"/>
          <w:szCs w:val="24"/>
        </w:rPr>
        <w:t xml:space="preserve">Parágrafo único. Na hipótese do </w:t>
      </w:r>
      <w:r w:rsidRPr="00E6569F">
        <w:rPr>
          <w:rFonts w:ascii="Arial" w:hAnsi="Arial" w:cs="Arial"/>
          <w:bCs/>
          <w:i/>
          <w:sz w:val="24"/>
          <w:szCs w:val="24"/>
        </w:rPr>
        <w:t>caput</w:t>
      </w:r>
      <w:r w:rsidRPr="00C45437">
        <w:rPr>
          <w:rFonts w:ascii="Arial" w:hAnsi="Arial" w:cs="Arial"/>
          <w:bCs/>
          <w:sz w:val="24"/>
          <w:szCs w:val="24"/>
        </w:rPr>
        <w:t>, não haverá qualquer participação da Coordenadoria-Geral de Fiscalização e do Núcleo de Apoio à Fiscalização, salvo expressa solicitação da Inspetoria responsável.</w:t>
      </w:r>
    </w:p>
    <w:p w14:paraId="0E47FA6F" w14:textId="77777777" w:rsidR="00490AA9" w:rsidRPr="00C45437" w:rsidRDefault="00490AA9" w:rsidP="00A2476D">
      <w:pPr>
        <w:autoSpaceDE/>
        <w:autoSpaceDN/>
        <w:spacing w:before="120"/>
        <w:ind w:firstLine="1134"/>
        <w:jc w:val="both"/>
        <w:rPr>
          <w:rFonts w:ascii="Arial" w:hAnsi="Arial" w:cs="Arial"/>
          <w:bCs/>
          <w:sz w:val="24"/>
          <w:szCs w:val="24"/>
        </w:rPr>
      </w:pPr>
      <w:r w:rsidRPr="00C45437">
        <w:rPr>
          <w:rFonts w:ascii="Arial" w:hAnsi="Arial" w:cs="Arial"/>
          <w:b/>
          <w:bCs/>
          <w:sz w:val="24"/>
          <w:szCs w:val="24"/>
        </w:rPr>
        <w:lastRenderedPageBreak/>
        <w:t>Art. 17</w:t>
      </w:r>
      <w:r w:rsidRPr="00C45437">
        <w:rPr>
          <w:rFonts w:ascii="Arial" w:hAnsi="Arial" w:cs="Arial"/>
          <w:bCs/>
          <w:sz w:val="24"/>
          <w:szCs w:val="24"/>
        </w:rPr>
        <w:t>. O Tribunal de Contas poderá definir critérios de análise automatizada com o objetivo de gerar indicadores sobre a atuação dos entes e das entidades.</w:t>
      </w:r>
    </w:p>
    <w:p w14:paraId="7A5F30DD" w14:textId="77777777" w:rsidR="00490AA9" w:rsidRPr="00C45437" w:rsidRDefault="00490AA9" w:rsidP="00A2476D">
      <w:pPr>
        <w:autoSpaceDE/>
        <w:autoSpaceDN/>
        <w:spacing w:before="120"/>
        <w:ind w:firstLine="1134"/>
        <w:jc w:val="both"/>
        <w:rPr>
          <w:rFonts w:ascii="Arial" w:hAnsi="Arial" w:cs="Arial"/>
          <w:bCs/>
          <w:sz w:val="24"/>
          <w:szCs w:val="24"/>
        </w:rPr>
      </w:pPr>
      <w:r w:rsidRPr="00C45437">
        <w:rPr>
          <w:rFonts w:ascii="Arial" w:hAnsi="Arial" w:cs="Arial"/>
          <w:bCs/>
          <w:sz w:val="24"/>
          <w:szCs w:val="24"/>
        </w:rPr>
        <w:t>Parágrafo único. Os indicadores, estruturados e armazenados na base de dados do Tribunal, subsidiarão a definição dos critérios previstos nesta Instrução e poderão ser utilizados como parâmetro para a inclusão do ente ou da entidade no Plano Anual de Fiscalização.</w:t>
      </w:r>
    </w:p>
    <w:p w14:paraId="30E2857F" w14:textId="77777777" w:rsidR="00490AA9" w:rsidRPr="00C45437" w:rsidRDefault="00490AA9" w:rsidP="00A2476D">
      <w:pPr>
        <w:autoSpaceDE/>
        <w:autoSpaceDN/>
        <w:spacing w:before="120"/>
        <w:ind w:firstLine="1134"/>
        <w:jc w:val="both"/>
        <w:rPr>
          <w:rFonts w:ascii="Arial" w:hAnsi="Arial" w:cs="Arial"/>
          <w:bCs/>
          <w:sz w:val="24"/>
          <w:szCs w:val="24"/>
        </w:rPr>
      </w:pPr>
      <w:r w:rsidRPr="00C45437">
        <w:rPr>
          <w:rFonts w:ascii="Arial" w:hAnsi="Arial" w:cs="Arial"/>
          <w:b/>
          <w:bCs/>
          <w:sz w:val="24"/>
          <w:szCs w:val="24"/>
        </w:rPr>
        <w:t>Art. 18</w:t>
      </w:r>
      <w:r w:rsidRPr="00C45437">
        <w:rPr>
          <w:rFonts w:ascii="Arial" w:hAnsi="Arial" w:cs="Arial"/>
          <w:bCs/>
          <w:sz w:val="24"/>
          <w:szCs w:val="24"/>
        </w:rPr>
        <w:t>. Caso as unidades técnicas tenham notícia de inconformidade não abrangida pelos critérios específicos previamente definidos, deverão avaliar e deliberar previamente com o Núcleo de Apoio à Fiscalização – NAF sobre as medidas a serem adotadas, respeitadas as definições de áreas e de diretrizes pela Coordenadoria-Geral de Fiscalização – CGF.</w:t>
      </w:r>
    </w:p>
    <w:p w14:paraId="7D2832AC" w14:textId="77777777" w:rsidR="00490AA9" w:rsidRPr="00C45437" w:rsidRDefault="00490AA9" w:rsidP="00A2476D">
      <w:pPr>
        <w:autoSpaceDE/>
        <w:autoSpaceDN/>
        <w:spacing w:before="120"/>
        <w:ind w:firstLine="1134"/>
        <w:jc w:val="both"/>
        <w:rPr>
          <w:rFonts w:ascii="Arial" w:hAnsi="Arial" w:cs="Arial"/>
          <w:bCs/>
          <w:sz w:val="24"/>
          <w:szCs w:val="24"/>
        </w:rPr>
      </w:pPr>
      <w:r w:rsidRPr="00C45437">
        <w:rPr>
          <w:rFonts w:ascii="Arial" w:hAnsi="Arial" w:cs="Arial"/>
          <w:bCs/>
          <w:sz w:val="24"/>
          <w:szCs w:val="24"/>
        </w:rPr>
        <w:t>Parágrafo único. As questões que não se amoldem nas definições da CGF serão por esta apreciadas.</w:t>
      </w:r>
    </w:p>
    <w:p w14:paraId="0A2CF303"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Art. 19</w:t>
      </w:r>
      <w:r w:rsidRPr="00C45437">
        <w:rPr>
          <w:rFonts w:ascii="Arial" w:hAnsi="Arial" w:cs="Arial"/>
          <w:sz w:val="24"/>
          <w:szCs w:val="24"/>
        </w:rPr>
        <w:t>. As eventuais divergências entre as unidades técnicas fiscalizadoras e o NAF, não dirimidas no exercício de suas atribuições, serão decididas pela CGF.</w:t>
      </w:r>
    </w:p>
    <w:p w14:paraId="79737DBF"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Art. 20</w:t>
      </w:r>
      <w:r w:rsidRPr="00C45437">
        <w:rPr>
          <w:rFonts w:ascii="Arial" w:hAnsi="Arial" w:cs="Arial"/>
          <w:sz w:val="24"/>
          <w:szCs w:val="24"/>
        </w:rPr>
        <w:t>. As atribuições do NAF regulamentadas nesta Instrução Normativa não afastam a sua subordinação à CGF e a possibilidade de atuação e decisão direta desta Coordenadoria, sempre que adequado, a critério do Coordenador-Geral de Fiscalização.</w:t>
      </w:r>
    </w:p>
    <w:p w14:paraId="5EAC0969"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Art. 21</w:t>
      </w:r>
      <w:r w:rsidRPr="00C45437">
        <w:rPr>
          <w:rFonts w:ascii="Arial" w:hAnsi="Arial" w:cs="Arial"/>
          <w:sz w:val="24"/>
          <w:szCs w:val="24"/>
        </w:rPr>
        <w:t>. A implantação da malha eletrônica para cada uma das unidades técnicas deste Tribunal será realizada de acordo com cronograma a ser estabelecido pela Coordenadoria-Geral de Fiscalização – CGF, auxiliada pelo Núcleo de Apoio à Fiscalização – NAF.</w:t>
      </w:r>
    </w:p>
    <w:p w14:paraId="08F1F942" w14:textId="77777777"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b/>
          <w:sz w:val="24"/>
          <w:szCs w:val="24"/>
        </w:rPr>
        <w:t>Art. 22</w:t>
      </w:r>
      <w:r w:rsidRPr="00C45437">
        <w:rPr>
          <w:rFonts w:ascii="Arial" w:hAnsi="Arial" w:cs="Arial"/>
          <w:sz w:val="24"/>
          <w:szCs w:val="24"/>
        </w:rPr>
        <w:t>. Esta Instrução Normativa entra em vigor na data de sua publicação.</w:t>
      </w:r>
    </w:p>
    <w:p w14:paraId="45F412F9" w14:textId="731C78E1" w:rsidR="00490AA9" w:rsidRPr="00C45437" w:rsidRDefault="00490AA9" w:rsidP="00A2476D">
      <w:pPr>
        <w:autoSpaceDE/>
        <w:autoSpaceDN/>
        <w:spacing w:before="120"/>
        <w:ind w:firstLine="1134"/>
        <w:jc w:val="both"/>
        <w:rPr>
          <w:rFonts w:ascii="Arial" w:hAnsi="Arial" w:cs="Arial"/>
          <w:sz w:val="24"/>
          <w:szCs w:val="24"/>
        </w:rPr>
      </w:pPr>
      <w:r w:rsidRPr="00C45437">
        <w:rPr>
          <w:rFonts w:ascii="Arial" w:hAnsi="Arial" w:cs="Arial"/>
          <w:sz w:val="24"/>
          <w:szCs w:val="24"/>
        </w:rPr>
        <w:t xml:space="preserve">Parágrafo único. Ficam revogadas as disposições das Instruções Normativas </w:t>
      </w:r>
      <w:hyperlink r:id="rId8" w:history="1">
        <w:r w:rsidRPr="00C733F4">
          <w:rPr>
            <w:rStyle w:val="Hyperlink"/>
            <w:rFonts w:ascii="Arial" w:hAnsi="Arial" w:cs="Arial"/>
            <w:color w:val="0000FF"/>
            <w:sz w:val="24"/>
            <w:szCs w:val="24"/>
          </w:rPr>
          <w:t>nº 95/2014</w:t>
        </w:r>
      </w:hyperlink>
      <w:r w:rsidRPr="00490AA9">
        <w:rPr>
          <w:rFonts w:ascii="Arial" w:hAnsi="Arial" w:cs="Arial"/>
          <w:color w:val="0000FF"/>
          <w:sz w:val="24"/>
          <w:szCs w:val="24"/>
        </w:rPr>
        <w:t xml:space="preserve"> </w:t>
      </w:r>
      <w:r w:rsidRPr="00C45437">
        <w:rPr>
          <w:rFonts w:ascii="Arial" w:hAnsi="Arial" w:cs="Arial"/>
          <w:sz w:val="24"/>
          <w:szCs w:val="24"/>
        </w:rPr>
        <w:t xml:space="preserve">e </w:t>
      </w:r>
      <w:hyperlink r:id="rId9" w:history="1">
        <w:r w:rsidRPr="00C733F4">
          <w:rPr>
            <w:rStyle w:val="Hyperlink"/>
            <w:rFonts w:ascii="Arial" w:hAnsi="Arial" w:cs="Arial"/>
            <w:color w:val="0000FF"/>
            <w:sz w:val="24"/>
            <w:szCs w:val="24"/>
          </w:rPr>
          <w:t>109/2015</w:t>
        </w:r>
      </w:hyperlink>
      <w:r w:rsidRPr="00C45437">
        <w:rPr>
          <w:rFonts w:ascii="Arial" w:hAnsi="Arial" w:cs="Arial"/>
          <w:sz w:val="24"/>
          <w:szCs w:val="24"/>
        </w:rPr>
        <w:t>.</w:t>
      </w:r>
    </w:p>
    <w:p w14:paraId="3F88A490" w14:textId="77777777" w:rsidR="00490AA9" w:rsidRPr="00C45437" w:rsidRDefault="00490AA9" w:rsidP="00490AA9">
      <w:pPr>
        <w:autoSpaceDE/>
        <w:autoSpaceDN/>
        <w:spacing w:before="120"/>
        <w:jc w:val="both"/>
        <w:rPr>
          <w:rFonts w:ascii="Arial" w:eastAsia="Calibri" w:hAnsi="Arial" w:cs="Arial"/>
          <w:sz w:val="24"/>
          <w:szCs w:val="24"/>
          <w:lang w:eastAsia="en-US"/>
        </w:rPr>
      </w:pPr>
    </w:p>
    <w:p w14:paraId="781DF470" w14:textId="77777777" w:rsidR="00490AA9" w:rsidRDefault="00490AA9" w:rsidP="00490AA9">
      <w:pPr>
        <w:autoSpaceDE/>
        <w:autoSpaceDN/>
        <w:spacing w:before="120"/>
        <w:jc w:val="center"/>
        <w:rPr>
          <w:rFonts w:ascii="Arial" w:eastAsia="Calibri" w:hAnsi="Arial" w:cs="Arial"/>
          <w:sz w:val="24"/>
          <w:szCs w:val="24"/>
          <w:lang w:eastAsia="en-US"/>
        </w:rPr>
      </w:pPr>
      <w:r>
        <w:rPr>
          <w:rFonts w:ascii="Arial" w:eastAsia="Calibri" w:hAnsi="Arial" w:cs="Arial"/>
          <w:sz w:val="24"/>
          <w:szCs w:val="24"/>
          <w:lang w:eastAsia="en-US"/>
        </w:rPr>
        <w:t>Curitiba, 27</w:t>
      </w:r>
      <w:r w:rsidRPr="00C45437">
        <w:rPr>
          <w:rFonts w:ascii="Arial" w:eastAsia="Calibri" w:hAnsi="Arial" w:cs="Arial"/>
          <w:sz w:val="24"/>
          <w:szCs w:val="24"/>
          <w:lang w:eastAsia="en-US"/>
        </w:rPr>
        <w:t xml:space="preserve"> de </w:t>
      </w:r>
      <w:r>
        <w:rPr>
          <w:rFonts w:ascii="Arial" w:eastAsia="Calibri" w:hAnsi="Arial" w:cs="Arial"/>
          <w:sz w:val="24"/>
          <w:szCs w:val="24"/>
          <w:lang w:eastAsia="en-US"/>
        </w:rPr>
        <w:t>outubro</w:t>
      </w:r>
      <w:r w:rsidRPr="00C45437">
        <w:rPr>
          <w:rFonts w:ascii="Arial" w:eastAsia="Calibri" w:hAnsi="Arial" w:cs="Arial"/>
          <w:sz w:val="24"/>
          <w:szCs w:val="24"/>
          <w:lang w:eastAsia="en-US"/>
        </w:rPr>
        <w:t xml:space="preserve"> de 2016.</w:t>
      </w:r>
    </w:p>
    <w:p w14:paraId="29F3BC30" w14:textId="77777777" w:rsidR="00A2476D" w:rsidRPr="00C45437" w:rsidRDefault="00A2476D" w:rsidP="00490AA9">
      <w:pPr>
        <w:autoSpaceDE/>
        <w:autoSpaceDN/>
        <w:spacing w:before="120"/>
        <w:jc w:val="center"/>
        <w:rPr>
          <w:rFonts w:ascii="Arial" w:eastAsia="Calibri" w:hAnsi="Arial" w:cs="Arial"/>
          <w:sz w:val="24"/>
          <w:szCs w:val="24"/>
          <w:lang w:eastAsia="en-US"/>
        </w:rPr>
      </w:pPr>
    </w:p>
    <w:p w14:paraId="30375B82" w14:textId="77777777" w:rsidR="00490AA9" w:rsidRPr="00C45437" w:rsidRDefault="00490AA9" w:rsidP="00490AA9">
      <w:pPr>
        <w:autoSpaceDE/>
        <w:autoSpaceDN/>
        <w:spacing w:before="120"/>
        <w:rPr>
          <w:rFonts w:ascii="Arial" w:eastAsia="Calibri" w:hAnsi="Arial" w:cs="Arial"/>
          <w:sz w:val="24"/>
          <w:szCs w:val="24"/>
          <w:lang w:eastAsia="en-US"/>
        </w:rPr>
      </w:pPr>
    </w:p>
    <w:p w14:paraId="56BE5694" w14:textId="77777777" w:rsidR="00490AA9" w:rsidRPr="00C45437" w:rsidRDefault="00490AA9" w:rsidP="00490AA9">
      <w:pPr>
        <w:autoSpaceDE/>
        <w:autoSpaceDN/>
        <w:jc w:val="center"/>
        <w:rPr>
          <w:rFonts w:ascii="Arial" w:eastAsia="Calibri" w:hAnsi="Arial" w:cs="Arial"/>
          <w:b/>
          <w:sz w:val="24"/>
          <w:szCs w:val="24"/>
          <w:lang w:eastAsia="en-US"/>
        </w:rPr>
      </w:pPr>
      <w:r w:rsidRPr="00C45437">
        <w:rPr>
          <w:rFonts w:ascii="Arial" w:eastAsia="Calibri" w:hAnsi="Arial" w:cs="Arial"/>
          <w:b/>
          <w:sz w:val="24"/>
          <w:szCs w:val="24"/>
          <w:lang w:eastAsia="en-US"/>
        </w:rPr>
        <w:t>IVAN LELIS BONILHA</w:t>
      </w:r>
    </w:p>
    <w:p w14:paraId="5F0C4920" w14:textId="77777777" w:rsidR="00490AA9" w:rsidRPr="00C45437" w:rsidRDefault="00490AA9" w:rsidP="00490AA9">
      <w:pPr>
        <w:autoSpaceDE/>
        <w:autoSpaceDN/>
        <w:jc w:val="center"/>
        <w:rPr>
          <w:rFonts w:ascii="Arial" w:eastAsia="Calibri" w:hAnsi="Arial" w:cs="Arial"/>
          <w:sz w:val="24"/>
          <w:szCs w:val="24"/>
          <w:lang w:eastAsia="en-US"/>
        </w:rPr>
      </w:pPr>
      <w:r w:rsidRPr="00C45437">
        <w:rPr>
          <w:rFonts w:ascii="Arial" w:eastAsia="Calibri" w:hAnsi="Arial" w:cs="Arial"/>
          <w:sz w:val="24"/>
          <w:szCs w:val="24"/>
          <w:lang w:eastAsia="en-US"/>
        </w:rPr>
        <w:t>Presidente</w:t>
      </w:r>
    </w:p>
    <w:p w14:paraId="755E36E6" w14:textId="77777777" w:rsidR="00490AA9" w:rsidRPr="00C45437" w:rsidRDefault="00490AA9" w:rsidP="00490AA9">
      <w:pPr>
        <w:overflowPunct w:val="0"/>
        <w:adjustRightInd w:val="0"/>
        <w:textAlignment w:val="baseline"/>
        <w:rPr>
          <w:rFonts w:ascii="Arial" w:hAnsi="Arial" w:cs="Arial"/>
          <w:color w:val="000000"/>
          <w:sz w:val="24"/>
          <w:szCs w:val="24"/>
        </w:rPr>
      </w:pPr>
    </w:p>
    <w:p w14:paraId="496FDB92" w14:textId="77777777" w:rsidR="00E642A1" w:rsidRDefault="00E642A1"/>
    <w:sectPr w:rsidR="00E642A1" w:rsidSect="0027786E">
      <w:headerReference w:type="default" r:id="rId10"/>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A3D6F" w14:textId="77777777" w:rsidR="00AB66B6" w:rsidRDefault="00AB66B6" w:rsidP="0027786E">
      <w:r>
        <w:separator/>
      </w:r>
    </w:p>
  </w:endnote>
  <w:endnote w:type="continuationSeparator" w:id="0">
    <w:p w14:paraId="0DEB8F6E" w14:textId="77777777" w:rsidR="00AB66B6" w:rsidRDefault="00AB66B6" w:rsidP="0027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C925E" w14:textId="77777777" w:rsidR="00AB66B6" w:rsidRDefault="00AB66B6" w:rsidP="0027786E">
      <w:r>
        <w:separator/>
      </w:r>
    </w:p>
  </w:footnote>
  <w:footnote w:type="continuationSeparator" w:id="0">
    <w:p w14:paraId="7A9EDE9E" w14:textId="77777777" w:rsidR="00AB66B6" w:rsidRDefault="00AB66B6" w:rsidP="0027786E">
      <w:r>
        <w:continuationSeparator/>
      </w:r>
    </w:p>
  </w:footnote>
  <w:footnote w:id="1">
    <w:p w14:paraId="2E82E3D1" w14:textId="77777777" w:rsidR="00D77272" w:rsidRPr="00205F2C" w:rsidRDefault="00D77272" w:rsidP="00D77272">
      <w:pPr>
        <w:pStyle w:val="Textodenotaderodap"/>
        <w:contextualSpacing/>
        <w:rPr>
          <w:rFonts w:ascii="Arial" w:hAnsi="Arial" w:cs="Arial"/>
        </w:rPr>
      </w:pPr>
      <w:r>
        <w:footnoteRef/>
      </w:r>
      <w:r>
        <w:t xml:space="preserve"> </w:t>
      </w:r>
      <w:bookmarkStart w:id="0" w:name="_Hlk9321415"/>
      <w:r w:rsidRPr="00205F2C">
        <w:rPr>
          <w:rFonts w:ascii="Arial" w:hAnsi="Arial" w:cs="Arial"/>
          <w:b/>
        </w:rPr>
        <w:t>Notas da Biblioteca:</w:t>
      </w:r>
    </w:p>
    <w:bookmarkEnd w:id="0"/>
    <w:p w14:paraId="6E6AA071" w14:textId="1FE028D6" w:rsidR="00D77272" w:rsidRPr="00DE2496" w:rsidRDefault="00D77272" w:rsidP="00C733F4">
      <w:pPr>
        <w:pStyle w:val="PargrafodaLista"/>
        <w:numPr>
          <w:ilvl w:val="0"/>
          <w:numId w:val="2"/>
        </w:numPr>
        <w:ind w:left="426" w:hanging="284"/>
        <w:jc w:val="both"/>
        <w:rPr>
          <w:rFonts w:ascii="Arial" w:hAnsi="Arial" w:cs="Arial"/>
          <w:color w:val="0000FF"/>
          <w:sz w:val="20"/>
          <w:szCs w:val="20"/>
          <w:u w:val="single"/>
        </w:rPr>
      </w:pPr>
      <w:r w:rsidRPr="00DE2496">
        <w:rPr>
          <w:rFonts w:ascii="Arial" w:hAnsi="Arial" w:cs="Arial"/>
          <w:bCs/>
          <w:sz w:val="20"/>
          <w:szCs w:val="20"/>
        </w:rPr>
        <w:t xml:space="preserve">Este texto não substitui o publicado no periódico: </w:t>
      </w:r>
      <w:hyperlink r:id="rId1" w:history="1">
        <w:r w:rsidR="003E1070" w:rsidRPr="001A251F">
          <w:rPr>
            <w:rStyle w:val="Hyperlink"/>
            <w:rFonts w:ascii="Arial" w:hAnsi="Arial" w:cs="Arial"/>
            <w:b/>
            <w:bCs/>
            <w:color w:val="0000FF"/>
            <w:sz w:val="20"/>
            <w:szCs w:val="20"/>
          </w:rPr>
          <w:t>Diário Eletrônico do Tribunal de Contas do Estado do Paraná</w:t>
        </w:r>
        <w:r w:rsidR="003E1070" w:rsidRPr="00DE2496">
          <w:rPr>
            <w:rStyle w:val="Hyperlink"/>
            <w:rFonts w:ascii="Arial" w:hAnsi="Arial" w:cs="Arial"/>
            <w:color w:val="0000FF"/>
            <w:sz w:val="20"/>
            <w:szCs w:val="20"/>
          </w:rPr>
          <w:t>, Curitiba, PR, n. 1476, 4 nov. 2016, p. 101-102</w:t>
        </w:r>
      </w:hyperlink>
      <w:r w:rsidR="003E1070" w:rsidRPr="00DE2496">
        <w:rPr>
          <w:rFonts w:ascii="Arial" w:hAnsi="Arial" w:cs="Arial"/>
          <w:color w:val="0000FF"/>
          <w:sz w:val="20"/>
          <w:szCs w:val="20"/>
        </w:rPr>
        <w:t>.</w:t>
      </w:r>
    </w:p>
    <w:p w14:paraId="5C970370" w14:textId="77777777" w:rsidR="00D509ED" w:rsidRPr="00DE2496" w:rsidRDefault="00D77272" w:rsidP="00C733F4">
      <w:pPr>
        <w:pStyle w:val="PargrafodaLista"/>
        <w:numPr>
          <w:ilvl w:val="0"/>
          <w:numId w:val="2"/>
        </w:numPr>
        <w:ind w:left="426" w:hanging="284"/>
        <w:jc w:val="both"/>
        <w:rPr>
          <w:rStyle w:val="Hyperlink"/>
          <w:rFonts w:ascii="Arial" w:hAnsi="Arial" w:cs="Arial"/>
          <w:sz w:val="20"/>
          <w:szCs w:val="20"/>
        </w:rPr>
      </w:pPr>
      <w:r w:rsidRPr="00DE2496">
        <w:rPr>
          <w:rFonts w:ascii="Arial" w:hAnsi="Arial" w:cs="Arial"/>
          <w:sz w:val="20"/>
          <w:szCs w:val="20"/>
        </w:rPr>
        <w:t xml:space="preserve">Origem: </w:t>
      </w:r>
      <w:r w:rsidR="00D509ED" w:rsidRPr="00DE2496">
        <w:rPr>
          <w:rFonts w:ascii="Arial" w:hAnsi="Arial" w:cs="Arial"/>
          <w:sz w:val="20"/>
          <w:szCs w:val="20"/>
        </w:rPr>
        <w:t xml:space="preserve">Processo n. 857267/16 – </w:t>
      </w:r>
      <w:hyperlink r:id="rId2" w:history="1">
        <w:r w:rsidR="00D509ED" w:rsidRPr="00DE2496">
          <w:rPr>
            <w:rStyle w:val="Hyperlink"/>
            <w:rFonts w:ascii="Arial" w:hAnsi="Arial" w:cs="Arial"/>
            <w:color w:val="0000FF"/>
            <w:sz w:val="20"/>
            <w:szCs w:val="20"/>
          </w:rPr>
          <w:t>Acórdão n. 5.278/2016 – Tribunal Pleno.</w:t>
        </w:r>
      </w:hyperlink>
    </w:p>
    <w:p w14:paraId="6388FE6E" w14:textId="77777777" w:rsidR="00DB4D6B" w:rsidRPr="00DE2496" w:rsidRDefault="00DB4D6B" w:rsidP="00C733F4">
      <w:pPr>
        <w:pStyle w:val="PargrafodaLista"/>
        <w:numPr>
          <w:ilvl w:val="0"/>
          <w:numId w:val="2"/>
        </w:numPr>
        <w:ind w:left="426" w:hanging="284"/>
        <w:jc w:val="both"/>
        <w:rPr>
          <w:rFonts w:ascii="Arial" w:hAnsi="Arial" w:cs="Arial"/>
          <w:b/>
          <w:sz w:val="20"/>
          <w:szCs w:val="20"/>
        </w:rPr>
      </w:pPr>
      <w:r w:rsidRPr="00DE2496">
        <w:rPr>
          <w:rFonts w:ascii="Arial" w:hAnsi="Arial" w:cs="Arial"/>
          <w:b/>
          <w:sz w:val="20"/>
          <w:szCs w:val="20"/>
        </w:rPr>
        <w:t>Revoga:</w:t>
      </w:r>
    </w:p>
    <w:p w14:paraId="1995A29F" w14:textId="77777777" w:rsidR="00DB4D6B" w:rsidRPr="00DE2496" w:rsidRDefault="00000000" w:rsidP="00C733F4">
      <w:pPr>
        <w:pStyle w:val="PargrafodaLista"/>
        <w:ind w:left="426"/>
        <w:jc w:val="both"/>
        <w:rPr>
          <w:rFonts w:ascii="Arial" w:hAnsi="Arial" w:cs="Arial"/>
          <w:color w:val="0000FF"/>
          <w:sz w:val="20"/>
          <w:szCs w:val="20"/>
        </w:rPr>
      </w:pPr>
      <w:hyperlink r:id="rId3" w:history="1">
        <w:r w:rsidR="00DB4D6B" w:rsidRPr="00DE2496">
          <w:rPr>
            <w:rStyle w:val="Hyperlink"/>
            <w:rFonts w:ascii="Arial" w:hAnsi="Arial" w:cs="Arial"/>
            <w:color w:val="0000FF"/>
            <w:sz w:val="20"/>
            <w:szCs w:val="20"/>
          </w:rPr>
          <w:t>Instrução Normativa n. 95, de 27 de fevereiro de 2014</w:t>
        </w:r>
      </w:hyperlink>
      <w:r w:rsidR="00DB4D6B" w:rsidRPr="00DE2496">
        <w:rPr>
          <w:rFonts w:ascii="Arial" w:hAnsi="Arial" w:cs="Arial"/>
          <w:color w:val="0000FF"/>
          <w:sz w:val="20"/>
          <w:szCs w:val="20"/>
        </w:rPr>
        <w:t>.</w:t>
      </w:r>
    </w:p>
    <w:p w14:paraId="0662FAE5" w14:textId="461B77F9" w:rsidR="00D77272" w:rsidRPr="00DE2496" w:rsidRDefault="00000000" w:rsidP="00C733F4">
      <w:pPr>
        <w:pStyle w:val="PargrafodaLista"/>
        <w:ind w:left="426"/>
        <w:jc w:val="both"/>
        <w:rPr>
          <w:rFonts w:ascii="Arial" w:hAnsi="Arial" w:cs="Arial"/>
          <w:sz w:val="18"/>
          <w:szCs w:val="18"/>
        </w:rPr>
      </w:pPr>
      <w:hyperlink r:id="rId4" w:history="1">
        <w:r w:rsidR="00DB4D6B" w:rsidRPr="00DE2496">
          <w:rPr>
            <w:rStyle w:val="Hyperlink"/>
            <w:rFonts w:ascii="Arial" w:hAnsi="Arial" w:cs="Arial"/>
            <w:color w:val="0000FF"/>
            <w:sz w:val="20"/>
            <w:szCs w:val="20"/>
          </w:rPr>
          <w:t>Instrução Normativa n. 109, de 19 de novembro de 2015</w:t>
        </w:r>
      </w:hyperlink>
      <w:r w:rsidR="00DB4D6B" w:rsidRPr="00DE2496">
        <w:rPr>
          <w:rFonts w:ascii="Arial" w:hAnsi="Arial" w:cs="Arial"/>
          <w:color w:val="0000FF"/>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6929" w14:textId="52334FB3" w:rsidR="00942103" w:rsidRDefault="00490AA9" w:rsidP="00942103">
    <w:pPr>
      <w:tabs>
        <w:tab w:val="center" w:pos="4252"/>
        <w:tab w:val="right" w:pos="8504"/>
      </w:tabs>
      <w:spacing w:before="480" w:after="120"/>
      <w:ind w:left="1134"/>
      <w:jc w:val="center"/>
      <w:rPr>
        <w:rFonts w:ascii="Arial" w:hAnsi="Arial" w:cs="Arial"/>
        <w:b/>
        <w:sz w:val="30"/>
        <w:szCs w:val="30"/>
      </w:rPr>
    </w:pPr>
    <w:r>
      <w:rPr>
        <w:noProof/>
      </w:rPr>
      <w:drawing>
        <wp:anchor distT="0" distB="0" distL="114300" distR="114300" simplePos="0" relativeHeight="251659264" behindDoc="0" locked="0" layoutInCell="1" allowOverlap="1" wp14:anchorId="3A6D136F" wp14:editId="2AB3E3B5">
          <wp:simplePos x="0" y="0"/>
          <wp:positionH relativeFrom="column">
            <wp:posOffset>-3175</wp:posOffset>
          </wp:positionH>
          <wp:positionV relativeFrom="paragraph">
            <wp:posOffset>57785</wp:posOffset>
          </wp:positionV>
          <wp:extent cx="605790" cy="712470"/>
          <wp:effectExtent l="0" t="0" r="3810" b="0"/>
          <wp:wrapSquare wrapText="bothSides"/>
          <wp:docPr id="1" name="Imagem 1"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C733F4" w:rsidRPr="0036255E">
      <w:rPr>
        <w:rFonts w:ascii="Arial" w:hAnsi="Arial" w:cs="Arial"/>
        <w:b/>
        <w:sz w:val="30"/>
        <w:szCs w:val="30"/>
      </w:rPr>
      <w:t>TRIBUNAL DE CONTAS DO ESTADO DO PARANÁ</w:t>
    </w:r>
  </w:p>
  <w:p w14:paraId="69C20995" w14:textId="77777777" w:rsidR="006560ED" w:rsidRPr="00942103" w:rsidRDefault="00000000" w:rsidP="00A2476D">
    <w:pPr>
      <w:pStyle w:val="Cabealho"/>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A5354"/>
    <w:multiLevelType w:val="hybridMultilevel"/>
    <w:tmpl w:val="9A92502C"/>
    <w:lvl w:ilvl="0" w:tplc="40CEAC98">
      <w:start w:val="1"/>
      <w:numFmt w:val="lowerLetter"/>
      <w:lvlText w:val="%1)"/>
      <w:lvlJc w:val="left"/>
      <w:pPr>
        <w:ind w:left="720" w:hanging="360"/>
      </w:pPr>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2816458"/>
    <w:multiLevelType w:val="hybridMultilevel"/>
    <w:tmpl w:val="54801CDC"/>
    <w:lvl w:ilvl="0" w:tplc="90E0733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28579772">
    <w:abstractNumId w:val="1"/>
  </w:num>
  <w:num w:numId="2" w16cid:durableId="155022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73"/>
    <w:rsid w:val="001A251F"/>
    <w:rsid w:val="0027786E"/>
    <w:rsid w:val="003B6DD8"/>
    <w:rsid w:val="003E1070"/>
    <w:rsid w:val="00490AA9"/>
    <w:rsid w:val="006E55CB"/>
    <w:rsid w:val="008E3587"/>
    <w:rsid w:val="00A2476D"/>
    <w:rsid w:val="00AB66B6"/>
    <w:rsid w:val="00BC16E4"/>
    <w:rsid w:val="00C733F4"/>
    <w:rsid w:val="00C920C8"/>
    <w:rsid w:val="00D509ED"/>
    <w:rsid w:val="00D77272"/>
    <w:rsid w:val="00DB4D6B"/>
    <w:rsid w:val="00DC2D73"/>
    <w:rsid w:val="00DE2496"/>
    <w:rsid w:val="00E642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62FA1"/>
  <w15:chartTrackingRefBased/>
  <w15:docId w15:val="{60C2D145-82E8-4FF2-B272-BCAFBF50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AA9"/>
    <w:pPr>
      <w:autoSpaceDE w:val="0"/>
      <w:autoSpaceDN w:val="0"/>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90AA9"/>
    <w:pPr>
      <w:tabs>
        <w:tab w:val="center" w:pos="4252"/>
        <w:tab w:val="right" w:pos="8504"/>
      </w:tabs>
    </w:pPr>
  </w:style>
  <w:style w:type="character" w:customStyle="1" w:styleId="CabealhoChar">
    <w:name w:val="Cabeçalho Char"/>
    <w:basedOn w:val="Fontepargpadro"/>
    <w:link w:val="Cabealho"/>
    <w:uiPriority w:val="99"/>
    <w:rsid w:val="00490AA9"/>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BC16E4"/>
    <w:rPr>
      <w:color w:val="0563C1" w:themeColor="hyperlink"/>
      <w:u w:val="single"/>
    </w:rPr>
  </w:style>
  <w:style w:type="character" w:styleId="MenoPendente">
    <w:name w:val="Unresolved Mention"/>
    <w:basedOn w:val="Fontepargpadro"/>
    <w:uiPriority w:val="99"/>
    <w:semiHidden/>
    <w:unhideWhenUsed/>
    <w:rsid w:val="00BC16E4"/>
    <w:rPr>
      <w:color w:val="605E5C"/>
      <w:shd w:val="clear" w:color="auto" w:fill="E1DFDD"/>
    </w:rPr>
  </w:style>
  <w:style w:type="paragraph" w:styleId="Rodap">
    <w:name w:val="footer"/>
    <w:basedOn w:val="Normal"/>
    <w:link w:val="RodapChar"/>
    <w:uiPriority w:val="99"/>
    <w:unhideWhenUsed/>
    <w:rsid w:val="0027786E"/>
    <w:pPr>
      <w:tabs>
        <w:tab w:val="center" w:pos="4252"/>
        <w:tab w:val="right" w:pos="8504"/>
      </w:tabs>
    </w:pPr>
  </w:style>
  <w:style w:type="character" w:customStyle="1" w:styleId="RodapChar">
    <w:name w:val="Rodapé Char"/>
    <w:basedOn w:val="Fontepargpadro"/>
    <w:link w:val="Rodap"/>
    <w:uiPriority w:val="99"/>
    <w:rsid w:val="0027786E"/>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nhideWhenUsed/>
    <w:rsid w:val="00D77272"/>
  </w:style>
  <w:style w:type="character" w:customStyle="1" w:styleId="TextodenotaderodapChar">
    <w:name w:val="Texto de nota de rodapé Char"/>
    <w:basedOn w:val="Fontepargpadro"/>
    <w:link w:val="Textodenotaderodap"/>
    <w:rsid w:val="00D7727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D77272"/>
    <w:rPr>
      <w:vertAlign w:val="superscript"/>
    </w:rPr>
  </w:style>
  <w:style w:type="paragraph" w:styleId="PargrafodaLista">
    <w:name w:val="List Paragraph"/>
    <w:basedOn w:val="Normal"/>
    <w:uiPriority w:val="34"/>
    <w:qFormat/>
    <w:rsid w:val="00D77272"/>
    <w:pPr>
      <w:autoSpaceDE/>
      <w:autoSpaceDN/>
      <w:spacing w:after="200" w:line="276" w:lineRule="auto"/>
      <w:ind w:left="720"/>
      <w:contextualSpacing/>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95-de-27-de-fevereiro-de-2014/251469/area/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tce.pr.gov.br/conteudo/instrucao-normativa-n-109-de-19-de-novembro-de-2015/279728/area/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95-de-27-de-fevereiro-de-2014/251469/area/10" TargetMode="External"/><Relationship Id="rId2" Type="http://schemas.openxmlformats.org/officeDocument/2006/relationships/hyperlink" Target="https://www1.tce.pr.gov.br/multimidia/2016/11/pdf/00304643.pdf" TargetMode="External"/><Relationship Id="rId1" Type="http://schemas.openxmlformats.org/officeDocument/2006/relationships/hyperlink" Target="http://www1.tce.pr.gov.br/multimidia/2016/11/pdf/00304621.pdf" TargetMode="External"/><Relationship Id="rId4" Type="http://schemas.openxmlformats.org/officeDocument/2006/relationships/hyperlink" Target="http://www1.tce.pr.gov.br/conteudo/instrucao-normativa-n-109-de-19-de-novembro-de-2015/279728/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B8901-66A7-408B-9FD4-D3BBD951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2085</Words>
  <Characters>11259</Characters>
  <Application>Microsoft Office Word</Application>
  <DocSecurity>0</DocSecurity>
  <Lines>93</Lines>
  <Paragraphs>26</Paragraphs>
  <ScaleCrop>false</ScaleCrop>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dc:creator>
  <cp:keywords/>
  <dc:description/>
  <cp:lastModifiedBy>Yarusya Fonseca</cp:lastModifiedBy>
  <cp:revision>14</cp:revision>
  <dcterms:created xsi:type="dcterms:W3CDTF">2022-06-23T20:51:00Z</dcterms:created>
  <dcterms:modified xsi:type="dcterms:W3CDTF">2022-07-13T00:46:00Z</dcterms:modified>
</cp:coreProperties>
</file>