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CC92" w14:textId="118545D4" w:rsidR="00FA0CE2" w:rsidRDefault="00FA0CE2" w:rsidP="0015080C">
      <w:pPr>
        <w:spacing w:before="120" w:after="0" w:line="240" w:lineRule="auto"/>
        <w:jc w:val="center"/>
        <w:rPr>
          <w:rFonts w:ascii="Arial" w:hAnsi="Arial" w:cs="Arial"/>
          <w:b/>
          <w:sz w:val="28"/>
          <w:szCs w:val="28"/>
        </w:rPr>
      </w:pPr>
      <w:r w:rsidRPr="006A3D2B">
        <w:rPr>
          <w:rFonts w:ascii="Arial" w:hAnsi="Arial" w:cs="Arial"/>
          <w:b/>
          <w:sz w:val="28"/>
          <w:szCs w:val="28"/>
        </w:rPr>
        <w:t>INSTRUÇÃO NORMATIVA Nº 7/2006</w:t>
      </w:r>
      <w:r w:rsidR="005B0BED" w:rsidRPr="005B0BED">
        <w:rPr>
          <w:rStyle w:val="Refdenotaderodap"/>
          <w:rFonts w:ascii="Arial" w:hAnsi="Arial" w:cs="Arial"/>
          <w:b/>
          <w:sz w:val="28"/>
          <w:szCs w:val="28"/>
        </w:rPr>
        <w:footnoteReference w:customMarkFollows="1" w:id="1"/>
        <w:sym w:font="Symbol" w:char="F02A"/>
      </w:r>
    </w:p>
    <w:p w14:paraId="46F366F1" w14:textId="2C2DA158" w:rsidR="00542D72" w:rsidRPr="00500192" w:rsidRDefault="00542D72" w:rsidP="00500192">
      <w:pPr>
        <w:pStyle w:val="Corpodetexto"/>
        <w:spacing w:after="240"/>
        <w:jc w:val="center"/>
        <w:rPr>
          <w:rStyle w:val="Hyperlink"/>
          <w:rFonts w:ascii="Arial" w:hAnsi="Arial" w:cs="Arial"/>
          <w:sz w:val="26"/>
          <w:szCs w:val="26"/>
        </w:rPr>
      </w:pPr>
      <w:r w:rsidRPr="00500192">
        <w:rPr>
          <w:rFonts w:ascii="Arial" w:hAnsi="Arial" w:cs="Arial"/>
          <w:b/>
          <w:color w:val="FF0000"/>
          <w:sz w:val="26"/>
          <w:szCs w:val="26"/>
        </w:rPr>
        <w:t>Revogada</w:t>
      </w:r>
      <w:r w:rsidRPr="00500192">
        <w:rPr>
          <w:rFonts w:ascii="Arial" w:hAnsi="Arial" w:cs="Arial"/>
          <w:b/>
          <w:sz w:val="26"/>
          <w:szCs w:val="26"/>
        </w:rPr>
        <w:t xml:space="preserve"> </w:t>
      </w:r>
      <w:r w:rsidRPr="00500192">
        <w:rPr>
          <w:rFonts w:ascii="Arial" w:hAnsi="Arial" w:cs="Arial"/>
          <w:bCs/>
          <w:sz w:val="26"/>
          <w:szCs w:val="26"/>
        </w:rPr>
        <w:t>por:</w:t>
      </w:r>
      <w:r w:rsidRPr="00500192">
        <w:rPr>
          <w:rFonts w:ascii="Arial" w:hAnsi="Arial" w:cs="Arial"/>
          <w:sz w:val="26"/>
          <w:szCs w:val="26"/>
        </w:rPr>
        <w:t xml:space="preserve"> </w:t>
      </w:r>
      <w:hyperlink r:id="rId8" w:history="1">
        <w:r w:rsidRPr="00500192">
          <w:rPr>
            <w:rStyle w:val="Hyperlink"/>
            <w:rFonts w:ascii="Arial" w:hAnsi="Arial" w:cs="Arial"/>
            <w:sz w:val="26"/>
            <w:szCs w:val="26"/>
          </w:rPr>
          <w:t>Instrução Normativa n. 17, de 6 de dezembro de 2007</w:t>
        </w:r>
      </w:hyperlink>
      <w:r w:rsidRPr="00500192">
        <w:rPr>
          <w:rStyle w:val="Hyperlink"/>
          <w:rFonts w:ascii="Arial" w:hAnsi="Arial" w:cs="Arial"/>
          <w:sz w:val="26"/>
          <w:szCs w:val="26"/>
        </w:rPr>
        <w:t>.</w:t>
      </w:r>
    </w:p>
    <w:p w14:paraId="1BB6CC94" w14:textId="4F7F46AE" w:rsidR="00FA0CE2" w:rsidRDefault="00FA0CE2" w:rsidP="0015080C">
      <w:pPr>
        <w:pStyle w:val="Corpodetexto"/>
        <w:spacing w:before="360" w:after="360"/>
        <w:ind w:left="4536"/>
        <w:jc w:val="both"/>
        <w:rPr>
          <w:rFonts w:ascii="Arial" w:hAnsi="Arial" w:cs="Arial"/>
          <w:i/>
          <w:strike/>
          <w:sz w:val="22"/>
          <w:szCs w:val="22"/>
        </w:rPr>
      </w:pPr>
      <w:r w:rsidRPr="001D193A">
        <w:rPr>
          <w:rFonts w:ascii="Arial" w:hAnsi="Arial" w:cs="Arial"/>
          <w:i/>
          <w:strike/>
          <w:sz w:val="22"/>
          <w:szCs w:val="22"/>
        </w:rPr>
        <w:t>Disciplina a forma e composição da prestação de contas anual, relativa ao exercício de 2006, dos órgãos e entidades da Administração Direta e Indireta do Poder Executivo Estadual e dos Poderes Legislativo, Judiciário e Ministério Público.</w:t>
      </w:r>
    </w:p>
    <w:p w14:paraId="1BB6CC95" w14:textId="29A0B6F8" w:rsidR="00FA0CE2" w:rsidRPr="00542D72" w:rsidRDefault="00FA0CE2" w:rsidP="0015080C">
      <w:pPr>
        <w:tabs>
          <w:tab w:val="left" w:pos="1843"/>
        </w:tabs>
        <w:spacing w:before="160" w:after="0" w:line="240" w:lineRule="auto"/>
        <w:ind w:firstLine="1134"/>
        <w:jc w:val="both"/>
        <w:rPr>
          <w:rFonts w:ascii="Arial" w:hAnsi="Arial" w:cs="Arial"/>
          <w:strike/>
          <w:sz w:val="24"/>
          <w:szCs w:val="24"/>
        </w:rPr>
      </w:pPr>
      <w:r w:rsidRPr="001D193A">
        <w:rPr>
          <w:rFonts w:ascii="Arial" w:hAnsi="Arial" w:cs="Arial"/>
          <w:bCs/>
          <w:strike/>
          <w:sz w:val="24"/>
          <w:szCs w:val="24"/>
        </w:rPr>
        <w:t>O</w:t>
      </w:r>
      <w:r w:rsidRPr="00542D72">
        <w:rPr>
          <w:rFonts w:ascii="Arial" w:hAnsi="Arial" w:cs="Arial"/>
          <w:b/>
          <w:strike/>
          <w:sz w:val="24"/>
          <w:szCs w:val="24"/>
        </w:rPr>
        <w:t xml:space="preserve"> TRIBUNAL DE CONTAS DO ESTADO DO PARANÁ</w:t>
      </w:r>
      <w:r w:rsidRPr="00542D72">
        <w:rPr>
          <w:rFonts w:ascii="Arial" w:hAnsi="Arial" w:cs="Arial"/>
          <w:strike/>
          <w:sz w:val="24"/>
          <w:szCs w:val="24"/>
        </w:rPr>
        <w:t xml:space="preserve">, no uso de suas atribuições previstas no art. 75, inciso I da Constituição Estadual, no art. 2º da Lei Complementar nº 113/2005, e </w:t>
      </w:r>
      <w:proofErr w:type="spellStart"/>
      <w:r w:rsidRPr="00542D72">
        <w:rPr>
          <w:rFonts w:ascii="Arial" w:hAnsi="Arial" w:cs="Arial"/>
          <w:strike/>
          <w:sz w:val="24"/>
          <w:szCs w:val="24"/>
        </w:rPr>
        <w:t>arts</w:t>
      </w:r>
      <w:proofErr w:type="spellEnd"/>
      <w:r w:rsidRPr="00542D72">
        <w:rPr>
          <w:rFonts w:ascii="Arial" w:hAnsi="Arial" w:cs="Arial"/>
          <w:strike/>
          <w:sz w:val="24"/>
          <w:szCs w:val="24"/>
        </w:rPr>
        <w:t>. 193 e 223, § 2º do Regimento Interno, resolve:</w:t>
      </w:r>
    </w:p>
    <w:p w14:paraId="1BB6CC96" w14:textId="77777777" w:rsidR="00FA0CE2" w:rsidRPr="00542D72" w:rsidRDefault="00FA0CE2" w:rsidP="0015080C">
      <w:pPr>
        <w:tabs>
          <w:tab w:val="left" w:pos="1843"/>
        </w:tabs>
        <w:spacing w:before="160" w:after="0" w:line="240" w:lineRule="auto"/>
        <w:ind w:firstLine="1134"/>
        <w:jc w:val="both"/>
        <w:rPr>
          <w:rFonts w:ascii="Arial" w:hAnsi="Arial" w:cs="Arial"/>
          <w:strike/>
          <w:sz w:val="24"/>
          <w:szCs w:val="24"/>
        </w:rPr>
      </w:pPr>
      <w:r w:rsidRPr="00542D72">
        <w:rPr>
          <w:rFonts w:ascii="Arial" w:hAnsi="Arial" w:cs="Arial"/>
          <w:b/>
          <w:strike/>
          <w:sz w:val="24"/>
          <w:szCs w:val="24"/>
        </w:rPr>
        <w:t>Art. 1º</w:t>
      </w:r>
      <w:r w:rsidRPr="00542D72">
        <w:rPr>
          <w:rFonts w:ascii="Arial" w:hAnsi="Arial" w:cs="Arial"/>
          <w:strike/>
          <w:sz w:val="24"/>
          <w:szCs w:val="24"/>
        </w:rPr>
        <w:t xml:space="preserve"> As normas desta Instrução aplicam-se aos dirigentes dos órgãos da Administração Direta e Indireta Estadual, incluídas as Secretarias de Estado, Autarquias, Órgãos de Regime Especial, Fundos Especiais e as Fundações e Sociedades instituídas e mantidas pelo Poder Público Estadual, as Empresas Públicas, as Sociedades de Economia Mista, os Serviços Sociais Autônomos, a Assembleia Legislativa, o Tribunal de Contas, o Tribunal de Justiça e o Ministério Público.</w:t>
      </w:r>
    </w:p>
    <w:p w14:paraId="1BB6CC97"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b/>
          <w:strike/>
          <w:sz w:val="24"/>
          <w:szCs w:val="24"/>
        </w:rPr>
        <w:t>Art. 2º</w:t>
      </w:r>
      <w:r w:rsidRPr="00542D72">
        <w:rPr>
          <w:rFonts w:ascii="Arial" w:hAnsi="Arial" w:cs="Arial"/>
          <w:strike/>
          <w:sz w:val="24"/>
          <w:szCs w:val="24"/>
        </w:rPr>
        <w:t xml:space="preserve"> A prestação de contas anual, relativa ao exercício financeiro de 2006, dos Órgãos/Entidades abrangidas por esta Instrução Normativa, deverá ser protocolada na Diretoria de Protocolo – DP deste Tribunal, dentro dos seguintes prazos:</w:t>
      </w:r>
    </w:p>
    <w:p w14:paraId="1BB6CC98" w14:textId="3D96DF87" w:rsidR="00FA0CE2" w:rsidRPr="00542D72" w:rsidRDefault="00FA0CE2" w:rsidP="0015080C">
      <w:pPr>
        <w:numPr>
          <w:ilvl w:val="0"/>
          <w:numId w:val="2"/>
        </w:numPr>
        <w:tabs>
          <w:tab w:val="left" w:pos="1560"/>
        </w:tabs>
        <w:spacing w:before="160" w:after="0" w:line="240" w:lineRule="auto"/>
        <w:ind w:firstLine="1134"/>
        <w:jc w:val="both"/>
        <w:rPr>
          <w:rFonts w:ascii="Arial" w:hAnsi="Arial" w:cs="Arial"/>
          <w:strike/>
          <w:sz w:val="24"/>
          <w:szCs w:val="24"/>
        </w:rPr>
      </w:pPr>
      <w:r w:rsidRPr="00542D72">
        <w:rPr>
          <w:rFonts w:ascii="Arial" w:hAnsi="Arial" w:cs="Arial"/>
          <w:strike/>
          <w:sz w:val="24"/>
          <w:szCs w:val="24"/>
        </w:rPr>
        <w:t xml:space="preserve">até 31 de março de 2007, para </w:t>
      </w:r>
      <w:r w:rsidRPr="00542D72">
        <w:rPr>
          <w:rFonts w:ascii="Arial" w:hAnsi="Arial" w:cs="Arial"/>
          <w:strike/>
          <w:color w:val="000000"/>
          <w:sz w:val="24"/>
          <w:szCs w:val="24"/>
        </w:rPr>
        <w:t xml:space="preserve">os órgãos integrantes da Administração Direta do Poder Executivo, e para os Poderes Legislativo e Judiciário, e o Ministério Público, conforme determina o art. 221 do </w:t>
      </w:r>
      <w:r w:rsidRPr="001D193A">
        <w:rPr>
          <w:rFonts w:ascii="Arial" w:hAnsi="Arial" w:cs="Arial"/>
          <w:strike/>
          <w:sz w:val="24"/>
          <w:szCs w:val="24"/>
        </w:rPr>
        <w:t>Regimento Interno</w:t>
      </w:r>
      <w:r w:rsidRPr="00542D72">
        <w:rPr>
          <w:rFonts w:ascii="Arial" w:hAnsi="Arial" w:cs="Arial"/>
          <w:strike/>
          <w:color w:val="00B0F0"/>
          <w:sz w:val="24"/>
          <w:szCs w:val="24"/>
        </w:rPr>
        <w:t xml:space="preserve"> </w:t>
      </w:r>
      <w:r w:rsidRPr="00542D72">
        <w:rPr>
          <w:rFonts w:ascii="Arial" w:hAnsi="Arial" w:cs="Arial"/>
          <w:strike/>
          <w:color w:val="000000"/>
          <w:sz w:val="24"/>
          <w:szCs w:val="24"/>
        </w:rPr>
        <w:t>deste Tribunal;</w:t>
      </w:r>
    </w:p>
    <w:p w14:paraId="1BB6CC99" w14:textId="7F2BE04B" w:rsidR="00FA0CE2" w:rsidRPr="00542D72" w:rsidRDefault="00FA0CE2" w:rsidP="0015080C">
      <w:pPr>
        <w:numPr>
          <w:ilvl w:val="0"/>
          <w:numId w:val="2"/>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color w:val="000000"/>
          <w:sz w:val="24"/>
          <w:szCs w:val="24"/>
        </w:rPr>
        <w:t xml:space="preserve">até 30 de abril de 2007, para os órgãos integrantes da Administração Indireta do Poder Executivo, incluídas as autarquias, órgãos de regime especial, fundos especiais, sociedades de economia mista, empresas públicas, serviços sociais autônomos, fundações e sociedades instituídas e mantidas pelo Poder Público, conforme determina o art. 222 do </w:t>
      </w:r>
      <w:r w:rsidRPr="001D193A">
        <w:rPr>
          <w:rFonts w:ascii="Arial" w:hAnsi="Arial" w:cs="Arial"/>
          <w:strike/>
          <w:sz w:val="24"/>
          <w:szCs w:val="24"/>
        </w:rPr>
        <w:t>Regimento Interno</w:t>
      </w:r>
      <w:r w:rsidRPr="00542D72">
        <w:rPr>
          <w:rFonts w:ascii="Arial" w:hAnsi="Arial" w:cs="Arial"/>
          <w:strike/>
          <w:color w:val="00B0F0"/>
          <w:sz w:val="24"/>
          <w:szCs w:val="24"/>
        </w:rPr>
        <w:t xml:space="preserve"> </w:t>
      </w:r>
      <w:r w:rsidRPr="00542D72">
        <w:rPr>
          <w:rFonts w:ascii="Arial" w:hAnsi="Arial" w:cs="Arial"/>
          <w:strike/>
          <w:color w:val="000000"/>
          <w:sz w:val="24"/>
          <w:szCs w:val="24"/>
        </w:rPr>
        <w:t>deste Tribunal.</w:t>
      </w:r>
    </w:p>
    <w:p w14:paraId="1BB6CC9A"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b/>
          <w:strike/>
          <w:sz w:val="24"/>
          <w:szCs w:val="24"/>
        </w:rPr>
        <w:t>Art. 3º</w:t>
      </w:r>
      <w:r w:rsidRPr="00542D72">
        <w:rPr>
          <w:rFonts w:ascii="Arial" w:hAnsi="Arial" w:cs="Arial"/>
          <w:strike/>
          <w:sz w:val="24"/>
          <w:szCs w:val="24"/>
        </w:rPr>
        <w:t xml:space="preserve"> O encaminhamento dos documentos comprobatórios da Prestação de Contas poderá ser realizado através do Serviço de Correios, mediante remessa registrada, caso em que será considerada como data de entrega a de postagem na Agência de Correios.</w:t>
      </w:r>
    </w:p>
    <w:p w14:paraId="1BB6CC9B"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b/>
          <w:strike/>
          <w:sz w:val="24"/>
          <w:szCs w:val="24"/>
        </w:rPr>
        <w:t>Art. 4º</w:t>
      </w:r>
      <w:r w:rsidRPr="00542D72">
        <w:rPr>
          <w:rFonts w:ascii="Arial" w:hAnsi="Arial" w:cs="Arial"/>
          <w:strike/>
          <w:sz w:val="24"/>
          <w:szCs w:val="24"/>
        </w:rPr>
        <w:t xml:space="preserve"> A prestação de contas anual dos órgãos componentes da Administração Direta Estadual, assim compreendidas as Secretarias de Estado, conterá:</w:t>
      </w:r>
    </w:p>
    <w:p w14:paraId="1BB6CC9C" w14:textId="6EE18BCD" w:rsidR="00FA0CE2" w:rsidRPr="00542D72" w:rsidRDefault="00FA0CE2" w:rsidP="0015080C">
      <w:pPr>
        <w:numPr>
          <w:ilvl w:val="0"/>
          <w:numId w:val="3"/>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lastRenderedPageBreak/>
        <w:t xml:space="preserve">Ofício de encaminhamento ao Presidente do Tribunal de Contas, assinado pela autoridade competente devidamente qualificada, conforme dispõe o </w:t>
      </w:r>
      <w:hyperlink r:id="rId9" w:history="1">
        <w:r w:rsidRPr="00542D72">
          <w:rPr>
            <w:rStyle w:val="Hyperlink"/>
            <w:rFonts w:ascii="Arial" w:hAnsi="Arial" w:cs="Arial"/>
            <w:strike/>
            <w:sz w:val="24"/>
            <w:szCs w:val="24"/>
          </w:rPr>
          <w:t>Provimento nº 47/02-TC</w:t>
        </w:r>
      </w:hyperlink>
      <w:r w:rsidRPr="00542D72">
        <w:rPr>
          <w:rFonts w:ascii="Arial" w:hAnsi="Arial" w:cs="Arial"/>
          <w:strike/>
          <w:sz w:val="24"/>
          <w:szCs w:val="24"/>
        </w:rPr>
        <w:t>, deste Tribunal, em seu art. 9º, §§ 2º e 3º.</w:t>
      </w:r>
    </w:p>
    <w:p w14:paraId="1BB6CC9D" w14:textId="77777777" w:rsidR="00FA0CE2" w:rsidRPr="00542D72" w:rsidRDefault="00FA0CE2" w:rsidP="0015080C">
      <w:pPr>
        <w:numPr>
          <w:ilvl w:val="0"/>
          <w:numId w:val="3"/>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Índice dos documentos componentes da Prestação de Contas.</w:t>
      </w:r>
    </w:p>
    <w:p w14:paraId="1BB6CC9E" w14:textId="77777777" w:rsidR="00FA0CE2" w:rsidRPr="00542D72" w:rsidRDefault="00FA0CE2" w:rsidP="0015080C">
      <w:pPr>
        <w:numPr>
          <w:ilvl w:val="0"/>
          <w:numId w:val="3"/>
        </w:numPr>
        <w:tabs>
          <w:tab w:val="left" w:pos="1560"/>
        </w:tabs>
        <w:spacing w:before="160" w:after="0" w:line="240" w:lineRule="auto"/>
        <w:ind w:left="0" w:firstLine="1134"/>
        <w:jc w:val="both"/>
        <w:rPr>
          <w:rFonts w:ascii="Arial" w:hAnsi="Arial" w:cs="Arial"/>
          <w:strike/>
          <w:snapToGrid w:val="0"/>
          <w:color w:val="000000"/>
          <w:sz w:val="24"/>
          <w:szCs w:val="24"/>
        </w:rPr>
      </w:pPr>
      <w:r w:rsidRPr="00542D72">
        <w:rPr>
          <w:rFonts w:ascii="Arial" w:hAnsi="Arial" w:cs="Arial"/>
          <w:strike/>
          <w:sz w:val="24"/>
          <w:szCs w:val="24"/>
        </w:rPr>
        <w:t>Relatório circunstanciado</w:t>
      </w:r>
      <w:r w:rsidRPr="00542D72">
        <w:rPr>
          <w:rFonts w:ascii="Arial" w:hAnsi="Arial" w:cs="Arial"/>
          <w:strike/>
          <w:snapToGrid w:val="0"/>
          <w:color w:val="000000"/>
          <w:sz w:val="24"/>
          <w:szCs w:val="24"/>
        </w:rPr>
        <w:t xml:space="preserve"> da gestão, destacando entre outros elementos:</w:t>
      </w:r>
    </w:p>
    <w:p w14:paraId="1BB6CC9F" w14:textId="77777777" w:rsidR="00FA0CE2" w:rsidRPr="00542D72" w:rsidRDefault="00FA0CE2" w:rsidP="0015080C">
      <w:pPr>
        <w:pStyle w:val="m-3"/>
        <w:numPr>
          <w:ilvl w:val="0"/>
          <w:numId w:val="6"/>
        </w:numPr>
        <w:tabs>
          <w:tab w:val="left" w:pos="0"/>
          <w:tab w:val="left" w:pos="708"/>
        </w:tabs>
        <w:spacing w:before="160" w:after="0" w:line="240" w:lineRule="auto"/>
        <w:ind w:left="0" w:firstLine="1134"/>
        <w:rPr>
          <w:rFonts w:ascii="Arial" w:hAnsi="Arial" w:cs="Arial"/>
          <w:strike/>
          <w:snapToGrid w:val="0"/>
          <w:sz w:val="24"/>
          <w:szCs w:val="24"/>
        </w:rPr>
      </w:pPr>
      <w:r w:rsidRPr="00542D72">
        <w:rPr>
          <w:rFonts w:ascii="Arial" w:hAnsi="Arial" w:cs="Arial"/>
          <w:strike/>
          <w:snapToGrid w:val="0"/>
          <w:sz w:val="24"/>
          <w:szCs w:val="24"/>
        </w:rPr>
        <w:t>relação dos ordenadores de despesas e respectivos substitutos, atos de nomeação, designação ou exoneração, bem como a indicação dos períodos de efetiva gestão;</w:t>
      </w:r>
    </w:p>
    <w:p w14:paraId="1BB6CCA0" w14:textId="77777777" w:rsidR="00FA0CE2" w:rsidRPr="00542D72" w:rsidRDefault="00FA0CE2" w:rsidP="0015080C">
      <w:pPr>
        <w:pStyle w:val="m-3"/>
        <w:numPr>
          <w:ilvl w:val="0"/>
          <w:numId w:val="6"/>
        </w:numPr>
        <w:tabs>
          <w:tab w:val="left" w:pos="0"/>
          <w:tab w:val="left" w:pos="708"/>
        </w:tabs>
        <w:spacing w:before="160" w:after="0" w:line="240" w:lineRule="auto"/>
        <w:ind w:left="0" w:firstLine="1134"/>
        <w:rPr>
          <w:rFonts w:ascii="Arial" w:hAnsi="Arial" w:cs="Arial"/>
          <w:strike/>
          <w:snapToGrid w:val="0"/>
          <w:sz w:val="24"/>
          <w:szCs w:val="24"/>
        </w:rPr>
      </w:pPr>
      <w:r w:rsidRPr="00542D72">
        <w:rPr>
          <w:rFonts w:ascii="Arial" w:hAnsi="Arial" w:cs="Arial"/>
          <w:strike/>
          <w:snapToGrid w:val="0"/>
          <w:sz w:val="24"/>
          <w:szCs w:val="24"/>
        </w:rPr>
        <w:t>a execução dos projetos/atividades, com esclarecimentos se for o caso, sobre as causas que inviabilizaram o pleno cumprimento,</w:t>
      </w:r>
      <w:r w:rsidRPr="00542D72">
        <w:rPr>
          <w:rFonts w:ascii="Arial" w:hAnsi="Arial" w:cs="Arial"/>
          <w:strike/>
          <w:sz w:val="24"/>
          <w:szCs w:val="24"/>
        </w:rPr>
        <w:t xml:space="preserve"> bem como comparativo das metas previstas e realizadas</w:t>
      </w:r>
      <w:r w:rsidRPr="00542D72">
        <w:rPr>
          <w:rFonts w:ascii="Arial" w:hAnsi="Arial" w:cs="Arial"/>
          <w:strike/>
          <w:snapToGrid w:val="0"/>
          <w:sz w:val="24"/>
          <w:szCs w:val="24"/>
        </w:rPr>
        <w:t>;</w:t>
      </w:r>
    </w:p>
    <w:p w14:paraId="1BB6CCA1" w14:textId="77777777" w:rsidR="00FA0CE2" w:rsidRPr="00542D72" w:rsidRDefault="00FA0CE2" w:rsidP="0015080C">
      <w:pPr>
        <w:pStyle w:val="m-3"/>
        <w:numPr>
          <w:ilvl w:val="0"/>
          <w:numId w:val="6"/>
        </w:numPr>
        <w:tabs>
          <w:tab w:val="left" w:pos="0"/>
          <w:tab w:val="left" w:pos="708"/>
        </w:tabs>
        <w:spacing w:before="160" w:after="0" w:line="240" w:lineRule="auto"/>
        <w:ind w:left="0" w:firstLine="1134"/>
        <w:rPr>
          <w:rFonts w:ascii="Arial" w:hAnsi="Arial" w:cs="Arial"/>
          <w:strike/>
          <w:snapToGrid w:val="0"/>
          <w:sz w:val="24"/>
          <w:szCs w:val="24"/>
        </w:rPr>
      </w:pPr>
      <w:r w:rsidRPr="00542D72">
        <w:rPr>
          <w:rFonts w:ascii="Arial" w:hAnsi="Arial" w:cs="Arial"/>
          <w:strike/>
          <w:snapToGrid w:val="0"/>
          <w:sz w:val="24"/>
          <w:szCs w:val="24"/>
        </w:rPr>
        <w:t>a observância da legislação pertinente, em especial, quanto ao plano plurianual, às diretrizes orçamentárias e ao orçamento anual;</w:t>
      </w:r>
    </w:p>
    <w:p w14:paraId="1BB6CCA2" w14:textId="77777777" w:rsidR="00FA0CE2" w:rsidRPr="00542D72" w:rsidRDefault="00FA0CE2" w:rsidP="0015080C">
      <w:pPr>
        <w:pStyle w:val="m-3"/>
        <w:numPr>
          <w:ilvl w:val="0"/>
          <w:numId w:val="6"/>
        </w:numPr>
        <w:tabs>
          <w:tab w:val="left" w:pos="0"/>
          <w:tab w:val="left" w:pos="708"/>
        </w:tabs>
        <w:spacing w:before="160" w:after="0" w:line="240" w:lineRule="auto"/>
        <w:ind w:left="0" w:firstLine="1134"/>
        <w:rPr>
          <w:rFonts w:ascii="Arial" w:hAnsi="Arial" w:cs="Arial"/>
          <w:strike/>
          <w:snapToGrid w:val="0"/>
          <w:sz w:val="24"/>
          <w:szCs w:val="24"/>
        </w:rPr>
      </w:pPr>
      <w:r w:rsidRPr="00542D72">
        <w:rPr>
          <w:rFonts w:ascii="Arial" w:hAnsi="Arial" w:cs="Arial"/>
          <w:strike/>
          <w:snapToGrid w:val="0"/>
          <w:sz w:val="24"/>
          <w:szCs w:val="24"/>
        </w:rPr>
        <w:t>indicadores de gestão que permitam aferir a eficiência, eficácia e economicidade da gestão administrativa, levando-se em conta os resultados quantitativos e qualitativos da unidade (Demonstrativo de Metas Físicas e Financeiras);</w:t>
      </w:r>
    </w:p>
    <w:p w14:paraId="1BB6CCA3" w14:textId="77777777" w:rsidR="00FA0CE2" w:rsidRPr="00542D72" w:rsidRDefault="00FA0CE2" w:rsidP="0015080C">
      <w:pPr>
        <w:pStyle w:val="m-3"/>
        <w:numPr>
          <w:ilvl w:val="0"/>
          <w:numId w:val="6"/>
        </w:numPr>
        <w:tabs>
          <w:tab w:val="left" w:pos="0"/>
          <w:tab w:val="left" w:pos="708"/>
        </w:tabs>
        <w:spacing w:before="160" w:after="0" w:line="240" w:lineRule="auto"/>
        <w:ind w:left="0" w:firstLine="1134"/>
        <w:rPr>
          <w:rFonts w:ascii="Arial" w:hAnsi="Arial" w:cs="Arial"/>
          <w:strike/>
          <w:snapToGrid w:val="0"/>
          <w:sz w:val="24"/>
          <w:szCs w:val="24"/>
        </w:rPr>
      </w:pPr>
      <w:r w:rsidRPr="00542D72">
        <w:rPr>
          <w:rFonts w:ascii="Arial" w:hAnsi="Arial" w:cs="Arial"/>
          <w:strike/>
          <w:snapToGrid w:val="0"/>
          <w:sz w:val="24"/>
          <w:szCs w:val="24"/>
        </w:rPr>
        <w:t>as medidas implementadas com vistas ao saneamento de eventuais disfunções estruturais ao alcance dos objetivos colimados;</w:t>
      </w:r>
    </w:p>
    <w:p w14:paraId="1BB6CCA4" w14:textId="77777777" w:rsidR="00FA0CE2" w:rsidRPr="00542D72" w:rsidRDefault="00FA0CE2" w:rsidP="0015080C">
      <w:pPr>
        <w:pStyle w:val="m-3"/>
        <w:numPr>
          <w:ilvl w:val="0"/>
          <w:numId w:val="6"/>
        </w:numPr>
        <w:tabs>
          <w:tab w:val="left" w:pos="0"/>
          <w:tab w:val="left" w:pos="708"/>
        </w:tabs>
        <w:spacing w:before="160" w:after="0" w:line="240" w:lineRule="auto"/>
        <w:ind w:left="0" w:firstLine="1134"/>
        <w:rPr>
          <w:rFonts w:ascii="Arial" w:hAnsi="Arial" w:cs="Arial"/>
          <w:strike/>
          <w:snapToGrid w:val="0"/>
          <w:sz w:val="24"/>
          <w:szCs w:val="24"/>
        </w:rPr>
      </w:pPr>
      <w:r w:rsidRPr="00542D72">
        <w:rPr>
          <w:rFonts w:ascii="Arial" w:hAnsi="Arial" w:cs="Arial"/>
          <w:strike/>
          <w:sz w:val="24"/>
          <w:szCs w:val="24"/>
        </w:rPr>
        <w:t>manifestação quanto ao atendimento (e justificativas pelo não atendimento) às recomendações e/ou determinações contidas nos Acórdãos que julgaram as contas dos exercícios anteriores.</w:t>
      </w:r>
    </w:p>
    <w:p w14:paraId="1BB6CCA5" w14:textId="77777777"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do Orçamento Autorizado (SIA 109).</w:t>
      </w:r>
    </w:p>
    <w:p w14:paraId="1BB6CCA6" w14:textId="7D6BE157"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da Despesa Segundo a Natureza – Anexo 2 da Lei nº 4.320/64 (SIA 815, 816 e 817).</w:t>
      </w:r>
    </w:p>
    <w:p w14:paraId="1BB6CCA7" w14:textId="4FB37A57"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napToGrid w:val="0"/>
          <w:color w:val="000000"/>
          <w:sz w:val="24"/>
          <w:szCs w:val="24"/>
        </w:rPr>
      </w:pPr>
      <w:r w:rsidRPr="00542D72">
        <w:rPr>
          <w:rFonts w:ascii="Arial" w:hAnsi="Arial" w:cs="Arial"/>
          <w:strike/>
          <w:sz w:val="24"/>
          <w:szCs w:val="24"/>
        </w:rPr>
        <w:t>Comparativo da Despesa Autorizada com a Realizada – Anexo 11 da Lei nº 4.320/64 (SIA 845).</w:t>
      </w:r>
    </w:p>
    <w:p w14:paraId="1BB6CCA8" w14:textId="6847F029"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Comparativo da Despesa Autorizada com a Realizada, segundo os Desdobramentos por Espécie – Anexo 11-A da Lei nº 4.320/64 (SIA 846).</w:t>
      </w:r>
    </w:p>
    <w:p w14:paraId="1BB6CCA9" w14:textId="50184C56" w:rsidR="00FA0CE2" w:rsidRPr="00542D72" w:rsidRDefault="00FA0CE2" w:rsidP="0015080C">
      <w:pPr>
        <w:numPr>
          <w:ilvl w:val="0"/>
          <w:numId w:val="3"/>
        </w:numPr>
        <w:tabs>
          <w:tab w:val="left" w:pos="1701"/>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 xml:space="preserve">Balanço Orçamentário – Anexo 12 da Lei nº 4.320/64 (SIA 850), sendo que nas contas com títulos genéricos como: Diversas, Outras, etc., o órgão deverá discriminar a composição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 ou anexar documentos que comprovem os registros.</w:t>
      </w:r>
    </w:p>
    <w:p w14:paraId="1BB6CCAA" w14:textId="5064813C"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Balanço Financeiro – Anexo 13 da Lei nº 4.320/64 (SIA 855).</w:t>
      </w:r>
    </w:p>
    <w:p w14:paraId="1BB6CCAB" w14:textId="77777777"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Extratos bancários de 31/12/2006 e conciliação da conta corrente referente à movimentação dos recursos relativos ao Cartão Corporativo.</w:t>
      </w:r>
    </w:p>
    <w:p w14:paraId="1BB6CCAC" w14:textId="4263B488" w:rsidR="00FA0CE2" w:rsidRPr="00542D72" w:rsidRDefault="00FA0CE2" w:rsidP="0015080C">
      <w:pPr>
        <w:numPr>
          <w:ilvl w:val="0"/>
          <w:numId w:val="3"/>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 xml:space="preserve">Demonstração das Variações Patrimoniais – Anexo 15 da Lei nº 4.320/64 (SIA 865), sendo que nas contas com títulos genéricos como: Diversas, Outras, etc., o órgão deverá discriminar a composição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 xml:space="preserve"> ou anexar documentos que comprovem os registros.</w:t>
      </w:r>
    </w:p>
    <w:p w14:paraId="1BB6CCAD"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lastRenderedPageBreak/>
        <w:t xml:space="preserve">Relação das obras em andamento, contendo percentual de execução, previsão de conclusão ou justificativas, quando for o caso, do atraso ou paralisação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w:t>
      </w:r>
    </w:p>
    <w:p w14:paraId="1BB6CCAE"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dos Bens Adquiridos (destacando os bens incorporados e a incorporar) e Alienados ou Baixados no exercício.</w:t>
      </w:r>
    </w:p>
    <w:p w14:paraId="1BB6CCAF" w14:textId="6D75E14A"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napToGrid w:val="0"/>
          <w:color w:val="000000"/>
          <w:sz w:val="24"/>
          <w:szCs w:val="24"/>
        </w:rPr>
      </w:pPr>
      <w:r w:rsidRPr="00542D72">
        <w:rPr>
          <w:rFonts w:ascii="Arial" w:hAnsi="Arial" w:cs="Arial"/>
          <w:strike/>
          <w:sz w:val="24"/>
          <w:szCs w:val="24"/>
        </w:rPr>
        <w:t xml:space="preserve">Balanço Patrimonial – Anexo 14 da Lei nº 4.320/64 (SIA 860), sendo que nas contas com títulos genéricos como: Diversas, Outras, etc., o órgão deverá discriminar a composição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 xml:space="preserve"> ou anexar documentos que comprovem os registros.</w:t>
      </w:r>
    </w:p>
    <w:p w14:paraId="1BB6CCB0" w14:textId="5A2C1A05"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Demonstração da Dívida Fundada – Anexo 16 da Lei nº 4.320/64 (SIA 870, 871, 872 e 873).</w:t>
      </w:r>
    </w:p>
    <w:p w14:paraId="1BB6CCB1" w14:textId="5AB1E6AC"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Demonstração da Dívida Flutuante – Anexo 17 da Lei nº 4.320/64 (SIA 875).</w:t>
      </w:r>
    </w:p>
    <w:p w14:paraId="1BB6CCB2"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de Restos a Pagar (SIA 220).</w:t>
      </w:r>
    </w:p>
    <w:p w14:paraId="1BB6CCB3" w14:textId="77777777" w:rsidR="00FA0CE2" w:rsidRPr="00542D72" w:rsidRDefault="00FA0CE2" w:rsidP="0015080C">
      <w:pPr>
        <w:numPr>
          <w:ilvl w:val="0"/>
          <w:numId w:val="3"/>
        </w:numPr>
        <w:tabs>
          <w:tab w:val="left" w:pos="1843"/>
          <w:tab w:val="left" w:pos="1985"/>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da Movimentação do Almoxarifado no exercício.</w:t>
      </w:r>
    </w:p>
    <w:p w14:paraId="1BB6CCB4"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Balancete do mês de Dezembro do exercício, sem encerramento (SIA 215).</w:t>
      </w:r>
    </w:p>
    <w:p w14:paraId="1BB6CCB5"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do Pessoal Admitido no Exercício, evidenciando o número do protocolo no Tribunal de Contas da documentação enviada para registro da admissão, conforme Anexo nº 1, ou em caso de ausência de contratação preencher Declaração conforme Anexo nº 2.</w:t>
      </w:r>
    </w:p>
    <w:p w14:paraId="1BB6CCB6" w14:textId="77777777" w:rsidR="00FA0CE2" w:rsidRPr="00542D72" w:rsidRDefault="00FA0CE2" w:rsidP="0015080C">
      <w:pPr>
        <w:pStyle w:val="PargrafodaLista"/>
        <w:numPr>
          <w:ilvl w:val="0"/>
          <w:numId w:val="7"/>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A Secretaria de Estado da Administração e Previdência – SEAP deverá informar todos os processos protocolados neste Tribunal para registro de pessoal, ainda que os admitidos não tenham sido lotados na SEAP, indicando neste caso o órgão/entidade para o qual o processo seletivo foi realizado.</w:t>
      </w:r>
    </w:p>
    <w:p w14:paraId="1BB6CCB7" w14:textId="77777777" w:rsidR="00FA0CE2" w:rsidRPr="00542D72" w:rsidRDefault="00FA0CE2" w:rsidP="0015080C">
      <w:pPr>
        <w:pStyle w:val="PargrafodaLista"/>
        <w:numPr>
          <w:ilvl w:val="0"/>
          <w:numId w:val="7"/>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Os órgãos que receberam pessoal admitido através de processo seletivo realizado pela SEAP deverão preencher o Anexo nº 1, indicando esta situação na coluna “Nº DE PROTOCOLO-TC”.</w:t>
      </w:r>
    </w:p>
    <w:p w14:paraId="1BB6CCB8"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Caso o Órgão tenha recebido bens em doação, ou doado bens, elaborar relação contendo a descrição dos bens doados ou recebidos, o nome do Órgão Doador ou Donatário, e o valor monetário atribuído ao bem na contabilidade.</w:t>
      </w:r>
    </w:p>
    <w:p w14:paraId="1BB6CCB9" w14:textId="77777777" w:rsidR="00FA0CE2" w:rsidRPr="00542D72" w:rsidRDefault="00FA0CE2" w:rsidP="0015080C">
      <w:pPr>
        <w:numPr>
          <w:ilvl w:val="0"/>
          <w:numId w:val="3"/>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napToGrid w:val="0"/>
          <w:sz w:val="24"/>
          <w:szCs w:val="24"/>
        </w:rPr>
        <w:t xml:space="preserve">Certidão de </w:t>
      </w:r>
      <w:r w:rsidRPr="00542D72">
        <w:rPr>
          <w:rFonts w:ascii="Arial" w:hAnsi="Arial" w:cs="Arial"/>
          <w:strike/>
          <w:sz w:val="24"/>
          <w:szCs w:val="24"/>
        </w:rPr>
        <w:t>regularidade junto ao Conselho Regional de Contabilidade – CRC do profissional que assina os Demonstrativos.</w:t>
      </w:r>
    </w:p>
    <w:p w14:paraId="1BB6CCBA"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b/>
          <w:strike/>
          <w:sz w:val="24"/>
          <w:szCs w:val="24"/>
        </w:rPr>
        <w:t>Art. 5º</w:t>
      </w:r>
      <w:r w:rsidRPr="00542D72">
        <w:rPr>
          <w:rFonts w:ascii="Arial" w:hAnsi="Arial" w:cs="Arial"/>
          <w:strike/>
          <w:sz w:val="24"/>
          <w:szCs w:val="24"/>
        </w:rPr>
        <w:t xml:space="preserve"> A prestação de contas anual das Autarquias, Órgãos de Regime Especial, Fundações, Fundos Especiais, Ministério Público e dos Órgãos dos Poderes Legislativo e Judiciário do Estado do Paraná, conterá:</w:t>
      </w:r>
    </w:p>
    <w:p w14:paraId="1BB6CCBB" w14:textId="3A5087A5" w:rsidR="00FA0CE2" w:rsidRPr="00542D72" w:rsidRDefault="00FA0CE2" w:rsidP="0015080C">
      <w:pPr>
        <w:numPr>
          <w:ilvl w:val="0"/>
          <w:numId w:val="4"/>
        </w:numPr>
        <w:tabs>
          <w:tab w:val="left" w:pos="1560"/>
        </w:tabs>
        <w:spacing w:before="160" w:after="0" w:line="240" w:lineRule="auto"/>
        <w:ind w:left="0" w:firstLine="1134"/>
        <w:jc w:val="both"/>
        <w:rPr>
          <w:rFonts w:ascii="Arial" w:hAnsi="Arial" w:cs="Arial"/>
          <w:strike/>
          <w:snapToGrid w:val="0"/>
          <w:color w:val="000000"/>
          <w:sz w:val="24"/>
          <w:szCs w:val="24"/>
        </w:rPr>
      </w:pPr>
      <w:r w:rsidRPr="00542D72">
        <w:rPr>
          <w:rFonts w:ascii="Arial" w:hAnsi="Arial" w:cs="Arial"/>
          <w:strike/>
          <w:sz w:val="24"/>
          <w:szCs w:val="24"/>
        </w:rPr>
        <w:t>Ofício de encaminhamento ao Presidente do Tribunal de Contas, assinado pela autoridade competente devidamente qualificada, conforme dispõe o Provimento nº 47/02, deste Tribunal, em seu art. 9º, §§ 2º e 3º.</w:t>
      </w:r>
    </w:p>
    <w:p w14:paraId="1BB6CCBC" w14:textId="77777777" w:rsidR="00FA0CE2" w:rsidRPr="00542D72" w:rsidRDefault="00FA0CE2" w:rsidP="0015080C">
      <w:pPr>
        <w:numPr>
          <w:ilvl w:val="0"/>
          <w:numId w:val="4"/>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Índice dos documentos componentes da Prestação de Contas.</w:t>
      </w:r>
    </w:p>
    <w:p w14:paraId="1BB6CCBD" w14:textId="77777777" w:rsidR="00FA0CE2" w:rsidRPr="00542D72" w:rsidRDefault="00FA0CE2" w:rsidP="0015080C">
      <w:pPr>
        <w:numPr>
          <w:ilvl w:val="0"/>
          <w:numId w:val="4"/>
        </w:numPr>
        <w:tabs>
          <w:tab w:val="left" w:pos="1560"/>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lastRenderedPageBreak/>
        <w:t>Relatório circunstanciado das atividades do órgão, entidade ou fundo no decorrer do exercício, assinado pelo respectivo titular, evidenciando:</w:t>
      </w:r>
    </w:p>
    <w:p w14:paraId="1BB6CCBE" w14:textId="77777777" w:rsidR="00FA0CE2" w:rsidRPr="00542D72" w:rsidRDefault="00FA0CE2" w:rsidP="0015080C">
      <w:pPr>
        <w:pStyle w:val="m-3"/>
        <w:numPr>
          <w:ilvl w:val="0"/>
          <w:numId w:val="8"/>
        </w:numPr>
        <w:tabs>
          <w:tab w:val="clear" w:pos="360"/>
          <w:tab w:val="left" w:pos="708"/>
        </w:tabs>
        <w:spacing w:before="160" w:after="0" w:line="240" w:lineRule="auto"/>
        <w:ind w:left="0" w:firstLine="1134"/>
        <w:rPr>
          <w:rFonts w:ascii="Arial" w:hAnsi="Arial" w:cs="Arial"/>
          <w:strike/>
          <w:sz w:val="24"/>
          <w:szCs w:val="24"/>
        </w:rPr>
      </w:pPr>
      <w:r w:rsidRPr="00542D72">
        <w:rPr>
          <w:rFonts w:ascii="Arial" w:hAnsi="Arial" w:cs="Arial"/>
          <w:strike/>
          <w:sz w:val="24"/>
          <w:szCs w:val="24"/>
        </w:rPr>
        <w:t>relação dos ordenadores de despesas e respectivos substitutos, atos de nomeação, designação ou exoneração, bem como a indicação dos períodos de efetiva gestão;</w:t>
      </w:r>
    </w:p>
    <w:p w14:paraId="1BB6CCBF" w14:textId="77777777" w:rsidR="00FA0CE2" w:rsidRPr="00542D72" w:rsidRDefault="00FA0CE2" w:rsidP="0015080C">
      <w:pPr>
        <w:pStyle w:val="m-3"/>
        <w:numPr>
          <w:ilvl w:val="0"/>
          <w:numId w:val="8"/>
        </w:numPr>
        <w:tabs>
          <w:tab w:val="clear" w:pos="360"/>
          <w:tab w:val="left" w:pos="708"/>
        </w:tabs>
        <w:spacing w:before="160" w:after="0" w:line="240" w:lineRule="auto"/>
        <w:ind w:left="0" w:firstLine="1134"/>
        <w:rPr>
          <w:rFonts w:ascii="Arial" w:hAnsi="Arial" w:cs="Arial"/>
          <w:strike/>
          <w:sz w:val="24"/>
          <w:szCs w:val="24"/>
        </w:rPr>
      </w:pPr>
      <w:r w:rsidRPr="00542D72">
        <w:rPr>
          <w:rFonts w:ascii="Arial" w:hAnsi="Arial" w:cs="Arial"/>
          <w:strike/>
          <w:sz w:val="24"/>
          <w:szCs w:val="24"/>
        </w:rPr>
        <w:t>objetivos do órgão, entidade ou fundo;</w:t>
      </w:r>
    </w:p>
    <w:p w14:paraId="1BB6CCC0" w14:textId="77777777" w:rsidR="00FA0CE2" w:rsidRPr="00542D72" w:rsidRDefault="00FA0CE2" w:rsidP="0015080C">
      <w:pPr>
        <w:pStyle w:val="m-3"/>
        <w:numPr>
          <w:ilvl w:val="0"/>
          <w:numId w:val="8"/>
        </w:numPr>
        <w:tabs>
          <w:tab w:val="clear" w:pos="360"/>
          <w:tab w:val="left" w:pos="708"/>
        </w:tabs>
        <w:spacing w:before="160" w:after="0" w:line="240" w:lineRule="auto"/>
        <w:ind w:left="0" w:firstLine="1134"/>
        <w:rPr>
          <w:rFonts w:ascii="Arial" w:hAnsi="Arial" w:cs="Arial"/>
          <w:strike/>
          <w:sz w:val="24"/>
          <w:szCs w:val="24"/>
        </w:rPr>
      </w:pPr>
      <w:r w:rsidRPr="00542D72">
        <w:rPr>
          <w:rFonts w:ascii="Arial" w:hAnsi="Arial" w:cs="Arial"/>
          <w:strike/>
          <w:sz w:val="24"/>
          <w:szCs w:val="24"/>
        </w:rPr>
        <w:t>a execução dos projetos/atividades, com esclarecimentos se for o caso, sobre as causas que inviabilizaram o pleno cumprimento, bem como comparativo das metas previstas e realizadas;</w:t>
      </w:r>
    </w:p>
    <w:p w14:paraId="1BB6CCC1" w14:textId="77777777" w:rsidR="00FA0CE2" w:rsidRPr="00542D72" w:rsidRDefault="00FA0CE2" w:rsidP="0015080C">
      <w:pPr>
        <w:pStyle w:val="m-3"/>
        <w:numPr>
          <w:ilvl w:val="0"/>
          <w:numId w:val="8"/>
        </w:numPr>
        <w:tabs>
          <w:tab w:val="clear" w:pos="360"/>
          <w:tab w:val="left" w:pos="708"/>
        </w:tabs>
        <w:spacing w:before="160" w:after="0" w:line="240" w:lineRule="auto"/>
        <w:ind w:left="0" w:firstLine="1134"/>
        <w:rPr>
          <w:rFonts w:ascii="Arial" w:hAnsi="Arial" w:cs="Arial"/>
          <w:strike/>
          <w:sz w:val="24"/>
          <w:szCs w:val="24"/>
        </w:rPr>
      </w:pPr>
      <w:r w:rsidRPr="00542D72">
        <w:rPr>
          <w:rFonts w:ascii="Arial" w:hAnsi="Arial" w:cs="Arial"/>
          <w:strike/>
          <w:sz w:val="24"/>
          <w:szCs w:val="24"/>
        </w:rPr>
        <w:t>manifestação quanto ao atendimento (e justificativas pelo não atendimento) às recomendações e/ou determinações contidas nos Acórdãos que julgaram as contas dos exercícios anteriores;</w:t>
      </w:r>
    </w:p>
    <w:p w14:paraId="1BB6CCC2" w14:textId="77777777" w:rsidR="00FA0CE2" w:rsidRPr="00542D72" w:rsidRDefault="00FA0CE2" w:rsidP="0015080C">
      <w:pPr>
        <w:pStyle w:val="m-3"/>
        <w:numPr>
          <w:ilvl w:val="0"/>
          <w:numId w:val="8"/>
        </w:numPr>
        <w:tabs>
          <w:tab w:val="clear" w:pos="360"/>
          <w:tab w:val="left" w:pos="708"/>
        </w:tabs>
        <w:spacing w:before="160" w:after="0" w:line="240" w:lineRule="auto"/>
        <w:ind w:left="0" w:firstLine="1134"/>
        <w:rPr>
          <w:rFonts w:ascii="Arial" w:hAnsi="Arial" w:cs="Arial"/>
          <w:strike/>
          <w:sz w:val="24"/>
          <w:szCs w:val="24"/>
        </w:rPr>
      </w:pPr>
      <w:r w:rsidRPr="00542D72">
        <w:rPr>
          <w:rFonts w:ascii="Arial" w:hAnsi="Arial" w:cs="Arial"/>
          <w:strike/>
          <w:sz w:val="24"/>
          <w:szCs w:val="24"/>
        </w:rPr>
        <w:t>outras considerações.</w:t>
      </w:r>
    </w:p>
    <w:p w14:paraId="1BB6CCC3" w14:textId="0206AAA4"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da Receita e Despesa segundo as Categorias Econômicas – Anexo 1 da Lei nº 4.320/64</w:t>
      </w:r>
      <w:r w:rsidRPr="00542D72">
        <w:rPr>
          <w:rFonts w:ascii="Arial" w:hAnsi="Arial" w:cs="Arial"/>
          <w:strike/>
          <w:color w:val="00B0F0"/>
          <w:sz w:val="24"/>
          <w:szCs w:val="24"/>
        </w:rPr>
        <w:t xml:space="preserve"> </w:t>
      </w:r>
      <w:r w:rsidRPr="00542D72">
        <w:rPr>
          <w:rFonts w:ascii="Arial" w:hAnsi="Arial" w:cs="Arial"/>
          <w:strike/>
          <w:sz w:val="24"/>
          <w:szCs w:val="24"/>
        </w:rPr>
        <w:t>(SIA 805).</w:t>
      </w:r>
    </w:p>
    <w:p w14:paraId="1BB6CCC4" w14:textId="5A625E6E"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Receita Segundo as Categorias Econômicas – Anexo 2 da Lei nº 4.320/64 (SIA 810).</w:t>
      </w:r>
    </w:p>
    <w:p w14:paraId="1BB6CCC5" w14:textId="092FCC58"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da Despesa Segundo a Natureza – Anexo 2 da Lei nº 4.320/64 (SIA 815, 816 e 817).</w:t>
      </w:r>
    </w:p>
    <w:p w14:paraId="1BB6CCC6" w14:textId="0162D2AF"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Comparativo da Receita Orçada com a Arrecadada – Anexo 10 da Lei nº 4.320/64</w:t>
      </w:r>
      <w:r w:rsidRPr="00542D72">
        <w:rPr>
          <w:rFonts w:ascii="Arial" w:hAnsi="Arial" w:cs="Arial"/>
          <w:strike/>
          <w:color w:val="00B0F0"/>
          <w:sz w:val="24"/>
          <w:szCs w:val="24"/>
        </w:rPr>
        <w:t xml:space="preserve"> </w:t>
      </w:r>
      <w:r w:rsidRPr="00542D72">
        <w:rPr>
          <w:rFonts w:ascii="Arial" w:hAnsi="Arial" w:cs="Arial"/>
          <w:strike/>
          <w:sz w:val="24"/>
          <w:szCs w:val="24"/>
        </w:rPr>
        <w:t>(SIA 840).</w:t>
      </w:r>
    </w:p>
    <w:p w14:paraId="1BB6CCC7" w14:textId="7663FD87"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Comparativo da Despesa Autorizada com a Realizada – Anexo 11 da Lei nº 4.320/64 (SIA 845).</w:t>
      </w:r>
    </w:p>
    <w:p w14:paraId="1BB6CCC8" w14:textId="6A4743E5"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Comparativo da Despesa Autorizada com a Realizada, segundo os Desdobramentos por Espécie – Anexo 11-A da Lei nº 4.320/64 (SIA 846).</w:t>
      </w:r>
    </w:p>
    <w:p w14:paraId="1BB6CCC9" w14:textId="72E575A5"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 xml:space="preserve">Balanço Orçamentário – Anexo 12 da Lei nº 4.320/64 (SIA 850), sendo que as contas com títulos genéricos como: Diversas, Outras, etc., o órgão, entidade ou fundo deverá discriminar a composição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 ou anexar documentos que comprovem os registros.</w:t>
      </w:r>
    </w:p>
    <w:p w14:paraId="1BB6CCCA" w14:textId="0B69CBA1"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Balanço Financeiro – Anexo 13 da Lei nº 4.320/64 (SIA 855).</w:t>
      </w:r>
    </w:p>
    <w:p w14:paraId="1BB6CCCB" w14:textId="77777777" w:rsidR="00FA0CE2" w:rsidRPr="00542D72" w:rsidRDefault="00FA0CE2" w:rsidP="0015080C">
      <w:pPr>
        <w:numPr>
          <w:ilvl w:val="0"/>
          <w:numId w:val="4"/>
        </w:numPr>
        <w:tabs>
          <w:tab w:val="left" w:pos="1701"/>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Termo de Conferência de Caixa em 31/12/06.</w:t>
      </w:r>
    </w:p>
    <w:p w14:paraId="1BB6CCCC"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Resumo das Conciliações Bancárias, conforme Anexo nº 3, com cópias dos extratos e conciliações bancárias das contas ativas e inativas (com saldo zerado) do mês de dezembro do exercício em análise, e dos meses subsequentes caso seja necessário evidenciar os ajustes demonstrados nas conciliações.</w:t>
      </w:r>
    </w:p>
    <w:p w14:paraId="1BB6CCCD"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dos rendimentos de aplicações financeiras, evidenciando mensalmente os resultados auferidos no período, conforme Anexo nº 04, com os comprovantes bancários correspondentes.</w:t>
      </w:r>
    </w:p>
    <w:p w14:paraId="1BB6CCCE" w14:textId="76DEEF5D"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lastRenderedPageBreak/>
        <w:t xml:space="preserve">Demonstração das Variações Patrimoniais – Anexo 15 da Lei nº 4.320/64 (SIA 865), sendo que nas contas com títulos genéricos como: Diversas, Outras, etc., o órgão, entidade ou fundo deverá discriminar a composição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 xml:space="preserve"> ou anexar documentos que comprovem os registros.</w:t>
      </w:r>
    </w:p>
    <w:p w14:paraId="1BB6CCCF"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dos Bens Adquiridos (destacando os bens incorporados e a incorporar) e Alienados ou Baixados no exercício.</w:t>
      </w:r>
    </w:p>
    <w:p w14:paraId="1BB6CCD0" w14:textId="2C6E7E36"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 xml:space="preserve">Balanço Patrimonial – Anexo 14 da Lei nº 4.320/64 (SIA 860), sendo que nas contas com títulos genéricos como: Diversas, Outras, etc., o órgão, entidade ou fundo deverá discriminar a composição </w:t>
      </w:r>
      <w:proofErr w:type="gramStart"/>
      <w:r w:rsidRPr="00542D72">
        <w:rPr>
          <w:rFonts w:ascii="Arial" w:hAnsi="Arial" w:cs="Arial"/>
          <w:strike/>
          <w:sz w:val="24"/>
          <w:szCs w:val="24"/>
        </w:rPr>
        <w:t>das mesmas</w:t>
      </w:r>
      <w:proofErr w:type="gramEnd"/>
      <w:r w:rsidRPr="00542D72">
        <w:rPr>
          <w:rFonts w:ascii="Arial" w:hAnsi="Arial" w:cs="Arial"/>
          <w:strike/>
          <w:sz w:val="24"/>
          <w:szCs w:val="24"/>
        </w:rPr>
        <w:t xml:space="preserve"> ou anexar documentos que comprovem os registros.</w:t>
      </w:r>
    </w:p>
    <w:p w14:paraId="1BB6CCD1" w14:textId="5A03A272"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Demonstração da Dívida Fundada – Anexo 16 da Lei nº 4.320/64 (SIA 870, 871, 872 e 873).</w:t>
      </w:r>
    </w:p>
    <w:p w14:paraId="1BB6CCD2" w14:textId="592E43BB"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Demonstração da Dívida Flutuante – Anexo 17 da Lei nº 4.320/64 (SIA 875).</w:t>
      </w:r>
    </w:p>
    <w:p w14:paraId="1BB6CCD3"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de Restos a Pagar (SIA 220).</w:t>
      </w:r>
    </w:p>
    <w:p w14:paraId="1BB6CCD4"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da Movimentação do Almoxarifado no exercício.</w:t>
      </w:r>
    </w:p>
    <w:p w14:paraId="1BB6CCD5"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Balancete do mês de Dezembro do exercício, sem encerramento (SIA 215).</w:t>
      </w:r>
    </w:p>
    <w:p w14:paraId="1BB6CCD6" w14:textId="77777777" w:rsidR="00FA0CE2" w:rsidRPr="00542D72" w:rsidRDefault="00FA0CE2" w:rsidP="0015080C">
      <w:pPr>
        <w:numPr>
          <w:ilvl w:val="0"/>
          <w:numId w:val="4"/>
        </w:numPr>
        <w:tabs>
          <w:tab w:val="left" w:pos="1843"/>
          <w:tab w:val="left" w:pos="1985"/>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do Pessoal Admitido no Exercício, evidenciando o número do protocolo no Tribunal de Contas da documentação enviada para registro da admissão, conforme Anexo nº 01, ou em caso de ausência de contratação preencher Declaração conforme Anexo nº 02. Os órgãos ou entidades que receberam pessoal admitido através de processo seletivo realizado pela SEAP deverão preencher o Anexo nº 1, indicando esta situação na coluna “Nº DE PROTOCOLO-TC”.</w:t>
      </w:r>
    </w:p>
    <w:p w14:paraId="1BB6CCD7" w14:textId="77777777" w:rsidR="00FA0CE2" w:rsidRPr="00542D72" w:rsidRDefault="00FA0CE2" w:rsidP="0015080C">
      <w:pPr>
        <w:numPr>
          <w:ilvl w:val="0"/>
          <w:numId w:val="4"/>
        </w:numPr>
        <w:tabs>
          <w:tab w:val="left" w:pos="1843"/>
          <w:tab w:val="left" w:pos="1985"/>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Caso o órgão, entidade ou fundo tenha recebido bens em doação, ou doado bens, elaborar relação contendo a descrição dos bens doados ou recebidos, o nome do Órgão Doador ou Donatário, e o valor monetário atribuído ao bem na contabilidade.</w:t>
      </w:r>
    </w:p>
    <w:p w14:paraId="1BB6CCD8" w14:textId="77777777" w:rsidR="00FA0CE2" w:rsidRPr="00542D72" w:rsidRDefault="00FA0CE2" w:rsidP="0015080C">
      <w:pPr>
        <w:numPr>
          <w:ilvl w:val="0"/>
          <w:numId w:val="4"/>
        </w:numPr>
        <w:tabs>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Certidão de regularidade junto ao Conselho Regional de Contabilidade – CRC do profissional que assina os Demonstrativos.</w:t>
      </w:r>
    </w:p>
    <w:p w14:paraId="1BB6CCD9"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strike/>
          <w:sz w:val="24"/>
          <w:szCs w:val="24"/>
        </w:rPr>
        <w:t>Parágrafo único. Os Fundos Especiais deverão encaminhar ainda: Fotocópia do Plano Anual de Aplicação dos Recursos ou equivalente – Inicial e Complementares e/ou Reformulações; e Parecer do Conselho Diretor, Conselho Estadual ou equivalente que apreciou as contas do exercício de 2006 do Fundo.</w:t>
      </w:r>
    </w:p>
    <w:p w14:paraId="1BB6CCDA"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b/>
          <w:strike/>
          <w:sz w:val="24"/>
          <w:szCs w:val="24"/>
        </w:rPr>
        <w:t>Art. 6º</w:t>
      </w:r>
      <w:r w:rsidRPr="00542D72">
        <w:rPr>
          <w:rFonts w:ascii="Arial" w:hAnsi="Arial" w:cs="Arial"/>
          <w:strike/>
          <w:sz w:val="24"/>
          <w:szCs w:val="24"/>
        </w:rPr>
        <w:t xml:space="preserve"> A prestação de contas anual das Empresas Públicas, Sociedades de Economia Mista e Serviços Sociais Autônomos do Estado do Paraná conterá:</w:t>
      </w:r>
    </w:p>
    <w:p w14:paraId="1BB6CCDB" w14:textId="20A2714F"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napToGrid w:val="0"/>
          <w:color w:val="000000"/>
          <w:sz w:val="24"/>
          <w:szCs w:val="24"/>
        </w:rPr>
      </w:pPr>
      <w:r w:rsidRPr="00542D72">
        <w:rPr>
          <w:rFonts w:ascii="Arial" w:hAnsi="Arial" w:cs="Arial"/>
          <w:strike/>
          <w:sz w:val="24"/>
          <w:szCs w:val="24"/>
        </w:rPr>
        <w:t xml:space="preserve">Ofício de encaminhamento ao Presidente do Tribunal de Contas, assinado pela autoridade competente devidamente qualificada, conforme dispõe o </w:t>
      </w:r>
      <w:hyperlink r:id="rId10" w:history="1">
        <w:r w:rsidRPr="00542D72">
          <w:rPr>
            <w:rStyle w:val="Hyperlink"/>
            <w:rFonts w:ascii="Arial" w:hAnsi="Arial" w:cs="Arial"/>
            <w:strike/>
            <w:sz w:val="24"/>
            <w:szCs w:val="24"/>
          </w:rPr>
          <w:t>Provimento nº 47/02-TC</w:t>
        </w:r>
      </w:hyperlink>
      <w:r w:rsidRPr="00542D72">
        <w:rPr>
          <w:rFonts w:ascii="Arial" w:hAnsi="Arial" w:cs="Arial"/>
          <w:strike/>
          <w:sz w:val="24"/>
          <w:szCs w:val="24"/>
        </w:rPr>
        <w:t>, deste Tribunal, em seu art. 9º, §§ 2º e 3º.</w:t>
      </w:r>
    </w:p>
    <w:p w14:paraId="1BB6CCDC"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napToGrid w:val="0"/>
          <w:color w:val="000000"/>
          <w:sz w:val="24"/>
          <w:szCs w:val="24"/>
        </w:rPr>
        <w:t xml:space="preserve">Índice </w:t>
      </w:r>
      <w:r w:rsidRPr="00542D72">
        <w:rPr>
          <w:rFonts w:ascii="Arial" w:hAnsi="Arial" w:cs="Arial"/>
          <w:strike/>
          <w:sz w:val="24"/>
          <w:szCs w:val="24"/>
        </w:rPr>
        <w:t>dos documentos componentes da Prestação de Contas.</w:t>
      </w:r>
    </w:p>
    <w:p w14:paraId="1BB6CCDD"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Balanço Patrimonial.</w:t>
      </w:r>
    </w:p>
    <w:p w14:paraId="1BB6CCDE"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lastRenderedPageBreak/>
        <w:t>Demonstração do Resultado do Exercício – DRE.</w:t>
      </w:r>
    </w:p>
    <w:p w14:paraId="1BB6CCDF"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Demonstração das Origens e Aplicação de Recursos – DOAR.</w:t>
      </w:r>
    </w:p>
    <w:p w14:paraId="1BB6CCE0"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Demonstração das Mutações do Patrimônio Líquido – DMPL.</w:t>
      </w:r>
    </w:p>
    <w:p w14:paraId="1BB6CCE1"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do Valor Adicionado – DVA.</w:t>
      </w:r>
    </w:p>
    <w:p w14:paraId="1BB6CCE2"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Relatório da Administração.</w:t>
      </w:r>
    </w:p>
    <w:p w14:paraId="1BB6CCE3"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Notas Explicativas às Demonstrações Contábeis.</w:t>
      </w:r>
    </w:p>
    <w:p w14:paraId="1BB6CCE4"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Manifestação quanto ao atendimento (e justificativas pelo não atendimento) às recomendações e/ou determinações contidas nos Acórdãos que julgaram as contas dos exercícios anteriores.</w:t>
      </w:r>
    </w:p>
    <w:p w14:paraId="1BB6CCE5"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Publicação das Demonstrações Contábeis no Diário Oficial do Estado e em outro jornal de circulação.</w:t>
      </w:r>
    </w:p>
    <w:p w14:paraId="1BB6CCE6"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Parecer dos Auditores Independentes, quando a legislação exigir.</w:t>
      </w:r>
    </w:p>
    <w:p w14:paraId="1BB6CCE7"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Parecer Técnico Atuarial, no caso do Serviço Social Autônomo PARANAPREVIDÊNCIA.</w:t>
      </w:r>
    </w:p>
    <w:p w14:paraId="1BB6CCE8"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Parecer do Conselho Fiscal.</w:t>
      </w:r>
    </w:p>
    <w:p w14:paraId="1BB6CCE9"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Demonstrativo com a Composição do Capital Social, destacando acionistas e quantidade de ações, discriminando-as por tipo (Ordinárias e Preferenciais).</w:t>
      </w:r>
    </w:p>
    <w:p w14:paraId="1BB6CCEA"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Balancete do Mês de Dezembro – sem encerramento das Contas de Resultado.</w:t>
      </w:r>
    </w:p>
    <w:p w14:paraId="1BB6CCEB"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Cópia do Plano de Contas atualizado.</w:t>
      </w:r>
    </w:p>
    <w:p w14:paraId="1BB6CCEC" w14:textId="77777777" w:rsidR="00FA0CE2" w:rsidRPr="00542D72" w:rsidRDefault="00FA0CE2" w:rsidP="0015080C">
      <w:pPr>
        <w:numPr>
          <w:ilvl w:val="0"/>
          <w:numId w:val="5"/>
        </w:numPr>
        <w:tabs>
          <w:tab w:val="left" w:pos="1276"/>
          <w:tab w:val="left" w:pos="1843"/>
          <w:tab w:val="left" w:pos="1985"/>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Termo de Conferência de Caixa em 31/12/06.</w:t>
      </w:r>
    </w:p>
    <w:p w14:paraId="1BB6CCED"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Cópia dos extratos e conciliações bancárias, conforme Anexo nº 03, das contas movimento e investimentos, ativas e inativas, do mês de dezembro do exercício em análise, e dos meses subsequentes caso seja necessário evidenciar os ajustes demonstrados nas conciliações.</w:t>
      </w:r>
    </w:p>
    <w:p w14:paraId="1BB6CCEE"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Relação do Pessoal Admitido no Exercício, evidenciando o número do protocolo no Tribunal de Contas da documentação enviada para registro da admissão, conforme Anexo nº 01, ou em caso de ausência de contratação preencher Declaração conforme Anexo nº 02.</w:t>
      </w:r>
    </w:p>
    <w:p w14:paraId="1BB6CCEF" w14:textId="77777777" w:rsidR="00FA0CE2" w:rsidRPr="00542D72" w:rsidRDefault="00FA0CE2" w:rsidP="0015080C">
      <w:pPr>
        <w:numPr>
          <w:ilvl w:val="0"/>
          <w:numId w:val="5"/>
        </w:numPr>
        <w:tabs>
          <w:tab w:val="left" w:pos="1276"/>
          <w:tab w:val="left" w:pos="1843"/>
        </w:tabs>
        <w:spacing w:before="160" w:after="0" w:line="240" w:lineRule="auto"/>
        <w:ind w:left="0" w:firstLine="1134"/>
        <w:jc w:val="both"/>
        <w:rPr>
          <w:rFonts w:ascii="Arial" w:hAnsi="Arial" w:cs="Arial"/>
          <w:strike/>
          <w:sz w:val="24"/>
          <w:szCs w:val="24"/>
        </w:rPr>
      </w:pPr>
      <w:r w:rsidRPr="00542D72">
        <w:rPr>
          <w:rFonts w:ascii="Arial" w:hAnsi="Arial" w:cs="Arial"/>
          <w:strike/>
          <w:sz w:val="24"/>
          <w:szCs w:val="24"/>
        </w:rPr>
        <w:t>Certidão de regularidade junto ao Conselho Regional de Contabilidade – CRC do profissional que assina os Demonstrativos.</w:t>
      </w:r>
    </w:p>
    <w:p w14:paraId="1BB6CCF0" w14:textId="77777777" w:rsidR="00FA0CE2" w:rsidRPr="00542D72" w:rsidRDefault="00FA0CE2" w:rsidP="0015080C">
      <w:pPr>
        <w:pStyle w:val="c-1"/>
        <w:tabs>
          <w:tab w:val="left" w:pos="1843"/>
        </w:tabs>
        <w:spacing w:before="160" w:after="0" w:line="240" w:lineRule="auto"/>
        <w:ind w:firstLine="1134"/>
        <w:rPr>
          <w:rFonts w:ascii="Arial" w:hAnsi="Arial" w:cs="Arial"/>
          <w:strike/>
          <w:sz w:val="24"/>
          <w:szCs w:val="24"/>
        </w:rPr>
      </w:pPr>
      <w:r w:rsidRPr="00542D72">
        <w:rPr>
          <w:rFonts w:ascii="Arial" w:hAnsi="Arial" w:cs="Arial"/>
          <w:strike/>
          <w:sz w:val="24"/>
          <w:szCs w:val="24"/>
        </w:rPr>
        <w:t>Parágrafo único. Os Serviços Sociais Autônomos deverão encaminhar ainda: Plano Anual de Ação Estratégica; Relatório sobre a execução dos planos, programas, projetos, atividades, produtos e serviços; e Relatório de Avaliação de Desempenho do Contrato de Gestão.</w:t>
      </w:r>
    </w:p>
    <w:p w14:paraId="1BB6CCF1" w14:textId="68E8F02A" w:rsidR="00FA0CE2" w:rsidRPr="00542D72" w:rsidRDefault="00FA0CE2" w:rsidP="0015080C">
      <w:pPr>
        <w:tabs>
          <w:tab w:val="left" w:pos="1843"/>
        </w:tabs>
        <w:spacing w:before="160" w:after="0" w:line="240" w:lineRule="auto"/>
        <w:ind w:firstLine="1134"/>
        <w:jc w:val="both"/>
        <w:rPr>
          <w:rFonts w:ascii="Arial" w:hAnsi="Arial" w:cs="Arial"/>
          <w:strike/>
          <w:sz w:val="24"/>
          <w:szCs w:val="24"/>
        </w:rPr>
      </w:pPr>
      <w:r w:rsidRPr="00542D72">
        <w:rPr>
          <w:rFonts w:ascii="Arial" w:hAnsi="Arial" w:cs="Arial"/>
          <w:b/>
          <w:strike/>
          <w:sz w:val="24"/>
          <w:szCs w:val="24"/>
        </w:rPr>
        <w:t xml:space="preserve">Art. 7º </w:t>
      </w:r>
      <w:r w:rsidRPr="00542D72">
        <w:rPr>
          <w:rFonts w:ascii="Arial" w:hAnsi="Arial" w:cs="Arial"/>
          <w:strike/>
          <w:sz w:val="24"/>
          <w:szCs w:val="24"/>
        </w:rPr>
        <w:t xml:space="preserve">A Diretoria de Protocolo – DP do Tribunal de Contas não recepcionará Prestações de Contas sem ofício de encaminhamento e índice dos documentos componentes do processo, conforme disposto no art. 10 do </w:t>
      </w:r>
      <w:hyperlink r:id="rId11" w:history="1">
        <w:r w:rsidRPr="00542D72">
          <w:rPr>
            <w:rStyle w:val="Hyperlink"/>
            <w:rFonts w:ascii="Arial" w:hAnsi="Arial" w:cs="Arial"/>
            <w:strike/>
            <w:sz w:val="24"/>
            <w:szCs w:val="24"/>
          </w:rPr>
          <w:t>Provimento nº 47/02-TC</w:t>
        </w:r>
      </w:hyperlink>
      <w:r w:rsidRPr="00542D72">
        <w:rPr>
          <w:rFonts w:ascii="Arial" w:hAnsi="Arial" w:cs="Arial"/>
          <w:strike/>
          <w:sz w:val="24"/>
          <w:szCs w:val="24"/>
        </w:rPr>
        <w:t>.</w:t>
      </w:r>
    </w:p>
    <w:p w14:paraId="1BB6CCF2" w14:textId="37FF31F4" w:rsidR="00FA0CE2" w:rsidRPr="00542D72" w:rsidRDefault="00FA0CE2" w:rsidP="0015080C">
      <w:pPr>
        <w:tabs>
          <w:tab w:val="left" w:pos="1843"/>
        </w:tabs>
        <w:spacing w:before="160" w:after="0" w:line="240" w:lineRule="auto"/>
        <w:ind w:firstLine="1134"/>
        <w:jc w:val="both"/>
        <w:rPr>
          <w:rFonts w:ascii="Arial" w:hAnsi="Arial" w:cs="Arial"/>
          <w:strike/>
          <w:sz w:val="24"/>
          <w:szCs w:val="24"/>
        </w:rPr>
      </w:pPr>
      <w:r w:rsidRPr="00542D72">
        <w:rPr>
          <w:rFonts w:ascii="Arial" w:hAnsi="Arial" w:cs="Arial"/>
          <w:b/>
          <w:strike/>
          <w:sz w:val="24"/>
          <w:szCs w:val="24"/>
        </w:rPr>
        <w:lastRenderedPageBreak/>
        <w:t xml:space="preserve">Art. 8º </w:t>
      </w:r>
      <w:r w:rsidRPr="00542D72">
        <w:rPr>
          <w:rFonts w:ascii="Arial" w:hAnsi="Arial" w:cs="Arial"/>
          <w:strike/>
          <w:sz w:val="24"/>
          <w:szCs w:val="24"/>
        </w:rPr>
        <w:t xml:space="preserve">A ausência de qualquer dos elementos exigidos nos termos desta Instrução Normativa constitui fator determinante de irregularidade formal da prestação de contas, sujeita à aplicação de multa prevista no art. 87 da </w:t>
      </w:r>
      <w:r w:rsidRPr="00916A27">
        <w:rPr>
          <w:rFonts w:ascii="Arial" w:hAnsi="Arial" w:cs="Arial"/>
          <w:strike/>
          <w:sz w:val="24"/>
          <w:szCs w:val="24"/>
        </w:rPr>
        <w:t>Lei Complementar nº 113/2005</w:t>
      </w:r>
      <w:r w:rsidRPr="00542D72">
        <w:rPr>
          <w:rFonts w:ascii="Arial" w:hAnsi="Arial" w:cs="Arial"/>
          <w:strike/>
          <w:sz w:val="24"/>
          <w:szCs w:val="24"/>
        </w:rPr>
        <w:t xml:space="preserve">, salvo quando expressamente declarada, pelo responsável, a sua inexistência ou inaplicabilidade. </w:t>
      </w:r>
    </w:p>
    <w:p w14:paraId="1BB6CCF3" w14:textId="77777777" w:rsidR="00FA0CE2" w:rsidRPr="00542D72" w:rsidRDefault="00FA0CE2" w:rsidP="0015080C">
      <w:pPr>
        <w:tabs>
          <w:tab w:val="left" w:pos="1843"/>
        </w:tabs>
        <w:spacing w:before="160" w:after="0" w:line="240" w:lineRule="auto"/>
        <w:ind w:firstLine="1134"/>
        <w:jc w:val="both"/>
        <w:rPr>
          <w:rFonts w:ascii="Arial" w:hAnsi="Arial" w:cs="Arial"/>
          <w:strike/>
          <w:sz w:val="24"/>
          <w:szCs w:val="24"/>
        </w:rPr>
      </w:pPr>
      <w:r w:rsidRPr="00542D72">
        <w:rPr>
          <w:rFonts w:ascii="Arial" w:hAnsi="Arial" w:cs="Arial"/>
          <w:b/>
          <w:strike/>
          <w:sz w:val="24"/>
          <w:szCs w:val="24"/>
        </w:rPr>
        <w:t xml:space="preserve">Art. 9º </w:t>
      </w:r>
      <w:r w:rsidRPr="00542D72">
        <w:rPr>
          <w:rFonts w:ascii="Arial" w:hAnsi="Arial" w:cs="Arial"/>
          <w:strike/>
          <w:sz w:val="24"/>
          <w:szCs w:val="24"/>
        </w:rPr>
        <w:t xml:space="preserve">As orientações técnicas sobre o contido nesta Instrução Normativa poderão ser obtidas junto à Diretoria de Contas Estaduais nos telefones (41)3350-1740 e (41)3350-1741, ou através do correio eletrônico </w:t>
      </w:r>
      <w:hyperlink r:id="rId12" w:history="1">
        <w:r w:rsidRPr="00542D72">
          <w:rPr>
            <w:rStyle w:val="Hyperlink"/>
            <w:rFonts w:ascii="Arial" w:hAnsi="Arial" w:cs="Arial"/>
            <w:strike/>
            <w:sz w:val="24"/>
            <w:szCs w:val="24"/>
          </w:rPr>
          <w:t>tcprdce@tce.pr.gov.br</w:t>
        </w:r>
      </w:hyperlink>
      <w:r w:rsidRPr="00542D72">
        <w:rPr>
          <w:rFonts w:ascii="Arial" w:hAnsi="Arial" w:cs="Arial"/>
          <w:strike/>
          <w:sz w:val="24"/>
          <w:szCs w:val="24"/>
        </w:rPr>
        <w:t>.</w:t>
      </w:r>
    </w:p>
    <w:p w14:paraId="1BB6CCF4" w14:textId="1C0285BA" w:rsidR="00FA0CE2" w:rsidRPr="00542D72" w:rsidRDefault="00FA0CE2" w:rsidP="0015080C">
      <w:pPr>
        <w:tabs>
          <w:tab w:val="left" w:pos="1843"/>
        </w:tabs>
        <w:spacing w:before="160" w:after="0" w:line="240" w:lineRule="auto"/>
        <w:ind w:firstLine="1134"/>
        <w:jc w:val="both"/>
        <w:rPr>
          <w:rFonts w:ascii="Arial" w:hAnsi="Arial" w:cs="Arial"/>
          <w:strike/>
          <w:sz w:val="24"/>
          <w:szCs w:val="24"/>
        </w:rPr>
      </w:pPr>
      <w:r w:rsidRPr="00542D72">
        <w:rPr>
          <w:rFonts w:ascii="Arial" w:hAnsi="Arial" w:cs="Arial"/>
          <w:b/>
          <w:strike/>
          <w:sz w:val="24"/>
          <w:szCs w:val="24"/>
        </w:rPr>
        <w:t xml:space="preserve">Art. 10. </w:t>
      </w:r>
      <w:r w:rsidRPr="00542D72">
        <w:rPr>
          <w:rFonts w:ascii="Arial" w:hAnsi="Arial" w:cs="Arial"/>
          <w:strike/>
          <w:sz w:val="24"/>
          <w:szCs w:val="24"/>
        </w:rPr>
        <w:t xml:space="preserve">Fica revogada a </w:t>
      </w:r>
      <w:hyperlink r:id="rId13" w:history="1">
        <w:r w:rsidRPr="001C350C">
          <w:rPr>
            <w:rStyle w:val="Hyperlink"/>
            <w:rFonts w:ascii="Arial" w:hAnsi="Arial" w:cs="Arial"/>
            <w:strike/>
            <w:sz w:val="24"/>
            <w:szCs w:val="24"/>
          </w:rPr>
          <w:t>Instrução Técnica nº 49/2006-IGC</w:t>
        </w:r>
      </w:hyperlink>
      <w:r w:rsidRPr="00542D72">
        <w:rPr>
          <w:rFonts w:ascii="Arial" w:hAnsi="Arial" w:cs="Arial"/>
          <w:strike/>
          <w:sz w:val="24"/>
          <w:szCs w:val="24"/>
        </w:rPr>
        <w:t>.</w:t>
      </w:r>
    </w:p>
    <w:p w14:paraId="1BB6CCF5" w14:textId="77777777" w:rsidR="00FA0CE2" w:rsidRPr="00542D72" w:rsidRDefault="00FA0CE2" w:rsidP="0015080C">
      <w:pPr>
        <w:tabs>
          <w:tab w:val="left" w:pos="1843"/>
        </w:tabs>
        <w:spacing w:before="160" w:after="120" w:line="240" w:lineRule="auto"/>
        <w:jc w:val="center"/>
        <w:rPr>
          <w:rFonts w:ascii="Arial" w:hAnsi="Arial" w:cs="Arial"/>
          <w:i/>
          <w:iCs/>
          <w:strike/>
          <w:sz w:val="24"/>
          <w:szCs w:val="24"/>
        </w:rPr>
      </w:pPr>
      <w:r w:rsidRPr="00542D72">
        <w:rPr>
          <w:rFonts w:ascii="Arial" w:hAnsi="Arial" w:cs="Arial"/>
          <w:iCs/>
          <w:strike/>
          <w:sz w:val="24"/>
          <w:szCs w:val="24"/>
        </w:rPr>
        <w:t>Curitiba, em 7 de dezembro de 2006</w:t>
      </w:r>
      <w:r w:rsidRPr="00542D72">
        <w:rPr>
          <w:rFonts w:ascii="Arial" w:hAnsi="Arial" w:cs="Arial"/>
          <w:i/>
          <w:iCs/>
          <w:strike/>
          <w:sz w:val="24"/>
          <w:szCs w:val="24"/>
        </w:rPr>
        <w:t xml:space="preserve">. </w:t>
      </w:r>
    </w:p>
    <w:p w14:paraId="436FE177" w14:textId="77777777" w:rsidR="001D193A" w:rsidRPr="00542D72" w:rsidRDefault="001D193A" w:rsidP="0015080C">
      <w:pPr>
        <w:tabs>
          <w:tab w:val="left" w:pos="1843"/>
        </w:tabs>
        <w:spacing w:before="160" w:after="0" w:line="240" w:lineRule="auto"/>
        <w:jc w:val="center"/>
        <w:rPr>
          <w:rFonts w:ascii="Arial" w:hAnsi="Arial" w:cs="Arial"/>
          <w:strike/>
          <w:sz w:val="24"/>
          <w:szCs w:val="24"/>
        </w:rPr>
      </w:pPr>
    </w:p>
    <w:p w14:paraId="1BB6CCF7" w14:textId="77777777" w:rsidR="00FA0CE2" w:rsidRPr="001D193A" w:rsidRDefault="00FA0CE2" w:rsidP="0015080C">
      <w:pPr>
        <w:pStyle w:val="Ttulo9"/>
        <w:tabs>
          <w:tab w:val="left" w:pos="1843"/>
        </w:tabs>
        <w:spacing w:before="160" w:line="240" w:lineRule="auto"/>
        <w:ind w:left="0"/>
        <w:jc w:val="center"/>
        <w:rPr>
          <w:rFonts w:ascii="Arial" w:hAnsi="Arial" w:cs="Arial"/>
          <w:bCs w:val="0"/>
          <w:strike/>
          <w:sz w:val="24"/>
          <w:szCs w:val="24"/>
        </w:rPr>
      </w:pPr>
      <w:r w:rsidRPr="001D193A">
        <w:rPr>
          <w:rFonts w:ascii="Arial" w:hAnsi="Arial" w:cs="Arial"/>
          <w:bCs w:val="0"/>
          <w:strike/>
          <w:sz w:val="24"/>
          <w:szCs w:val="24"/>
        </w:rPr>
        <w:t>HEINZ GEORG HERWIG</w:t>
      </w:r>
    </w:p>
    <w:p w14:paraId="1BB6CCF8" w14:textId="77777777" w:rsidR="00FA0CE2" w:rsidRPr="001D193A" w:rsidRDefault="00FA0CE2" w:rsidP="0015080C">
      <w:pPr>
        <w:pStyle w:val="Ttulo9"/>
        <w:tabs>
          <w:tab w:val="left" w:pos="1843"/>
        </w:tabs>
        <w:spacing w:before="160" w:line="240" w:lineRule="auto"/>
        <w:ind w:left="0"/>
        <w:jc w:val="center"/>
        <w:rPr>
          <w:rFonts w:ascii="Times New Roman" w:hAnsi="Times New Roman"/>
          <w:b w:val="0"/>
          <w:strike/>
          <w:sz w:val="14"/>
        </w:rPr>
      </w:pPr>
      <w:r w:rsidRPr="001D193A">
        <w:rPr>
          <w:rFonts w:ascii="Arial" w:hAnsi="Arial" w:cs="Arial"/>
          <w:b w:val="0"/>
          <w:strike/>
          <w:sz w:val="24"/>
          <w:szCs w:val="24"/>
        </w:rPr>
        <w:t>Presidente</w:t>
      </w:r>
      <w:r w:rsidRPr="001D193A">
        <w:rPr>
          <w:rFonts w:ascii="Times New Roman" w:hAnsi="Times New Roman"/>
          <w:b w:val="0"/>
          <w:strike/>
          <w:sz w:val="14"/>
        </w:rPr>
        <w:t xml:space="preserve"> </w:t>
      </w:r>
    </w:p>
    <w:p w14:paraId="1BB6CCF9" w14:textId="77777777" w:rsidR="00FA0CE2" w:rsidRPr="00542D72" w:rsidRDefault="00FA0CE2" w:rsidP="00FA0CE2">
      <w:pPr>
        <w:rPr>
          <w:rFonts w:ascii="Times New Roman" w:eastAsia="Times New Roman" w:hAnsi="Times New Roman" w:cs="Tahoma"/>
          <w:b/>
          <w:strike/>
          <w:sz w:val="14"/>
          <w:szCs w:val="20"/>
          <w:lang w:eastAsia="pt-BR"/>
        </w:rPr>
      </w:pPr>
      <w:r w:rsidRPr="00542D72">
        <w:rPr>
          <w:rFonts w:ascii="Times New Roman" w:hAnsi="Times New Roman"/>
          <w:bCs/>
          <w:strike/>
          <w:sz w:val="14"/>
        </w:rPr>
        <w:br w:type="page"/>
      </w:r>
    </w:p>
    <w:p w14:paraId="1BB6CCFA" w14:textId="77777777" w:rsidR="00FA0CE2" w:rsidRPr="00542D72" w:rsidRDefault="00FA0CE2" w:rsidP="00FA0CE2">
      <w:pPr>
        <w:pStyle w:val="Default"/>
        <w:jc w:val="both"/>
        <w:rPr>
          <w:rFonts w:ascii="Times New Roman" w:hAnsi="Times New Roman" w:cs="Tahoma"/>
          <w:strike/>
          <w:sz w:val="14"/>
        </w:rPr>
      </w:pPr>
    </w:p>
    <w:p w14:paraId="1BB6CCFB" w14:textId="77777777" w:rsidR="00FA0CE2" w:rsidRPr="00542D72" w:rsidRDefault="00FA0CE2" w:rsidP="00FA0CE2">
      <w:pPr>
        <w:pStyle w:val="Ttulo7"/>
        <w:shd w:val="clear" w:color="auto" w:fill="D9D9D9"/>
        <w:tabs>
          <w:tab w:val="left" w:pos="708"/>
        </w:tabs>
        <w:spacing w:before="0" w:after="0"/>
        <w:jc w:val="center"/>
        <w:rPr>
          <w:rFonts w:ascii="Arial" w:hAnsi="Arial" w:cs="Arial"/>
          <w:b/>
          <w:strike/>
          <w:sz w:val="24"/>
          <w:szCs w:val="24"/>
        </w:rPr>
      </w:pPr>
      <w:r w:rsidRPr="00542D72">
        <w:rPr>
          <w:rFonts w:ascii="Arial" w:hAnsi="Arial" w:cs="Arial"/>
          <w:strike/>
          <w:sz w:val="24"/>
          <w:szCs w:val="24"/>
        </w:rPr>
        <w:t>ANEXOS</w:t>
      </w:r>
    </w:p>
    <w:p w14:paraId="1BB6CCFC" w14:textId="77777777" w:rsidR="00FA0CE2" w:rsidRPr="00542D72" w:rsidRDefault="00FA0CE2" w:rsidP="00FA0CE2">
      <w:pPr>
        <w:jc w:val="both"/>
        <w:rPr>
          <w:rFonts w:ascii="Arial" w:hAnsi="Arial" w:cs="Arial"/>
          <w:strike/>
          <w:sz w:val="24"/>
          <w:szCs w:val="24"/>
        </w:rPr>
      </w:pPr>
    </w:p>
    <w:p w14:paraId="1BB6CCFD" w14:textId="77777777" w:rsidR="00FA0CE2" w:rsidRPr="00542D72" w:rsidRDefault="00FA0CE2" w:rsidP="00FA0CE2">
      <w:pPr>
        <w:jc w:val="center"/>
        <w:rPr>
          <w:rFonts w:ascii="Arial" w:hAnsi="Arial" w:cs="Arial"/>
          <w:b/>
          <w:strike/>
          <w:sz w:val="24"/>
          <w:szCs w:val="24"/>
        </w:rPr>
      </w:pPr>
      <w:r w:rsidRPr="00542D72">
        <w:rPr>
          <w:rFonts w:ascii="Arial" w:hAnsi="Arial" w:cs="Arial"/>
          <w:b/>
          <w:strike/>
          <w:sz w:val="24"/>
          <w:szCs w:val="24"/>
        </w:rPr>
        <w:t>ANEXO Nº 1</w:t>
      </w:r>
    </w:p>
    <w:p w14:paraId="1BB6CCFE" w14:textId="77777777" w:rsidR="00FA0CE2" w:rsidRPr="00542D72" w:rsidRDefault="00FA0CE2" w:rsidP="00FA0CE2">
      <w:pPr>
        <w:jc w:val="center"/>
        <w:rPr>
          <w:rFonts w:ascii="Arial" w:hAnsi="Arial" w:cs="Arial"/>
          <w:b/>
          <w:strike/>
          <w:sz w:val="24"/>
          <w:szCs w:val="24"/>
        </w:rPr>
      </w:pPr>
      <w:r w:rsidRPr="00542D72">
        <w:rPr>
          <w:rFonts w:ascii="Arial" w:hAnsi="Arial" w:cs="Arial"/>
          <w:b/>
          <w:strike/>
          <w:sz w:val="24"/>
          <w:szCs w:val="24"/>
        </w:rPr>
        <w:t>RELAÇÃO DO PESSOAL ADMITIDO NO EXERCÍCIO DE 2006</w:t>
      </w:r>
    </w:p>
    <w:p w14:paraId="1BB6CCFF" w14:textId="77777777" w:rsidR="00FA0CE2" w:rsidRPr="00542D72" w:rsidRDefault="00FA0CE2" w:rsidP="00FA0CE2">
      <w:pPr>
        <w:jc w:val="both"/>
        <w:rPr>
          <w:rFonts w:ascii="Arial" w:hAnsi="Arial" w:cs="Arial"/>
          <w:b/>
          <w:strike/>
          <w:sz w:val="24"/>
          <w:szCs w:val="24"/>
        </w:rPr>
      </w:pPr>
    </w:p>
    <w:tbl>
      <w:tblPr>
        <w:tblW w:w="5000" w:type="pct"/>
        <w:tblCellMar>
          <w:left w:w="28" w:type="dxa"/>
          <w:right w:w="28" w:type="dxa"/>
        </w:tblCellMar>
        <w:tblLook w:val="04A0" w:firstRow="1" w:lastRow="0" w:firstColumn="1" w:lastColumn="0" w:noHBand="0" w:noVBand="1"/>
      </w:tblPr>
      <w:tblGrid>
        <w:gridCol w:w="4022"/>
        <w:gridCol w:w="21"/>
        <w:gridCol w:w="580"/>
        <w:gridCol w:w="2277"/>
        <w:gridCol w:w="2454"/>
      </w:tblGrid>
      <w:tr w:rsidR="00FA0CE2" w:rsidRPr="00542D72" w14:paraId="1BB6CD04" w14:textId="77777777" w:rsidTr="00FA0CE2">
        <w:trPr>
          <w:cantSplit/>
        </w:trPr>
        <w:tc>
          <w:tcPr>
            <w:tcW w:w="2150" w:type="pct"/>
            <w:tcBorders>
              <w:top w:val="nil"/>
              <w:left w:val="nil"/>
              <w:bottom w:val="single" w:sz="18" w:space="0" w:color="auto"/>
              <w:right w:val="single" w:sz="18" w:space="0" w:color="auto"/>
            </w:tcBorders>
            <w:shd w:val="clear" w:color="auto" w:fill="D9D9D9"/>
            <w:vAlign w:val="center"/>
            <w:hideMark/>
          </w:tcPr>
          <w:p w14:paraId="1BB6CD00" w14:textId="77777777" w:rsidR="00FA0CE2" w:rsidRPr="00542D72" w:rsidRDefault="00FA0CE2" w:rsidP="00CA0F97">
            <w:pPr>
              <w:jc w:val="center"/>
              <w:rPr>
                <w:rFonts w:ascii="Arial" w:hAnsi="Arial" w:cs="Arial"/>
                <w:b/>
                <w:strike/>
                <w:sz w:val="24"/>
                <w:szCs w:val="24"/>
              </w:rPr>
            </w:pPr>
            <w:r w:rsidRPr="00542D72">
              <w:rPr>
                <w:rFonts w:ascii="Arial" w:hAnsi="Arial" w:cs="Arial"/>
                <w:b/>
                <w:strike/>
                <w:sz w:val="24"/>
                <w:szCs w:val="24"/>
              </w:rPr>
              <w:t>NOME</w:t>
            </w:r>
          </w:p>
        </w:tc>
        <w:tc>
          <w:tcPr>
            <w:tcW w:w="321" w:type="pct"/>
            <w:gridSpan w:val="2"/>
            <w:tcBorders>
              <w:top w:val="nil"/>
              <w:left w:val="nil"/>
              <w:bottom w:val="nil"/>
              <w:right w:val="single" w:sz="12" w:space="0" w:color="auto"/>
            </w:tcBorders>
            <w:shd w:val="clear" w:color="auto" w:fill="D9D9D9"/>
            <w:vAlign w:val="center"/>
            <w:hideMark/>
          </w:tcPr>
          <w:p w14:paraId="1BB6CD01" w14:textId="77777777" w:rsidR="00FA0CE2" w:rsidRPr="00542D72" w:rsidRDefault="00FA0CE2" w:rsidP="00CA0F97">
            <w:pPr>
              <w:jc w:val="center"/>
              <w:rPr>
                <w:rFonts w:ascii="Arial" w:hAnsi="Arial" w:cs="Arial"/>
                <w:b/>
                <w:strike/>
                <w:sz w:val="24"/>
                <w:szCs w:val="24"/>
              </w:rPr>
            </w:pPr>
            <w:r w:rsidRPr="00542D72">
              <w:rPr>
                <w:rFonts w:ascii="Arial" w:hAnsi="Arial" w:cs="Arial"/>
                <w:b/>
                <w:strike/>
                <w:sz w:val="24"/>
                <w:szCs w:val="24"/>
              </w:rPr>
              <w:t>RG</w:t>
            </w:r>
          </w:p>
        </w:tc>
        <w:tc>
          <w:tcPr>
            <w:tcW w:w="1217" w:type="pct"/>
            <w:tcBorders>
              <w:top w:val="nil"/>
              <w:left w:val="single" w:sz="12" w:space="0" w:color="auto"/>
              <w:bottom w:val="nil"/>
              <w:right w:val="single" w:sz="12" w:space="0" w:color="auto"/>
            </w:tcBorders>
            <w:shd w:val="clear" w:color="auto" w:fill="D9D9D9"/>
            <w:vAlign w:val="center"/>
            <w:hideMark/>
          </w:tcPr>
          <w:p w14:paraId="1BB6CD02" w14:textId="77777777" w:rsidR="00FA0CE2" w:rsidRPr="00542D72" w:rsidRDefault="00FA0CE2" w:rsidP="00CA0F97">
            <w:pPr>
              <w:jc w:val="center"/>
              <w:rPr>
                <w:rFonts w:ascii="Arial" w:hAnsi="Arial" w:cs="Arial"/>
                <w:b/>
                <w:strike/>
                <w:sz w:val="24"/>
                <w:szCs w:val="24"/>
              </w:rPr>
            </w:pPr>
            <w:r w:rsidRPr="00542D72">
              <w:rPr>
                <w:rFonts w:ascii="Arial" w:hAnsi="Arial" w:cs="Arial"/>
                <w:b/>
                <w:strike/>
                <w:sz w:val="24"/>
                <w:szCs w:val="24"/>
              </w:rPr>
              <w:t>DATA DE ADMISSÃO</w:t>
            </w:r>
          </w:p>
        </w:tc>
        <w:tc>
          <w:tcPr>
            <w:tcW w:w="1312" w:type="pct"/>
            <w:tcBorders>
              <w:top w:val="nil"/>
              <w:left w:val="single" w:sz="12" w:space="0" w:color="auto"/>
              <w:bottom w:val="single" w:sz="18" w:space="0" w:color="auto"/>
              <w:right w:val="nil"/>
            </w:tcBorders>
            <w:shd w:val="clear" w:color="auto" w:fill="D9D9D9"/>
            <w:vAlign w:val="center"/>
            <w:hideMark/>
          </w:tcPr>
          <w:p w14:paraId="1BB6CD03" w14:textId="77777777" w:rsidR="00FA0CE2" w:rsidRPr="00542D72" w:rsidRDefault="00FA0CE2" w:rsidP="00CA0F97">
            <w:pPr>
              <w:jc w:val="center"/>
              <w:rPr>
                <w:rFonts w:ascii="Arial" w:hAnsi="Arial" w:cs="Arial"/>
                <w:b/>
                <w:strike/>
                <w:sz w:val="24"/>
                <w:szCs w:val="24"/>
              </w:rPr>
            </w:pPr>
            <w:r w:rsidRPr="00542D72">
              <w:rPr>
                <w:rFonts w:ascii="Arial" w:hAnsi="Arial" w:cs="Arial"/>
                <w:b/>
                <w:strike/>
                <w:sz w:val="24"/>
                <w:szCs w:val="24"/>
              </w:rPr>
              <w:t>Nº. PROTOCOLO-TC</w:t>
            </w:r>
          </w:p>
        </w:tc>
      </w:tr>
      <w:tr w:rsidR="00FA0CE2" w:rsidRPr="00542D72" w14:paraId="1BB6CD09" w14:textId="77777777" w:rsidTr="00CA0F97">
        <w:trPr>
          <w:cantSplit/>
        </w:trPr>
        <w:tc>
          <w:tcPr>
            <w:tcW w:w="2150" w:type="pct"/>
            <w:tcBorders>
              <w:top w:val="single" w:sz="18" w:space="0" w:color="auto"/>
              <w:left w:val="nil"/>
              <w:bottom w:val="nil"/>
              <w:right w:val="single" w:sz="18" w:space="0" w:color="auto"/>
            </w:tcBorders>
          </w:tcPr>
          <w:p w14:paraId="1BB6CD05" w14:textId="77777777" w:rsidR="00FA0CE2" w:rsidRPr="00542D72" w:rsidRDefault="00FA0CE2" w:rsidP="00CA0F97">
            <w:pPr>
              <w:jc w:val="both"/>
              <w:rPr>
                <w:rFonts w:ascii="Arial" w:hAnsi="Arial" w:cs="Arial"/>
                <w:b/>
                <w:strike/>
                <w:sz w:val="24"/>
                <w:szCs w:val="24"/>
              </w:rPr>
            </w:pPr>
          </w:p>
        </w:tc>
        <w:tc>
          <w:tcPr>
            <w:tcW w:w="321" w:type="pct"/>
            <w:gridSpan w:val="2"/>
            <w:tcBorders>
              <w:top w:val="single" w:sz="18" w:space="0" w:color="auto"/>
              <w:left w:val="nil"/>
              <w:bottom w:val="nil"/>
              <w:right w:val="single" w:sz="6" w:space="0" w:color="auto"/>
            </w:tcBorders>
          </w:tcPr>
          <w:p w14:paraId="1BB6CD06" w14:textId="77777777" w:rsidR="00FA0CE2" w:rsidRPr="00542D72" w:rsidRDefault="00FA0CE2" w:rsidP="00CA0F97">
            <w:pPr>
              <w:jc w:val="both"/>
              <w:rPr>
                <w:rFonts w:ascii="Arial" w:hAnsi="Arial" w:cs="Arial"/>
                <w:b/>
                <w:strike/>
                <w:sz w:val="24"/>
                <w:szCs w:val="24"/>
              </w:rPr>
            </w:pPr>
          </w:p>
        </w:tc>
        <w:tc>
          <w:tcPr>
            <w:tcW w:w="1217" w:type="pct"/>
            <w:tcBorders>
              <w:top w:val="single" w:sz="18" w:space="0" w:color="auto"/>
              <w:left w:val="single" w:sz="6" w:space="0" w:color="auto"/>
              <w:bottom w:val="nil"/>
              <w:right w:val="single" w:sz="6" w:space="0" w:color="auto"/>
            </w:tcBorders>
          </w:tcPr>
          <w:p w14:paraId="1BB6CD07" w14:textId="77777777" w:rsidR="00FA0CE2" w:rsidRPr="00542D72" w:rsidRDefault="00FA0CE2" w:rsidP="00CA0F97">
            <w:pPr>
              <w:jc w:val="both"/>
              <w:rPr>
                <w:rFonts w:ascii="Arial" w:hAnsi="Arial" w:cs="Arial"/>
                <w:b/>
                <w:strike/>
                <w:sz w:val="24"/>
                <w:szCs w:val="24"/>
              </w:rPr>
            </w:pPr>
          </w:p>
        </w:tc>
        <w:tc>
          <w:tcPr>
            <w:tcW w:w="1312" w:type="pct"/>
            <w:tcBorders>
              <w:top w:val="single" w:sz="18" w:space="0" w:color="auto"/>
              <w:left w:val="single" w:sz="6" w:space="0" w:color="auto"/>
              <w:bottom w:val="nil"/>
              <w:right w:val="nil"/>
            </w:tcBorders>
          </w:tcPr>
          <w:p w14:paraId="1BB6CD08" w14:textId="77777777" w:rsidR="00FA0CE2" w:rsidRPr="00542D72" w:rsidRDefault="00FA0CE2" w:rsidP="00CA0F97">
            <w:pPr>
              <w:jc w:val="both"/>
              <w:rPr>
                <w:rFonts w:ascii="Arial" w:hAnsi="Arial" w:cs="Arial"/>
                <w:b/>
                <w:strike/>
                <w:sz w:val="24"/>
                <w:szCs w:val="24"/>
              </w:rPr>
            </w:pPr>
          </w:p>
        </w:tc>
      </w:tr>
      <w:tr w:rsidR="00FA0CE2" w:rsidRPr="00542D72" w14:paraId="1BB6CD0E" w14:textId="77777777" w:rsidTr="00CA0F97">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6CD0A" w14:textId="77777777" w:rsidR="00FA0CE2" w:rsidRPr="00542D72" w:rsidRDefault="00FA0CE2" w:rsidP="00CA0F97">
            <w:pPr>
              <w:spacing w:before="360" w:after="120" w:line="240" w:lineRule="auto"/>
              <w:jc w:val="center"/>
              <w:rPr>
                <w:rFonts w:ascii="Arial" w:hAnsi="Arial" w:cs="Arial"/>
                <w:strike/>
                <w:sz w:val="24"/>
                <w:szCs w:val="24"/>
              </w:rPr>
            </w:pPr>
            <w:r w:rsidRPr="00542D72">
              <w:rPr>
                <w:rFonts w:ascii="Arial" w:hAnsi="Arial" w:cs="Arial"/>
                <w:strike/>
                <w:sz w:val="24"/>
                <w:szCs w:val="24"/>
              </w:rPr>
              <w:t>_________________</w:t>
            </w:r>
          </w:p>
          <w:p w14:paraId="1BB6CD0B" w14:textId="77777777" w:rsidR="00FA0CE2" w:rsidRPr="00542D72" w:rsidRDefault="00FA0CE2" w:rsidP="00CA0F97">
            <w:pPr>
              <w:jc w:val="center"/>
              <w:rPr>
                <w:rFonts w:ascii="Arial" w:hAnsi="Arial" w:cs="Arial"/>
                <w:strike/>
                <w:sz w:val="24"/>
                <w:szCs w:val="24"/>
              </w:rPr>
            </w:pPr>
            <w:r w:rsidRPr="00542D72">
              <w:rPr>
                <w:rFonts w:ascii="Arial" w:hAnsi="Arial" w:cs="Arial"/>
                <w:strike/>
                <w:sz w:val="24"/>
                <w:szCs w:val="24"/>
              </w:rPr>
              <w:t>Local e Data</w:t>
            </w:r>
          </w:p>
        </w:tc>
        <w:tc>
          <w:tcPr>
            <w:tcW w:w="28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6CD0C" w14:textId="77777777" w:rsidR="00FA0CE2" w:rsidRPr="00542D72" w:rsidRDefault="00FA0CE2" w:rsidP="00CA0F97">
            <w:pPr>
              <w:spacing w:before="360" w:after="120" w:line="240" w:lineRule="auto"/>
              <w:jc w:val="center"/>
              <w:rPr>
                <w:rFonts w:ascii="Arial" w:hAnsi="Arial" w:cs="Arial"/>
                <w:strike/>
                <w:sz w:val="24"/>
                <w:szCs w:val="24"/>
              </w:rPr>
            </w:pPr>
            <w:r w:rsidRPr="00542D72">
              <w:rPr>
                <w:rFonts w:ascii="Arial" w:hAnsi="Arial" w:cs="Arial"/>
                <w:strike/>
                <w:sz w:val="24"/>
                <w:szCs w:val="24"/>
              </w:rPr>
              <w:t>_____________________</w:t>
            </w:r>
          </w:p>
          <w:p w14:paraId="1BB6CD0D" w14:textId="77777777" w:rsidR="00FA0CE2" w:rsidRPr="00542D72" w:rsidRDefault="00FA0CE2" w:rsidP="00CA0F97">
            <w:pPr>
              <w:jc w:val="center"/>
              <w:rPr>
                <w:rFonts w:ascii="Arial" w:hAnsi="Arial" w:cs="Arial"/>
                <w:strike/>
                <w:sz w:val="24"/>
                <w:szCs w:val="24"/>
              </w:rPr>
            </w:pPr>
            <w:r w:rsidRPr="00542D72">
              <w:rPr>
                <w:rFonts w:ascii="Arial" w:hAnsi="Arial" w:cs="Arial"/>
                <w:strike/>
                <w:sz w:val="24"/>
                <w:szCs w:val="24"/>
              </w:rPr>
              <w:t>Dirigente da Unidade</w:t>
            </w:r>
          </w:p>
        </w:tc>
      </w:tr>
      <w:tr w:rsidR="00FA0CE2" w:rsidRPr="00542D72" w14:paraId="1BB6CD14" w14:textId="77777777" w:rsidTr="00CA0F97">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6CD0F" w14:textId="77777777" w:rsidR="00FA0CE2" w:rsidRPr="00542D72" w:rsidRDefault="00FA0CE2" w:rsidP="00CA0F97">
            <w:pPr>
              <w:spacing w:before="360" w:after="120" w:line="240" w:lineRule="auto"/>
              <w:jc w:val="center"/>
              <w:rPr>
                <w:rFonts w:ascii="Arial" w:hAnsi="Arial" w:cs="Arial"/>
                <w:strike/>
                <w:sz w:val="24"/>
                <w:szCs w:val="24"/>
              </w:rPr>
            </w:pPr>
            <w:r w:rsidRPr="00542D72">
              <w:rPr>
                <w:rFonts w:ascii="Arial" w:hAnsi="Arial" w:cs="Arial"/>
                <w:strike/>
                <w:sz w:val="24"/>
                <w:szCs w:val="24"/>
              </w:rPr>
              <w:t>____________________________</w:t>
            </w:r>
          </w:p>
          <w:p w14:paraId="1BB6CD10" w14:textId="77777777" w:rsidR="00FA0CE2" w:rsidRPr="00542D72" w:rsidRDefault="00FA0CE2" w:rsidP="00CA0F97">
            <w:pPr>
              <w:jc w:val="center"/>
              <w:rPr>
                <w:rFonts w:ascii="Arial" w:hAnsi="Arial" w:cs="Arial"/>
                <w:strike/>
                <w:sz w:val="24"/>
                <w:szCs w:val="24"/>
              </w:rPr>
            </w:pPr>
            <w:r w:rsidRPr="00542D72">
              <w:rPr>
                <w:rFonts w:ascii="Arial" w:hAnsi="Arial" w:cs="Arial"/>
                <w:strike/>
                <w:sz w:val="24"/>
                <w:szCs w:val="24"/>
              </w:rPr>
              <w:t>Contador</w:t>
            </w:r>
          </w:p>
        </w:tc>
        <w:tc>
          <w:tcPr>
            <w:tcW w:w="11" w:type="pct"/>
            <w:tcBorders>
              <w:top w:val="single" w:sz="6" w:space="0" w:color="auto"/>
              <w:left w:val="single" w:sz="6" w:space="0" w:color="auto"/>
              <w:bottom w:val="single" w:sz="6" w:space="0" w:color="auto"/>
              <w:right w:val="nil"/>
            </w:tcBorders>
            <w:tcMar>
              <w:top w:w="0" w:type="dxa"/>
              <w:left w:w="0" w:type="dxa"/>
              <w:bottom w:w="0" w:type="dxa"/>
              <w:right w:w="0" w:type="dxa"/>
            </w:tcMar>
            <w:hideMark/>
          </w:tcPr>
          <w:p w14:paraId="1BB6CD11" w14:textId="77777777" w:rsidR="00FA0CE2" w:rsidRPr="00542D72" w:rsidRDefault="00FA0CE2" w:rsidP="00CA0F97">
            <w:pPr>
              <w:jc w:val="both"/>
              <w:rPr>
                <w:rFonts w:ascii="Arial" w:hAnsi="Arial" w:cs="Arial"/>
                <w:strike/>
                <w:sz w:val="24"/>
                <w:szCs w:val="24"/>
              </w:rPr>
            </w:pPr>
            <w:r w:rsidRPr="00542D72">
              <w:rPr>
                <w:rFonts w:ascii="Arial" w:hAnsi="Arial" w:cs="Arial"/>
                <w:strike/>
                <w:sz w:val="24"/>
                <w:szCs w:val="24"/>
              </w:rPr>
              <w:t xml:space="preserve">            </w:t>
            </w:r>
          </w:p>
        </w:tc>
        <w:tc>
          <w:tcPr>
            <w:tcW w:w="2839" w:type="pct"/>
            <w:gridSpan w:val="3"/>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1BB6CD12" w14:textId="77777777" w:rsidR="00FA0CE2" w:rsidRPr="00542D72" w:rsidRDefault="00FA0CE2" w:rsidP="00CA0F97">
            <w:pPr>
              <w:spacing w:before="360" w:after="120" w:line="240" w:lineRule="auto"/>
              <w:jc w:val="center"/>
              <w:rPr>
                <w:rFonts w:ascii="Arial" w:hAnsi="Arial" w:cs="Arial"/>
                <w:strike/>
                <w:sz w:val="24"/>
                <w:szCs w:val="24"/>
              </w:rPr>
            </w:pPr>
            <w:r w:rsidRPr="00542D72">
              <w:rPr>
                <w:rFonts w:ascii="Arial" w:hAnsi="Arial" w:cs="Arial"/>
                <w:strike/>
                <w:sz w:val="24"/>
                <w:szCs w:val="24"/>
              </w:rPr>
              <w:t>_____________________</w:t>
            </w:r>
          </w:p>
          <w:p w14:paraId="1BB6CD13" w14:textId="77777777" w:rsidR="00FA0CE2" w:rsidRPr="00542D72" w:rsidRDefault="00FA0CE2" w:rsidP="00CA0F97">
            <w:pPr>
              <w:jc w:val="center"/>
              <w:rPr>
                <w:rFonts w:ascii="Arial" w:hAnsi="Arial" w:cs="Arial"/>
                <w:strike/>
                <w:sz w:val="24"/>
                <w:szCs w:val="24"/>
              </w:rPr>
            </w:pPr>
            <w:r w:rsidRPr="00542D72">
              <w:rPr>
                <w:rFonts w:ascii="Arial" w:hAnsi="Arial" w:cs="Arial"/>
                <w:strike/>
                <w:sz w:val="24"/>
                <w:szCs w:val="24"/>
              </w:rPr>
              <w:t>Nº CRC</w:t>
            </w:r>
          </w:p>
        </w:tc>
      </w:tr>
    </w:tbl>
    <w:p w14:paraId="1BB6CD15" w14:textId="77777777" w:rsidR="00FA0CE2" w:rsidRPr="00542D72" w:rsidRDefault="00FA0CE2" w:rsidP="00FA0CE2">
      <w:pPr>
        <w:pStyle w:val="Cabealho"/>
        <w:tabs>
          <w:tab w:val="left" w:pos="708"/>
        </w:tabs>
        <w:rPr>
          <w:rFonts w:ascii="Arial" w:hAnsi="Arial" w:cs="Arial"/>
          <w:strike/>
          <w:sz w:val="24"/>
          <w:szCs w:val="24"/>
        </w:rPr>
      </w:pPr>
    </w:p>
    <w:p w14:paraId="1BB6CD16" w14:textId="77777777" w:rsidR="00FA0CE2" w:rsidRPr="00542D72" w:rsidRDefault="00FA0CE2" w:rsidP="00FA0CE2">
      <w:pPr>
        <w:rPr>
          <w:rFonts w:ascii="Arial" w:hAnsi="Arial" w:cs="Arial"/>
          <w:b/>
          <w:strike/>
          <w:sz w:val="24"/>
          <w:szCs w:val="24"/>
        </w:rPr>
      </w:pPr>
      <w:r w:rsidRPr="00542D72">
        <w:rPr>
          <w:rFonts w:ascii="Arial" w:hAnsi="Arial" w:cs="Arial"/>
          <w:b/>
          <w:strike/>
          <w:sz w:val="24"/>
          <w:szCs w:val="24"/>
        </w:rPr>
        <w:br w:type="page"/>
      </w:r>
    </w:p>
    <w:p w14:paraId="1BB6CD17" w14:textId="77777777" w:rsidR="00FA0CE2" w:rsidRPr="00542D72" w:rsidRDefault="00FA0CE2" w:rsidP="00FA0CE2">
      <w:pPr>
        <w:jc w:val="center"/>
        <w:rPr>
          <w:rFonts w:ascii="Arial" w:hAnsi="Arial" w:cs="Arial"/>
          <w:b/>
          <w:strike/>
          <w:sz w:val="24"/>
          <w:szCs w:val="24"/>
        </w:rPr>
      </w:pPr>
      <w:r w:rsidRPr="00542D72">
        <w:rPr>
          <w:rFonts w:ascii="Arial" w:hAnsi="Arial" w:cs="Arial"/>
          <w:b/>
          <w:strike/>
          <w:sz w:val="24"/>
          <w:szCs w:val="24"/>
        </w:rPr>
        <w:lastRenderedPageBreak/>
        <w:t>ANEXO Nº 2</w:t>
      </w:r>
    </w:p>
    <w:p w14:paraId="1BB6CD18" w14:textId="77777777" w:rsidR="00FA0CE2" w:rsidRPr="00542D72" w:rsidRDefault="00FA0CE2" w:rsidP="00FA0CE2">
      <w:pPr>
        <w:jc w:val="center"/>
        <w:rPr>
          <w:rFonts w:ascii="Arial" w:hAnsi="Arial" w:cs="Arial"/>
          <w:b/>
          <w:strike/>
          <w:sz w:val="24"/>
          <w:szCs w:val="24"/>
        </w:rPr>
      </w:pPr>
    </w:p>
    <w:p w14:paraId="1BB6CD19" w14:textId="77777777" w:rsidR="00FA0CE2" w:rsidRPr="00542D72" w:rsidRDefault="00FA0CE2" w:rsidP="00FA0CE2">
      <w:pPr>
        <w:jc w:val="center"/>
        <w:rPr>
          <w:rFonts w:ascii="Arial" w:hAnsi="Arial" w:cs="Arial"/>
          <w:b/>
          <w:strike/>
          <w:sz w:val="24"/>
          <w:szCs w:val="24"/>
        </w:rPr>
      </w:pPr>
    </w:p>
    <w:p w14:paraId="1BB6CD1A" w14:textId="77777777" w:rsidR="00FA0CE2" w:rsidRPr="00542D72" w:rsidRDefault="00FA0CE2" w:rsidP="00FA0CE2">
      <w:pPr>
        <w:pStyle w:val="Cabealho"/>
        <w:tabs>
          <w:tab w:val="left" w:pos="708"/>
        </w:tabs>
        <w:jc w:val="center"/>
        <w:rPr>
          <w:rFonts w:ascii="Arial" w:hAnsi="Arial" w:cs="Arial"/>
          <w:strike/>
          <w:sz w:val="24"/>
          <w:szCs w:val="24"/>
        </w:rPr>
      </w:pPr>
      <w:r w:rsidRPr="00542D72">
        <w:rPr>
          <w:rFonts w:ascii="Arial" w:hAnsi="Arial" w:cs="Arial"/>
          <w:b/>
          <w:strike/>
          <w:sz w:val="24"/>
          <w:szCs w:val="24"/>
        </w:rPr>
        <w:t>DECLARAÇÃO DE AUSÊNCIA DE CONTRATAÇÃO DE PESSOAL</w:t>
      </w:r>
    </w:p>
    <w:p w14:paraId="1BB6CD1B" w14:textId="77777777" w:rsidR="00FA0CE2" w:rsidRPr="00542D72" w:rsidRDefault="00FA0CE2" w:rsidP="00FA0CE2">
      <w:pPr>
        <w:pStyle w:val="Cabealho"/>
        <w:tabs>
          <w:tab w:val="left" w:pos="708"/>
        </w:tabs>
        <w:rPr>
          <w:rFonts w:ascii="Arial" w:hAnsi="Arial" w:cs="Arial"/>
          <w:strike/>
          <w:sz w:val="24"/>
          <w:szCs w:val="24"/>
        </w:rPr>
      </w:pPr>
    </w:p>
    <w:p w14:paraId="1BB6CD1C" w14:textId="77777777" w:rsidR="00FA0CE2" w:rsidRPr="00542D72" w:rsidRDefault="00FA0CE2" w:rsidP="00FA0CE2">
      <w:pPr>
        <w:pStyle w:val="Cabealho"/>
        <w:tabs>
          <w:tab w:val="left" w:pos="708"/>
        </w:tabs>
        <w:rPr>
          <w:rFonts w:ascii="Arial" w:hAnsi="Arial" w:cs="Arial"/>
          <w:strike/>
          <w:sz w:val="24"/>
          <w:szCs w:val="24"/>
        </w:rPr>
      </w:pPr>
    </w:p>
    <w:p w14:paraId="1BB6CD1D" w14:textId="65AF9AA2" w:rsidR="00FA0CE2" w:rsidRPr="00542D72" w:rsidRDefault="00FA0CE2" w:rsidP="00FA0CE2">
      <w:pPr>
        <w:pStyle w:val="Cabealho"/>
        <w:tabs>
          <w:tab w:val="left" w:pos="708"/>
        </w:tabs>
        <w:rPr>
          <w:rFonts w:ascii="Arial" w:hAnsi="Arial" w:cs="Arial"/>
          <w:strike/>
          <w:sz w:val="24"/>
          <w:szCs w:val="24"/>
        </w:rPr>
      </w:pPr>
      <w:r w:rsidRPr="00542D72">
        <w:rPr>
          <w:rFonts w:ascii="Arial" w:hAnsi="Arial" w:cs="Arial"/>
          <w:strike/>
          <w:sz w:val="24"/>
          <w:szCs w:val="24"/>
        </w:rPr>
        <w:t>Declaro, para os devidos fins, que o/a _____</w:t>
      </w:r>
      <w:r w:rsidRPr="00542D72">
        <w:rPr>
          <w:rFonts w:ascii="Arial" w:hAnsi="Arial" w:cs="Arial"/>
          <w:strike/>
          <w:sz w:val="24"/>
          <w:szCs w:val="24"/>
          <w:u w:val="single"/>
        </w:rPr>
        <w:t>(órgão/</w:t>
      </w:r>
      <w:proofErr w:type="gramStart"/>
      <w:r w:rsidRPr="00542D72">
        <w:rPr>
          <w:rFonts w:ascii="Arial" w:hAnsi="Arial" w:cs="Arial"/>
          <w:strike/>
          <w:sz w:val="24"/>
          <w:szCs w:val="24"/>
          <w:u w:val="single"/>
        </w:rPr>
        <w:t>entidade)</w:t>
      </w:r>
      <w:r w:rsidR="00660278" w:rsidRPr="00542D72">
        <w:rPr>
          <w:rFonts w:ascii="Arial" w:hAnsi="Arial" w:cs="Arial"/>
          <w:strike/>
          <w:sz w:val="24"/>
          <w:szCs w:val="24"/>
          <w:u w:val="single"/>
        </w:rPr>
        <w:t xml:space="preserve">  </w:t>
      </w:r>
      <w:r w:rsidRPr="00542D72">
        <w:rPr>
          <w:rFonts w:ascii="Arial" w:hAnsi="Arial" w:cs="Arial"/>
          <w:strike/>
          <w:sz w:val="24"/>
          <w:szCs w:val="24"/>
        </w:rPr>
        <w:t>_</w:t>
      </w:r>
      <w:proofErr w:type="gramEnd"/>
      <w:r w:rsidRPr="00542D72">
        <w:rPr>
          <w:rFonts w:ascii="Arial" w:hAnsi="Arial" w:cs="Arial"/>
          <w:strike/>
          <w:sz w:val="24"/>
          <w:szCs w:val="24"/>
        </w:rPr>
        <w:t>____ não realizou nenhum processo de contratação de pessoal durante o exercício de 2006.</w:t>
      </w:r>
    </w:p>
    <w:p w14:paraId="1BB6CD1E" w14:textId="77777777" w:rsidR="00FA0CE2" w:rsidRPr="00542D72" w:rsidRDefault="00FA0CE2" w:rsidP="00FA0CE2">
      <w:pPr>
        <w:pStyle w:val="Cabealho"/>
        <w:tabs>
          <w:tab w:val="left" w:pos="708"/>
        </w:tabs>
        <w:rPr>
          <w:rFonts w:ascii="Arial" w:hAnsi="Arial" w:cs="Arial"/>
          <w:strike/>
          <w:sz w:val="24"/>
          <w:szCs w:val="24"/>
        </w:rPr>
      </w:pPr>
    </w:p>
    <w:p w14:paraId="1BB6CD1F" w14:textId="77777777" w:rsidR="00FA0CE2" w:rsidRPr="00542D72" w:rsidRDefault="00FA0CE2" w:rsidP="00FA0CE2">
      <w:pPr>
        <w:pStyle w:val="Cabealho"/>
        <w:tabs>
          <w:tab w:val="left" w:pos="708"/>
        </w:tabs>
        <w:rPr>
          <w:rFonts w:ascii="Arial" w:hAnsi="Arial" w:cs="Arial"/>
          <w:strike/>
          <w:sz w:val="24"/>
          <w:szCs w:val="24"/>
        </w:rPr>
      </w:pPr>
      <w:r w:rsidRPr="00542D72">
        <w:rPr>
          <w:rFonts w:ascii="Arial" w:hAnsi="Arial" w:cs="Arial"/>
          <w:strike/>
          <w:sz w:val="24"/>
          <w:szCs w:val="24"/>
        </w:rPr>
        <w:t>Local e data.</w:t>
      </w:r>
    </w:p>
    <w:p w14:paraId="1BB6CD20" w14:textId="77777777" w:rsidR="00FA0CE2" w:rsidRPr="00542D72" w:rsidRDefault="00FA0CE2" w:rsidP="00FA0CE2">
      <w:pPr>
        <w:pStyle w:val="Cabealho"/>
        <w:tabs>
          <w:tab w:val="left" w:pos="708"/>
        </w:tabs>
        <w:rPr>
          <w:rFonts w:ascii="Arial" w:hAnsi="Arial" w:cs="Arial"/>
          <w:strike/>
          <w:sz w:val="24"/>
          <w:szCs w:val="24"/>
        </w:rPr>
      </w:pPr>
    </w:p>
    <w:p w14:paraId="1BB6CD21" w14:textId="77777777" w:rsidR="00FA0CE2" w:rsidRPr="00542D72" w:rsidRDefault="00FA0CE2" w:rsidP="00FA0CE2">
      <w:pPr>
        <w:pStyle w:val="Cabealho"/>
        <w:tabs>
          <w:tab w:val="left" w:pos="708"/>
        </w:tabs>
        <w:jc w:val="center"/>
        <w:rPr>
          <w:rFonts w:ascii="Arial" w:hAnsi="Arial" w:cs="Arial"/>
          <w:strike/>
          <w:sz w:val="24"/>
          <w:szCs w:val="24"/>
        </w:rPr>
      </w:pPr>
      <w:r w:rsidRPr="00542D72">
        <w:rPr>
          <w:rFonts w:ascii="Arial" w:hAnsi="Arial" w:cs="Arial"/>
          <w:strike/>
          <w:sz w:val="24"/>
          <w:szCs w:val="24"/>
        </w:rPr>
        <w:t>____________________________________</w:t>
      </w:r>
    </w:p>
    <w:p w14:paraId="1BB6CD22" w14:textId="77777777" w:rsidR="00FA0CE2" w:rsidRPr="00542D72" w:rsidRDefault="00FA0CE2" w:rsidP="00FA0CE2">
      <w:pPr>
        <w:pStyle w:val="Cabealho"/>
        <w:tabs>
          <w:tab w:val="left" w:pos="708"/>
        </w:tabs>
        <w:jc w:val="center"/>
        <w:rPr>
          <w:rFonts w:ascii="Arial" w:hAnsi="Arial" w:cs="Arial"/>
          <w:strike/>
          <w:sz w:val="24"/>
          <w:szCs w:val="24"/>
        </w:rPr>
      </w:pPr>
      <w:r w:rsidRPr="00542D72">
        <w:rPr>
          <w:rFonts w:ascii="Arial" w:hAnsi="Arial" w:cs="Arial"/>
          <w:strike/>
          <w:sz w:val="24"/>
          <w:szCs w:val="24"/>
        </w:rPr>
        <w:t>(Dirigente do órgão/entidade)</w:t>
      </w:r>
    </w:p>
    <w:p w14:paraId="1BB6CD23" w14:textId="77777777" w:rsidR="00FA0CE2" w:rsidRPr="00542D72" w:rsidRDefault="00FA0CE2" w:rsidP="00FA0CE2">
      <w:pPr>
        <w:pStyle w:val="Cabealho"/>
        <w:tabs>
          <w:tab w:val="left" w:pos="708"/>
        </w:tabs>
        <w:rPr>
          <w:rFonts w:ascii="Arial" w:hAnsi="Arial" w:cs="Arial"/>
          <w:strike/>
          <w:sz w:val="24"/>
          <w:szCs w:val="24"/>
        </w:rPr>
      </w:pPr>
    </w:p>
    <w:p w14:paraId="1BB6CD24" w14:textId="77777777" w:rsidR="00FA0CE2" w:rsidRPr="00542D72" w:rsidRDefault="00FA0CE2" w:rsidP="00FA0CE2">
      <w:pPr>
        <w:pStyle w:val="Default"/>
        <w:spacing w:before="240" w:after="240"/>
        <w:ind w:left="4536"/>
        <w:jc w:val="both"/>
        <w:rPr>
          <w:strike/>
        </w:rPr>
      </w:pPr>
    </w:p>
    <w:p w14:paraId="1BB6CD25" w14:textId="77777777" w:rsidR="00FA0CE2" w:rsidRPr="00542D72" w:rsidRDefault="00FA0CE2" w:rsidP="00FA0CE2">
      <w:pPr>
        <w:rPr>
          <w:strike/>
        </w:rPr>
      </w:pPr>
    </w:p>
    <w:p w14:paraId="1BB6CD26" w14:textId="77777777" w:rsidR="00FA0CE2" w:rsidRPr="00542D72" w:rsidRDefault="00FA0CE2" w:rsidP="00FA0CE2">
      <w:pPr>
        <w:rPr>
          <w:strike/>
        </w:rPr>
      </w:pPr>
    </w:p>
    <w:p w14:paraId="1BB6CD27" w14:textId="77777777" w:rsidR="0015408B" w:rsidRPr="00542D72" w:rsidRDefault="0015408B" w:rsidP="00B14F79">
      <w:pPr>
        <w:ind w:right="-568"/>
        <w:rPr>
          <w:strike/>
        </w:rPr>
      </w:pPr>
    </w:p>
    <w:sectPr w:rsidR="0015408B" w:rsidRPr="00542D72" w:rsidSect="00B14F79">
      <w:headerReference w:type="default" r:id="rId14"/>
      <w:pgSz w:w="11906" w:h="16838"/>
      <w:pgMar w:top="2268"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2280" w14:textId="77777777" w:rsidR="00082AD0" w:rsidRDefault="00082AD0" w:rsidP="00B14F79">
      <w:pPr>
        <w:spacing w:after="0" w:line="240" w:lineRule="auto"/>
      </w:pPr>
      <w:r>
        <w:separator/>
      </w:r>
    </w:p>
  </w:endnote>
  <w:endnote w:type="continuationSeparator" w:id="0">
    <w:p w14:paraId="1E1CD07F" w14:textId="77777777" w:rsidR="00082AD0" w:rsidRDefault="00082AD0" w:rsidP="00B1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D771" w14:textId="77777777" w:rsidR="00082AD0" w:rsidRDefault="00082AD0" w:rsidP="00B14F79">
      <w:pPr>
        <w:spacing w:after="0" w:line="240" w:lineRule="auto"/>
      </w:pPr>
      <w:r>
        <w:separator/>
      </w:r>
    </w:p>
  </w:footnote>
  <w:footnote w:type="continuationSeparator" w:id="0">
    <w:p w14:paraId="3534514D" w14:textId="77777777" w:rsidR="00082AD0" w:rsidRDefault="00082AD0" w:rsidP="00B14F79">
      <w:pPr>
        <w:spacing w:after="0" w:line="240" w:lineRule="auto"/>
      </w:pPr>
      <w:r>
        <w:continuationSeparator/>
      </w:r>
    </w:p>
  </w:footnote>
  <w:footnote w:id="1">
    <w:p w14:paraId="1BB6CD30" w14:textId="052176DC" w:rsidR="005B0BED" w:rsidRPr="00722902" w:rsidRDefault="005B0BED" w:rsidP="00FA0CE2">
      <w:pPr>
        <w:pStyle w:val="Textodenotaderodap"/>
        <w:rPr>
          <w:rFonts w:ascii="Arial" w:hAnsi="Arial" w:cs="Arial"/>
        </w:rPr>
      </w:pPr>
      <w:r w:rsidRPr="003B709B">
        <w:rPr>
          <w:rStyle w:val="Refdenotaderodap"/>
        </w:rPr>
        <w:sym w:font="Symbol" w:char="F02A"/>
      </w:r>
      <w:r w:rsidRPr="003B709B">
        <w:t xml:space="preserve"> </w:t>
      </w:r>
      <w:r w:rsidR="003B709B" w:rsidRPr="00722902">
        <w:rPr>
          <w:rFonts w:ascii="Arial" w:hAnsi="Arial" w:cs="Arial"/>
          <w:b/>
        </w:rPr>
        <w:t>Notas</w:t>
      </w:r>
      <w:r w:rsidRPr="00722902">
        <w:rPr>
          <w:rFonts w:ascii="Arial" w:hAnsi="Arial" w:cs="Arial"/>
          <w:b/>
        </w:rPr>
        <w:t xml:space="preserve"> da Biblioteca:</w:t>
      </w:r>
    </w:p>
    <w:p w14:paraId="1BB6CD31" w14:textId="4C295FCD" w:rsidR="005B0BED" w:rsidRPr="00722902" w:rsidRDefault="005B0BED" w:rsidP="00916A27">
      <w:pPr>
        <w:pStyle w:val="PargrafodaLista"/>
        <w:numPr>
          <w:ilvl w:val="0"/>
          <w:numId w:val="9"/>
        </w:numPr>
        <w:spacing w:after="0" w:line="240" w:lineRule="auto"/>
        <w:ind w:left="426" w:hanging="284"/>
        <w:rPr>
          <w:rFonts w:ascii="Arial" w:hAnsi="Arial" w:cs="Arial"/>
          <w:sz w:val="20"/>
          <w:szCs w:val="20"/>
        </w:rPr>
      </w:pPr>
      <w:r w:rsidRPr="00722902">
        <w:rPr>
          <w:rFonts w:ascii="Arial" w:hAnsi="Arial" w:cs="Arial"/>
          <w:sz w:val="20"/>
          <w:szCs w:val="20"/>
        </w:rPr>
        <w:t>Este texto não substitui o publicado no periódico</w:t>
      </w:r>
      <w:r w:rsidR="00925883" w:rsidRPr="00722902">
        <w:rPr>
          <w:rFonts w:ascii="Arial" w:hAnsi="Arial" w:cs="Arial"/>
          <w:sz w:val="20"/>
          <w:szCs w:val="20"/>
        </w:rPr>
        <w:t>:</w:t>
      </w:r>
      <w:r w:rsidRPr="00722902">
        <w:rPr>
          <w:rFonts w:ascii="Arial" w:hAnsi="Arial" w:cs="Arial"/>
          <w:sz w:val="20"/>
          <w:szCs w:val="20"/>
        </w:rPr>
        <w:t xml:space="preserve"> </w:t>
      </w:r>
      <w:hyperlink r:id="rId1" w:history="1">
        <w:r w:rsidRPr="00722902">
          <w:rPr>
            <w:rStyle w:val="Hyperlink"/>
            <w:rFonts w:ascii="Arial" w:hAnsi="Arial" w:cs="Arial"/>
            <w:b/>
            <w:sz w:val="20"/>
            <w:szCs w:val="20"/>
          </w:rPr>
          <w:t>Atos Oficiais do Tribunal de Contas do Estado do Paraná</w:t>
        </w:r>
        <w:r w:rsidRPr="00722902">
          <w:rPr>
            <w:rStyle w:val="Hyperlink"/>
            <w:rFonts w:ascii="Arial" w:hAnsi="Arial" w:cs="Arial"/>
            <w:sz w:val="20"/>
            <w:szCs w:val="20"/>
          </w:rPr>
          <w:t>, Curitiba, PR, n. 79, 15 dez. 2006, p. 103-104</w:t>
        </w:r>
      </w:hyperlink>
      <w:r w:rsidRPr="00722902">
        <w:rPr>
          <w:rFonts w:ascii="Arial" w:hAnsi="Arial" w:cs="Arial"/>
          <w:sz w:val="20"/>
          <w:szCs w:val="20"/>
        </w:rPr>
        <w:t>.</w:t>
      </w:r>
    </w:p>
    <w:p w14:paraId="1BB6CD32" w14:textId="02E2C148" w:rsidR="005B0BED" w:rsidRPr="00722902" w:rsidRDefault="005B0BED" w:rsidP="00916A27">
      <w:pPr>
        <w:pStyle w:val="PargrafodaLista"/>
        <w:numPr>
          <w:ilvl w:val="0"/>
          <w:numId w:val="9"/>
        </w:numPr>
        <w:spacing w:after="0" w:line="240" w:lineRule="auto"/>
        <w:ind w:left="426" w:hanging="284"/>
        <w:rPr>
          <w:rFonts w:ascii="Arial" w:hAnsi="Arial" w:cs="Arial"/>
          <w:b/>
          <w:bCs/>
          <w:sz w:val="20"/>
          <w:szCs w:val="20"/>
        </w:rPr>
      </w:pPr>
      <w:r w:rsidRPr="00722902">
        <w:rPr>
          <w:rFonts w:ascii="Arial" w:hAnsi="Arial" w:cs="Arial"/>
          <w:sz w:val="20"/>
          <w:szCs w:val="20"/>
        </w:rPr>
        <w:t xml:space="preserve">Origem: </w:t>
      </w:r>
      <w:r w:rsidRPr="00722902">
        <w:rPr>
          <w:rFonts w:ascii="Arial" w:hAnsi="Arial" w:cs="Arial"/>
          <w:bCs/>
          <w:sz w:val="20"/>
          <w:szCs w:val="20"/>
        </w:rPr>
        <w:t xml:space="preserve">Processo n. </w:t>
      </w:r>
      <w:r w:rsidRPr="00722902">
        <w:rPr>
          <w:rFonts w:ascii="Arial" w:hAnsi="Arial" w:cs="Arial"/>
          <w:sz w:val="20"/>
          <w:szCs w:val="20"/>
        </w:rPr>
        <w:t xml:space="preserve">57735-7/06 - </w:t>
      </w:r>
      <w:hyperlink r:id="rId2" w:history="1">
        <w:r w:rsidRPr="00722902">
          <w:rPr>
            <w:rStyle w:val="Hyperlink"/>
            <w:rFonts w:ascii="Arial" w:hAnsi="Arial" w:cs="Arial"/>
            <w:bCs/>
            <w:sz w:val="20"/>
            <w:szCs w:val="20"/>
          </w:rPr>
          <w:t xml:space="preserve">Acórdão n. </w:t>
        </w:r>
        <w:r w:rsidRPr="00722902">
          <w:rPr>
            <w:rStyle w:val="Hyperlink"/>
            <w:rFonts w:ascii="Arial" w:hAnsi="Arial" w:cs="Arial"/>
            <w:sz w:val="20"/>
            <w:szCs w:val="20"/>
          </w:rPr>
          <w:t>1848/06</w:t>
        </w:r>
        <w:r w:rsidRPr="00722902">
          <w:rPr>
            <w:rStyle w:val="Hyperlink"/>
            <w:rFonts w:ascii="Arial" w:hAnsi="Arial" w:cs="Arial"/>
            <w:bCs/>
            <w:sz w:val="20"/>
            <w:szCs w:val="20"/>
          </w:rPr>
          <w:t xml:space="preserve"> – Tribunal Pleno</w:t>
        </w:r>
      </w:hyperlink>
      <w:r w:rsidRPr="00722902">
        <w:rPr>
          <w:rFonts w:ascii="Arial" w:hAnsi="Arial" w:cs="Arial"/>
          <w:bCs/>
          <w:sz w:val="20"/>
          <w:szCs w:val="20"/>
        </w:rPr>
        <w:t>.</w:t>
      </w:r>
    </w:p>
    <w:p w14:paraId="1BB6CD3A" w14:textId="1CE9F1B3" w:rsidR="005B0BED" w:rsidRPr="00722902" w:rsidRDefault="005B0BED" w:rsidP="00916A27">
      <w:pPr>
        <w:pStyle w:val="PargrafodaLista"/>
        <w:numPr>
          <w:ilvl w:val="0"/>
          <w:numId w:val="9"/>
        </w:numPr>
        <w:spacing w:after="0" w:line="240" w:lineRule="auto"/>
        <w:ind w:left="426" w:hanging="284"/>
        <w:rPr>
          <w:rFonts w:ascii="Arial" w:hAnsi="Arial" w:cs="Arial"/>
          <w:sz w:val="20"/>
          <w:szCs w:val="20"/>
          <w:u w:val="single"/>
        </w:rPr>
      </w:pPr>
      <w:r w:rsidRPr="00722902">
        <w:rPr>
          <w:rFonts w:ascii="Arial" w:hAnsi="Arial" w:cs="Arial"/>
          <w:b/>
          <w:bCs/>
          <w:sz w:val="20"/>
          <w:szCs w:val="20"/>
        </w:rPr>
        <w:t>Revoga:</w:t>
      </w:r>
      <w:r w:rsidRPr="00722902">
        <w:rPr>
          <w:rFonts w:ascii="Arial" w:hAnsi="Arial" w:cs="Arial"/>
          <w:sz w:val="20"/>
          <w:szCs w:val="20"/>
        </w:rPr>
        <w:t xml:space="preserve"> </w:t>
      </w:r>
      <w:hyperlink r:id="rId3" w:history="1">
        <w:r w:rsidRPr="00722902">
          <w:rPr>
            <w:rStyle w:val="Hyperlink"/>
            <w:rFonts w:ascii="Arial" w:hAnsi="Arial" w:cs="Arial"/>
            <w:sz w:val="20"/>
            <w:szCs w:val="20"/>
          </w:rPr>
          <w:t>Instrução Técnica n. 49, de 23 de janeiro de 2006</w:t>
        </w:r>
      </w:hyperlink>
      <w:r w:rsidRPr="00722902">
        <w:rPr>
          <w:rStyle w:val="Hyperlink"/>
          <w:rFonts w:ascii="Arial" w:hAnsi="Arial" w:cs="Arial"/>
          <w:color w:val="auto"/>
          <w:sz w:val="20"/>
          <w:szCs w:val="20"/>
        </w:rPr>
        <w:t xml:space="preserve"> </w:t>
      </w:r>
      <w:r w:rsidRPr="00722902">
        <w:rPr>
          <w:rFonts w:ascii="Arial" w:hAnsi="Arial" w:cs="Arial"/>
          <w:sz w:val="20"/>
          <w:szCs w:val="20"/>
        </w:rPr>
        <w:t>– TCEPR.</w:t>
      </w:r>
    </w:p>
    <w:p w14:paraId="1D0CC480" w14:textId="20B50889" w:rsidR="00AC3743" w:rsidRPr="00916A27" w:rsidRDefault="00AC3743" w:rsidP="00916A27">
      <w:pPr>
        <w:pStyle w:val="PargrafodaLista"/>
        <w:numPr>
          <w:ilvl w:val="0"/>
          <w:numId w:val="9"/>
        </w:numPr>
        <w:spacing w:after="0" w:line="240" w:lineRule="auto"/>
        <w:ind w:left="426" w:hanging="284"/>
        <w:rPr>
          <w:rFonts w:ascii="Arial" w:hAnsi="Arial" w:cs="Arial"/>
          <w:sz w:val="20"/>
          <w:szCs w:val="20"/>
          <w:u w:val="single"/>
        </w:rPr>
      </w:pPr>
      <w:r w:rsidRPr="00722902">
        <w:rPr>
          <w:rFonts w:ascii="Arial" w:hAnsi="Arial" w:cs="Arial"/>
          <w:b/>
          <w:sz w:val="20"/>
          <w:szCs w:val="20"/>
        </w:rPr>
        <w:t>Ver também</w:t>
      </w:r>
      <w:r w:rsidRPr="00722902">
        <w:rPr>
          <w:rFonts w:ascii="Arial" w:hAnsi="Arial" w:cs="Arial"/>
          <w:sz w:val="20"/>
          <w:szCs w:val="20"/>
        </w:rPr>
        <w:t xml:space="preserve">: </w:t>
      </w:r>
      <w:hyperlink r:id="rId4" w:history="1">
        <w:r w:rsidR="00722902" w:rsidRPr="00722902">
          <w:rPr>
            <w:rStyle w:val="Hyperlink"/>
            <w:rFonts w:ascii="Arial" w:hAnsi="Arial" w:cs="Arial"/>
            <w:sz w:val="20"/>
            <w:szCs w:val="20"/>
          </w:rPr>
          <w:t>Provimento n. 47, de 20 de junho de 2002</w:t>
        </w:r>
      </w:hyperlink>
      <w:r w:rsidR="00722902" w:rsidRPr="00722902">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CD2C" w14:textId="77777777" w:rsidR="00B14F79" w:rsidRPr="004D1819" w:rsidRDefault="00FA0CE2" w:rsidP="00B54B6E">
    <w:pPr>
      <w:keepLines/>
      <w:spacing w:before="360" w:after="120" w:line="240" w:lineRule="auto"/>
      <w:jc w:val="center"/>
      <w:rPr>
        <w:rFonts w:ascii="Arial" w:hAnsi="Arial" w:cs="Arial"/>
        <w:b/>
        <w:sz w:val="28"/>
        <w:szCs w:val="28"/>
      </w:rPr>
    </w:pPr>
    <w:bookmarkStart w:id="0" w:name="_Hlk503268480"/>
    <w:bookmarkStart w:id="1" w:name="_Hlk503268481"/>
    <w:bookmarkStart w:id="2" w:name="_Hlk503268482"/>
    <w:bookmarkStart w:id="3" w:name="_Hlk503268491"/>
    <w:bookmarkStart w:id="4" w:name="_Hlk503268492"/>
    <w:bookmarkStart w:id="5" w:name="_Hlk503268493"/>
    <w:r>
      <w:rPr>
        <w:noProof/>
      </w:rPr>
      <w:drawing>
        <wp:anchor distT="0" distB="0" distL="114300" distR="114300" simplePos="0" relativeHeight="251659264" behindDoc="0" locked="0" layoutInCell="1" allowOverlap="1" wp14:anchorId="1BB6CD2E" wp14:editId="1BB6CD2F">
          <wp:simplePos x="0" y="0"/>
          <wp:positionH relativeFrom="column">
            <wp:posOffset>158750</wp:posOffset>
          </wp:positionH>
          <wp:positionV relativeFrom="paragraph">
            <wp:posOffset>88265</wp:posOffset>
          </wp:positionV>
          <wp:extent cx="559435" cy="655320"/>
          <wp:effectExtent l="0" t="0" r="0" b="0"/>
          <wp:wrapNone/>
          <wp:docPr id="2" name="Imagem 1"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79" w:rsidRPr="004D1819">
      <w:rPr>
        <w:rFonts w:ascii="Arial" w:hAnsi="Arial" w:cs="Arial"/>
        <w:b/>
        <w:sz w:val="28"/>
        <w:szCs w:val="28"/>
      </w:rPr>
      <w:t>TRIBUNAL DE CONTAS DO ESTADO DO PARANÁ</w:t>
    </w:r>
  </w:p>
  <w:bookmarkEnd w:id="0"/>
  <w:bookmarkEnd w:id="1"/>
  <w:bookmarkEnd w:id="2"/>
  <w:bookmarkEnd w:id="3"/>
  <w:bookmarkEnd w:id="4"/>
  <w:bookmarkEnd w:id="5"/>
  <w:p w14:paraId="1BB6CD2D" w14:textId="53325581" w:rsidR="00B14F79" w:rsidRPr="00B14F79" w:rsidRDefault="00B14F79" w:rsidP="0015080C">
    <w:pPr>
      <w:keepLines/>
      <w:spacing w:before="120" w:after="0" w:line="240" w:lineRule="auto"/>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CE5"/>
    <w:multiLevelType w:val="hybridMultilevel"/>
    <w:tmpl w:val="7318DA22"/>
    <w:lvl w:ilvl="0" w:tplc="DAA806B8">
      <w:start w:val="1"/>
      <w:numFmt w:val="lowerLetter"/>
      <w:lvlText w:val="%1)"/>
      <w:lvlJc w:val="left"/>
      <w:pPr>
        <w:tabs>
          <w:tab w:val="num" w:pos="720"/>
        </w:tabs>
        <w:ind w:left="360" w:hanging="360"/>
      </w:pPr>
      <w:rPr>
        <w:rFonts w:hint="default"/>
        <w:b w:val="0"/>
        <w:i w:val="0"/>
        <w:iCs/>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A8949D2"/>
    <w:multiLevelType w:val="hybridMultilevel"/>
    <w:tmpl w:val="8A4E3DF6"/>
    <w:lvl w:ilvl="0" w:tplc="A2A41D2A">
      <w:start w:val="1"/>
      <w:numFmt w:val="lowerLetter"/>
      <w:pStyle w:val="m-3"/>
      <w:lvlText w:val="%1)"/>
      <w:lvlJc w:val="left"/>
      <w:pPr>
        <w:tabs>
          <w:tab w:val="num" w:pos="360"/>
        </w:tabs>
        <w:ind w:left="360" w:hanging="360"/>
      </w:pPr>
      <w:rPr>
        <w:rFonts w:ascii="Arial" w:hAnsi="Arial" w:cs="Times New Roman" w:hint="default"/>
        <w:b w:val="0"/>
        <w:i w:val="0"/>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24D41D3B"/>
    <w:multiLevelType w:val="hybridMultilevel"/>
    <w:tmpl w:val="E370C4B2"/>
    <w:lvl w:ilvl="0" w:tplc="8ECC8D06">
      <w:start w:val="1"/>
      <w:numFmt w:val="lowerLetter"/>
      <w:lvlText w:val="%1)"/>
      <w:lvlJc w:val="left"/>
      <w:pPr>
        <w:ind w:left="1854" w:hanging="360"/>
      </w:pPr>
      <w:rPr>
        <w:rFonts w:hint="default"/>
        <w:b w:val="0"/>
        <w:i w:val="0"/>
        <w:i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46BD759A"/>
    <w:multiLevelType w:val="hybridMultilevel"/>
    <w:tmpl w:val="74F8DC7E"/>
    <w:lvl w:ilvl="0" w:tplc="8B141678">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15:restartNumberingAfterBreak="0">
    <w:nsid w:val="4DD36554"/>
    <w:multiLevelType w:val="hybridMultilevel"/>
    <w:tmpl w:val="7A5209EA"/>
    <w:lvl w:ilvl="0" w:tplc="A82ACC0A">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B05D04"/>
    <w:multiLevelType w:val="hybridMultilevel"/>
    <w:tmpl w:val="B652FC64"/>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15:restartNumberingAfterBreak="0">
    <w:nsid w:val="57540C66"/>
    <w:multiLevelType w:val="hybridMultilevel"/>
    <w:tmpl w:val="3450705C"/>
    <w:lvl w:ilvl="0" w:tplc="CB645DCE">
      <w:start w:val="1"/>
      <w:numFmt w:val="upperRoman"/>
      <w:lvlText w:val="%1 - "/>
      <w:lvlJc w:val="left"/>
      <w:pPr>
        <w:tabs>
          <w:tab w:val="num" w:pos="720"/>
        </w:tabs>
        <w:ind w:left="-3" w:firstLine="3"/>
      </w:pPr>
      <w:rPr>
        <w:rFonts w:ascii="Arial" w:hAnsi="Arial" w:hint="default"/>
        <w:b w:val="0"/>
        <w:i w:val="0"/>
        <w:sz w:val="24"/>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15:restartNumberingAfterBreak="0">
    <w:nsid w:val="6DB80555"/>
    <w:multiLevelType w:val="hybridMultilevel"/>
    <w:tmpl w:val="B3A07920"/>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708D1B31"/>
    <w:multiLevelType w:val="hybridMultilevel"/>
    <w:tmpl w:val="02B06C0C"/>
    <w:lvl w:ilvl="0" w:tplc="928473BE">
      <w:start w:val="1"/>
      <w:numFmt w:val="lowerLetter"/>
      <w:lvlText w:val="%1)"/>
      <w:lvlJc w:val="left"/>
      <w:pPr>
        <w:tabs>
          <w:tab w:val="num" w:pos="360"/>
        </w:tabs>
        <w:ind w:left="360" w:hanging="360"/>
      </w:pPr>
      <w:rPr>
        <w:rFonts w:hint="default"/>
        <w:b w:val="0"/>
        <w:i w:val="0"/>
        <w:iCs/>
      </w:rPr>
    </w:lvl>
    <w:lvl w:ilvl="1" w:tplc="04160019">
      <w:start w:val="1"/>
      <w:numFmt w:val="lowerLetter"/>
      <w:lvlText w:val="%2."/>
      <w:lvlJc w:val="left"/>
      <w:pPr>
        <w:tabs>
          <w:tab w:val="num" w:pos="589"/>
        </w:tabs>
        <w:ind w:left="589" w:hanging="360"/>
      </w:pPr>
      <w:rPr>
        <w:rFonts w:cs="Times New Roman"/>
      </w:rPr>
    </w:lvl>
    <w:lvl w:ilvl="2" w:tplc="0416001B">
      <w:start w:val="1"/>
      <w:numFmt w:val="lowerRoman"/>
      <w:lvlText w:val="%3."/>
      <w:lvlJc w:val="right"/>
      <w:pPr>
        <w:tabs>
          <w:tab w:val="num" w:pos="1309"/>
        </w:tabs>
        <w:ind w:left="1309" w:hanging="180"/>
      </w:pPr>
      <w:rPr>
        <w:rFonts w:cs="Times New Roman"/>
      </w:rPr>
    </w:lvl>
    <w:lvl w:ilvl="3" w:tplc="0416000F">
      <w:start w:val="1"/>
      <w:numFmt w:val="decimal"/>
      <w:lvlText w:val="%4."/>
      <w:lvlJc w:val="left"/>
      <w:pPr>
        <w:tabs>
          <w:tab w:val="num" w:pos="2029"/>
        </w:tabs>
        <w:ind w:left="2029" w:hanging="360"/>
      </w:pPr>
      <w:rPr>
        <w:rFonts w:cs="Times New Roman"/>
      </w:rPr>
    </w:lvl>
    <w:lvl w:ilvl="4" w:tplc="04160019">
      <w:start w:val="1"/>
      <w:numFmt w:val="lowerLetter"/>
      <w:lvlText w:val="%5."/>
      <w:lvlJc w:val="left"/>
      <w:pPr>
        <w:tabs>
          <w:tab w:val="num" w:pos="2749"/>
        </w:tabs>
        <w:ind w:left="2749" w:hanging="360"/>
      </w:pPr>
      <w:rPr>
        <w:rFonts w:cs="Times New Roman"/>
      </w:rPr>
    </w:lvl>
    <w:lvl w:ilvl="5" w:tplc="0416001B">
      <w:start w:val="1"/>
      <w:numFmt w:val="lowerRoman"/>
      <w:lvlText w:val="%6."/>
      <w:lvlJc w:val="right"/>
      <w:pPr>
        <w:tabs>
          <w:tab w:val="num" w:pos="3469"/>
        </w:tabs>
        <w:ind w:left="3469" w:hanging="180"/>
      </w:pPr>
      <w:rPr>
        <w:rFonts w:cs="Times New Roman"/>
      </w:rPr>
    </w:lvl>
    <w:lvl w:ilvl="6" w:tplc="0416000F">
      <w:start w:val="1"/>
      <w:numFmt w:val="decimal"/>
      <w:lvlText w:val="%7."/>
      <w:lvlJc w:val="left"/>
      <w:pPr>
        <w:tabs>
          <w:tab w:val="num" w:pos="4189"/>
        </w:tabs>
        <w:ind w:left="4189" w:hanging="360"/>
      </w:pPr>
      <w:rPr>
        <w:rFonts w:cs="Times New Roman"/>
      </w:rPr>
    </w:lvl>
    <w:lvl w:ilvl="7" w:tplc="04160019">
      <w:start w:val="1"/>
      <w:numFmt w:val="lowerLetter"/>
      <w:lvlText w:val="%8."/>
      <w:lvlJc w:val="left"/>
      <w:pPr>
        <w:tabs>
          <w:tab w:val="num" w:pos="4909"/>
        </w:tabs>
        <w:ind w:left="4909" w:hanging="360"/>
      </w:pPr>
      <w:rPr>
        <w:rFonts w:cs="Times New Roman"/>
      </w:rPr>
    </w:lvl>
    <w:lvl w:ilvl="8" w:tplc="0416001B">
      <w:start w:val="1"/>
      <w:numFmt w:val="lowerRoman"/>
      <w:lvlText w:val="%9."/>
      <w:lvlJc w:val="right"/>
      <w:pPr>
        <w:tabs>
          <w:tab w:val="num" w:pos="5629"/>
        </w:tabs>
        <w:ind w:left="5629" w:hanging="180"/>
      </w:pPr>
      <w:rPr>
        <w:rFonts w:cs="Times New Roman"/>
      </w:rPr>
    </w:lvl>
  </w:abstractNum>
  <w:num w:numId="1" w16cid:durableId="719940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466980">
    <w:abstractNumId w:val="6"/>
  </w:num>
  <w:num w:numId="3" w16cid:durableId="1586838248">
    <w:abstractNumId w:val="5"/>
  </w:num>
  <w:num w:numId="4" w16cid:durableId="1746032615">
    <w:abstractNumId w:val="7"/>
  </w:num>
  <w:num w:numId="5" w16cid:durableId="1249728998">
    <w:abstractNumId w:val="3"/>
  </w:num>
  <w:num w:numId="6" w16cid:durableId="719478354">
    <w:abstractNumId w:val="2"/>
  </w:num>
  <w:num w:numId="7" w16cid:durableId="1641954752">
    <w:abstractNumId w:val="0"/>
  </w:num>
  <w:num w:numId="8" w16cid:durableId="1915577954">
    <w:abstractNumId w:val="8"/>
  </w:num>
  <w:num w:numId="9" w16cid:durableId="1230380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9"/>
    <w:rsid w:val="00004E9A"/>
    <w:rsid w:val="00082AD0"/>
    <w:rsid w:val="000B3FDA"/>
    <w:rsid w:val="0015080C"/>
    <w:rsid w:val="0015408B"/>
    <w:rsid w:val="001B125D"/>
    <w:rsid w:val="001C350C"/>
    <w:rsid w:val="001D193A"/>
    <w:rsid w:val="00200794"/>
    <w:rsid w:val="002D7D1B"/>
    <w:rsid w:val="00322DD9"/>
    <w:rsid w:val="003B709B"/>
    <w:rsid w:val="003C536B"/>
    <w:rsid w:val="004842AD"/>
    <w:rsid w:val="00500192"/>
    <w:rsid w:val="00542D72"/>
    <w:rsid w:val="00566C1B"/>
    <w:rsid w:val="005B0BED"/>
    <w:rsid w:val="005B2563"/>
    <w:rsid w:val="00602C4B"/>
    <w:rsid w:val="00625A42"/>
    <w:rsid w:val="00660278"/>
    <w:rsid w:val="006D3E28"/>
    <w:rsid w:val="00722902"/>
    <w:rsid w:val="00737653"/>
    <w:rsid w:val="00884CB1"/>
    <w:rsid w:val="00916A27"/>
    <w:rsid w:val="00925883"/>
    <w:rsid w:val="00AC3743"/>
    <w:rsid w:val="00B03AC1"/>
    <w:rsid w:val="00B14F79"/>
    <w:rsid w:val="00B54B6E"/>
    <w:rsid w:val="00BC0B9A"/>
    <w:rsid w:val="00C16B53"/>
    <w:rsid w:val="00C53ACC"/>
    <w:rsid w:val="00CB6DBC"/>
    <w:rsid w:val="00CD2F82"/>
    <w:rsid w:val="00E000D2"/>
    <w:rsid w:val="00E774EF"/>
    <w:rsid w:val="00E91299"/>
    <w:rsid w:val="00FA0C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CC92"/>
  <w15:chartTrackingRefBased/>
  <w15:docId w15:val="{9E7F6DFE-BE79-438D-8F7C-C49A3725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7">
    <w:name w:val="heading 7"/>
    <w:basedOn w:val="Normal"/>
    <w:next w:val="Normal"/>
    <w:link w:val="Ttulo7Char"/>
    <w:uiPriority w:val="99"/>
    <w:semiHidden/>
    <w:unhideWhenUsed/>
    <w:qFormat/>
    <w:rsid w:val="00FA0CE2"/>
    <w:pPr>
      <w:keepNext/>
      <w:pBdr>
        <w:top w:val="single" w:sz="6" w:space="1" w:color="auto"/>
        <w:left w:val="single" w:sz="6" w:space="1" w:color="auto"/>
        <w:bottom w:val="single" w:sz="6" w:space="1" w:color="auto"/>
        <w:right w:val="single" w:sz="6" w:space="1" w:color="auto"/>
      </w:pBdr>
      <w:shd w:val="pct5" w:color="auto" w:fill="auto"/>
      <w:tabs>
        <w:tab w:val="center" w:pos="1418"/>
        <w:tab w:val="center" w:pos="4253"/>
        <w:tab w:val="center" w:pos="7088"/>
      </w:tabs>
      <w:spacing w:before="120" w:after="120" w:line="240" w:lineRule="auto"/>
      <w:jc w:val="right"/>
      <w:outlineLvl w:val="6"/>
    </w:pPr>
    <w:rPr>
      <w:rFonts w:ascii="Tahoma" w:eastAsia="Times New Roman" w:hAnsi="Tahoma" w:cs="Tahoma"/>
      <w:sz w:val="72"/>
      <w:szCs w:val="20"/>
      <w:lang w:eastAsia="pt-BR"/>
    </w:rPr>
  </w:style>
  <w:style w:type="paragraph" w:styleId="Ttulo9">
    <w:name w:val="heading 9"/>
    <w:basedOn w:val="Normal"/>
    <w:next w:val="Normal"/>
    <w:link w:val="Ttulo9Char"/>
    <w:uiPriority w:val="99"/>
    <w:semiHidden/>
    <w:unhideWhenUsed/>
    <w:qFormat/>
    <w:rsid w:val="00FA0CE2"/>
    <w:pPr>
      <w:keepNext/>
      <w:spacing w:after="0" w:line="360" w:lineRule="auto"/>
      <w:ind w:left="6373"/>
      <w:jc w:val="both"/>
      <w:outlineLvl w:val="8"/>
    </w:pPr>
    <w:rPr>
      <w:rFonts w:ascii="Tahoma" w:eastAsia="Times New Roman" w:hAnsi="Tahoma" w:cs="Tahoma"/>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4F79"/>
    <w:pPr>
      <w:tabs>
        <w:tab w:val="center" w:pos="4252"/>
        <w:tab w:val="right" w:pos="8504"/>
      </w:tabs>
    </w:pPr>
  </w:style>
  <w:style w:type="character" w:customStyle="1" w:styleId="CabealhoChar">
    <w:name w:val="Cabeçalho Char"/>
    <w:basedOn w:val="Fontepargpadro"/>
    <w:link w:val="Cabealho"/>
    <w:uiPriority w:val="99"/>
    <w:rsid w:val="00B14F79"/>
    <w:rPr>
      <w:sz w:val="22"/>
      <w:szCs w:val="22"/>
      <w:lang w:eastAsia="en-US"/>
    </w:rPr>
  </w:style>
  <w:style w:type="paragraph" w:styleId="Rodap">
    <w:name w:val="footer"/>
    <w:basedOn w:val="Normal"/>
    <w:link w:val="RodapChar"/>
    <w:uiPriority w:val="99"/>
    <w:unhideWhenUsed/>
    <w:rsid w:val="00B14F79"/>
    <w:pPr>
      <w:tabs>
        <w:tab w:val="center" w:pos="4252"/>
        <w:tab w:val="right" w:pos="8504"/>
      </w:tabs>
    </w:pPr>
  </w:style>
  <w:style w:type="character" w:customStyle="1" w:styleId="RodapChar">
    <w:name w:val="Rodapé Char"/>
    <w:basedOn w:val="Fontepargpadro"/>
    <w:link w:val="Rodap"/>
    <w:uiPriority w:val="99"/>
    <w:rsid w:val="00B14F79"/>
    <w:rPr>
      <w:sz w:val="22"/>
      <w:szCs w:val="22"/>
      <w:lang w:eastAsia="en-US"/>
    </w:rPr>
  </w:style>
  <w:style w:type="character" w:customStyle="1" w:styleId="Ttulo7Char">
    <w:name w:val="Título 7 Char"/>
    <w:basedOn w:val="Fontepargpadro"/>
    <w:link w:val="Ttulo7"/>
    <w:uiPriority w:val="99"/>
    <w:semiHidden/>
    <w:rsid w:val="00FA0CE2"/>
    <w:rPr>
      <w:rFonts w:ascii="Tahoma" w:eastAsia="Times New Roman" w:hAnsi="Tahoma" w:cs="Tahoma"/>
      <w:sz w:val="72"/>
      <w:shd w:val="pct5" w:color="auto" w:fill="auto"/>
    </w:rPr>
  </w:style>
  <w:style w:type="character" w:customStyle="1" w:styleId="Ttulo9Char">
    <w:name w:val="Título 9 Char"/>
    <w:basedOn w:val="Fontepargpadro"/>
    <w:link w:val="Ttulo9"/>
    <w:uiPriority w:val="99"/>
    <w:semiHidden/>
    <w:rsid w:val="00FA0CE2"/>
    <w:rPr>
      <w:rFonts w:ascii="Tahoma" w:eastAsia="Times New Roman" w:hAnsi="Tahoma" w:cs="Tahoma"/>
      <w:b/>
      <w:bCs/>
      <w:sz w:val="22"/>
    </w:rPr>
  </w:style>
  <w:style w:type="paragraph" w:styleId="Textodenotaderodap">
    <w:name w:val="footnote text"/>
    <w:basedOn w:val="Normal"/>
    <w:link w:val="TextodenotaderodapChar"/>
    <w:uiPriority w:val="99"/>
    <w:semiHidden/>
    <w:unhideWhenUsed/>
    <w:rsid w:val="00FA0C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0CE2"/>
    <w:rPr>
      <w:lang w:eastAsia="en-US"/>
    </w:rPr>
  </w:style>
  <w:style w:type="character" w:styleId="Refdenotaderodap">
    <w:name w:val="footnote reference"/>
    <w:uiPriority w:val="99"/>
    <w:semiHidden/>
    <w:unhideWhenUsed/>
    <w:rsid w:val="00FA0CE2"/>
    <w:rPr>
      <w:vertAlign w:val="superscript"/>
    </w:rPr>
  </w:style>
  <w:style w:type="paragraph" w:customStyle="1" w:styleId="Default">
    <w:name w:val="Default"/>
    <w:uiPriority w:val="99"/>
    <w:rsid w:val="00FA0CE2"/>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FA0CE2"/>
    <w:rPr>
      <w:color w:val="0000FF"/>
      <w:u w:val="single"/>
    </w:rPr>
  </w:style>
  <w:style w:type="paragraph" w:customStyle="1" w:styleId="c-1">
    <w:name w:val="c-1"/>
    <w:basedOn w:val="Normal"/>
    <w:uiPriority w:val="99"/>
    <w:rsid w:val="00FA0CE2"/>
    <w:pPr>
      <w:spacing w:before="120" w:after="120" w:line="360" w:lineRule="auto"/>
      <w:jc w:val="both"/>
    </w:pPr>
    <w:rPr>
      <w:rFonts w:ascii="Tahoma" w:eastAsia="Times New Roman" w:hAnsi="Tahoma"/>
      <w:szCs w:val="20"/>
      <w:lang w:eastAsia="pt-BR"/>
    </w:rPr>
  </w:style>
  <w:style w:type="paragraph" w:customStyle="1" w:styleId="m-3">
    <w:name w:val="m-3"/>
    <w:basedOn w:val="Normal"/>
    <w:uiPriority w:val="99"/>
    <w:rsid w:val="00FA0CE2"/>
    <w:pPr>
      <w:numPr>
        <w:numId w:val="1"/>
      </w:numPr>
      <w:spacing w:before="120" w:after="120" w:line="360" w:lineRule="auto"/>
      <w:jc w:val="both"/>
    </w:pPr>
    <w:rPr>
      <w:rFonts w:ascii="Tahoma" w:eastAsia="Times New Roman" w:hAnsi="Tahoma"/>
      <w:szCs w:val="20"/>
      <w:lang w:eastAsia="pt-BR"/>
    </w:rPr>
  </w:style>
  <w:style w:type="paragraph" w:styleId="Corpodetexto">
    <w:name w:val="Body Text"/>
    <w:basedOn w:val="Default"/>
    <w:next w:val="Default"/>
    <w:link w:val="CorpodetextoChar"/>
    <w:uiPriority w:val="99"/>
    <w:semiHidden/>
    <w:unhideWhenUsed/>
    <w:rsid w:val="00FA0CE2"/>
    <w:rPr>
      <w:rFonts w:ascii="TimesNewRomanPS-BoldMT" w:eastAsia="Times New Roman" w:hAnsi="TimesNewRomanPS-BoldMT" w:cs="Times New Roman"/>
      <w:color w:val="auto"/>
      <w:sz w:val="20"/>
      <w:lang w:eastAsia="pt-BR"/>
    </w:rPr>
  </w:style>
  <w:style w:type="character" w:customStyle="1" w:styleId="CorpodetextoChar">
    <w:name w:val="Corpo de texto Char"/>
    <w:basedOn w:val="Fontepargpadro"/>
    <w:link w:val="Corpodetexto"/>
    <w:uiPriority w:val="99"/>
    <w:semiHidden/>
    <w:rsid w:val="00FA0CE2"/>
    <w:rPr>
      <w:rFonts w:ascii="TimesNewRomanPS-BoldMT" w:eastAsia="Times New Roman" w:hAnsi="TimesNewRomanPS-BoldMT"/>
      <w:szCs w:val="24"/>
    </w:rPr>
  </w:style>
  <w:style w:type="paragraph" w:styleId="PargrafodaLista">
    <w:name w:val="List Paragraph"/>
    <w:basedOn w:val="Normal"/>
    <w:uiPriority w:val="34"/>
    <w:qFormat/>
    <w:rsid w:val="00FA0CE2"/>
    <w:pPr>
      <w:spacing w:after="200" w:line="276" w:lineRule="auto"/>
      <w:ind w:left="720"/>
      <w:contextualSpacing/>
    </w:pPr>
  </w:style>
  <w:style w:type="character" w:styleId="HiperlinkVisitado">
    <w:name w:val="FollowedHyperlink"/>
    <w:basedOn w:val="Fontepargpadro"/>
    <w:uiPriority w:val="99"/>
    <w:semiHidden/>
    <w:unhideWhenUsed/>
    <w:rsid w:val="00FA0CE2"/>
    <w:rPr>
      <w:color w:val="954F72" w:themeColor="followedHyperlink"/>
      <w:u w:val="single"/>
    </w:rPr>
  </w:style>
  <w:style w:type="character" w:styleId="MenoPendente">
    <w:name w:val="Unresolved Mention"/>
    <w:basedOn w:val="Fontepargpadro"/>
    <w:uiPriority w:val="99"/>
    <w:semiHidden/>
    <w:unhideWhenUsed/>
    <w:rsid w:val="00C5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7-de-6-de-dezembro-de-2007/1215/area/249" TargetMode="External"/><Relationship Id="rId13" Type="http://schemas.openxmlformats.org/officeDocument/2006/relationships/hyperlink" Target="http://www1.tce.pr.gov.br/conteudo/instrucao-tecnica-n&#186;-49-2006/1236/area/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prdce@tce.pr.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provimento-n%C2%BA-47-2002antigo-01-2002-dispoe-sobre-as-atividades-inerentes-a-p/1331/area/2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1.tce.pr.gov.br/conteudo/provimento-n%C2%BA-47-2002antigo-01-2002-dispoe-sobre-as-atividades-inerentes-a-p/1331/area/249" TargetMode="External"/><Relationship Id="rId4" Type="http://schemas.openxmlformats.org/officeDocument/2006/relationships/settings" Target="settings.xml"/><Relationship Id="rId9" Type="http://schemas.openxmlformats.org/officeDocument/2006/relationships/hyperlink" Target="https://www1.tce.pr.gov.br/conteudo/provimento-n%C2%BA-47-2002antigo-01-2002-dispoe-sobre-as-atividades-inerentes-a-p/1331/area/249"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tecnica-n&#186;-49-2006/1236/area/249" TargetMode="External"/><Relationship Id="rId2" Type="http://schemas.openxmlformats.org/officeDocument/2006/relationships/hyperlink" Target="https://www1.tce.pr.gov.br/multimidia/2006/12/pdf/00048983.pdf" TargetMode="External"/><Relationship Id="rId1" Type="http://schemas.openxmlformats.org/officeDocument/2006/relationships/hyperlink" Target="http://www1.tce.pr.gov.br/multimidia/2006/12/pdf/00000528.pdf" TargetMode="External"/><Relationship Id="rId4" Type="http://schemas.openxmlformats.org/officeDocument/2006/relationships/hyperlink" Target="https://www1.tce.pr.gov.br/conteudo/provimento-n%C2%BA-47-2002antigo-01-2002-dispoe-sobre-as-atividades-inerentes-a-p/133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569C-FAC2-444A-807C-0689B013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2478</Words>
  <Characters>13387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 Fonseca</cp:lastModifiedBy>
  <cp:revision>14</cp:revision>
  <dcterms:created xsi:type="dcterms:W3CDTF">2021-03-23T12:26:00Z</dcterms:created>
  <dcterms:modified xsi:type="dcterms:W3CDTF">2022-07-12T17:09:00Z</dcterms:modified>
</cp:coreProperties>
</file>