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FEF67" w14:textId="1E226883" w:rsidR="00985FED" w:rsidRDefault="00985FED" w:rsidP="00985FED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BD741C">
        <w:rPr>
          <w:rFonts w:ascii="Arial" w:hAnsi="Arial" w:cs="Arial"/>
          <w:b/>
          <w:bCs/>
          <w:color w:val="000000"/>
          <w:sz w:val="28"/>
          <w:szCs w:val="28"/>
        </w:rPr>
        <w:t>INSTRUÇÃO NORMATIVA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Nº 57/2011</w:t>
      </w:r>
      <w:r w:rsidR="00714AF8">
        <w:rPr>
          <w:rStyle w:val="Refdenotaderodap"/>
          <w:rFonts w:ascii="Arial" w:hAnsi="Arial" w:cs="Arial"/>
          <w:b/>
          <w:bCs/>
          <w:color w:val="000000"/>
          <w:sz w:val="28"/>
          <w:szCs w:val="28"/>
        </w:rPr>
        <w:footnoteReference w:id="1"/>
      </w:r>
    </w:p>
    <w:p w14:paraId="3A7FEF69" w14:textId="77777777" w:rsidR="00985FED" w:rsidRPr="00BD636F" w:rsidRDefault="00985FED" w:rsidP="00CE7E4C">
      <w:pPr>
        <w:jc w:val="right"/>
        <w:rPr>
          <w:color w:val="000000"/>
          <w:sz w:val="24"/>
          <w:szCs w:val="24"/>
        </w:rPr>
      </w:pPr>
      <w:r w:rsidRPr="00BD636F">
        <w:rPr>
          <w:color w:val="000000"/>
          <w:sz w:val="24"/>
          <w:szCs w:val="24"/>
        </w:rPr>
        <w:t> </w:t>
      </w:r>
    </w:p>
    <w:p w14:paraId="3A7FEF6A" w14:textId="77777777" w:rsidR="00985FED" w:rsidRPr="00104CC4" w:rsidRDefault="00985FED" w:rsidP="00CE7E4C">
      <w:pPr>
        <w:spacing w:before="360" w:after="360"/>
        <w:ind w:left="4536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104CC4">
        <w:rPr>
          <w:rFonts w:ascii="Arial" w:hAnsi="Arial" w:cs="Arial"/>
          <w:i/>
          <w:iCs/>
          <w:sz w:val="22"/>
          <w:szCs w:val="22"/>
        </w:rPr>
        <w:t>Dispõe sobre o acesso à internet via rede sem fio (wireless) no</w:t>
      </w:r>
      <w:r w:rsidRPr="00104CC4">
        <w:rPr>
          <w:rFonts w:ascii="Arial" w:hAnsi="Arial" w:cs="Arial"/>
          <w:i/>
          <w:iCs/>
          <w:color w:val="000000"/>
          <w:sz w:val="22"/>
          <w:szCs w:val="22"/>
        </w:rPr>
        <w:t xml:space="preserve"> Tribunal de Contas do Estado do Paraná, em conformidade com a Política de Segurança da Informação e Comunicações - PSIC.</w:t>
      </w:r>
    </w:p>
    <w:p w14:paraId="3A7FEF6B" w14:textId="77777777" w:rsidR="00985FED" w:rsidRDefault="00985FED" w:rsidP="00985FED">
      <w:pPr>
        <w:spacing w:line="230" w:lineRule="atLeast"/>
        <w:ind w:left="4536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A7FEF6D" w14:textId="11ADC96C" w:rsidR="00985FED" w:rsidRPr="00956BD1" w:rsidRDefault="00985FED" w:rsidP="00CE7E4C">
      <w:pPr>
        <w:spacing w:before="120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CE7E4C">
        <w:rPr>
          <w:rFonts w:ascii="Arial" w:hAnsi="Arial" w:cs="Arial"/>
          <w:color w:val="000000"/>
          <w:sz w:val="24"/>
          <w:szCs w:val="24"/>
        </w:rPr>
        <w:t>O</w:t>
      </w:r>
      <w:r w:rsidRPr="00956BD1">
        <w:rPr>
          <w:rFonts w:ascii="Arial" w:hAnsi="Arial" w:cs="Arial"/>
          <w:b/>
          <w:bCs/>
          <w:color w:val="000000"/>
          <w:sz w:val="24"/>
          <w:szCs w:val="24"/>
        </w:rPr>
        <w:t xml:space="preserve"> TRIBUNAL DE CONTAS DO ESTADO DO PARANÁ, </w:t>
      </w:r>
      <w:r w:rsidRPr="00956BD1">
        <w:rPr>
          <w:rFonts w:ascii="Arial" w:hAnsi="Arial" w:cs="Arial"/>
          <w:color w:val="000000"/>
          <w:sz w:val="24"/>
          <w:szCs w:val="24"/>
        </w:rPr>
        <w:t>no uso da atribuição que lhe confere o art.</w:t>
      </w:r>
      <w:r w:rsidRPr="00956BD1">
        <w:rPr>
          <w:rFonts w:ascii="Arial" w:hAnsi="Arial" w:cs="Arial"/>
          <w:b/>
          <w:bCs/>
          <w:color w:val="000000"/>
          <w:sz w:val="24"/>
          <w:szCs w:val="24"/>
        </w:rPr>
        <w:t> </w:t>
      </w:r>
      <w:r w:rsidRPr="00956BD1">
        <w:rPr>
          <w:rFonts w:ascii="Arial" w:hAnsi="Arial" w:cs="Arial"/>
          <w:color w:val="000000"/>
          <w:sz w:val="24"/>
          <w:szCs w:val="24"/>
        </w:rPr>
        <w:t xml:space="preserve">2º, I, da Lei Complementar nº 113, de 15 de dezembro de 2005, e nos termos do art. 193, do Regimento Interno c/c o art. 15, da </w:t>
      </w:r>
      <w:hyperlink r:id="rId8" w:history="1">
        <w:r w:rsidRPr="00C135DC">
          <w:rPr>
            <w:rStyle w:val="Hyperlink"/>
            <w:rFonts w:cs="Arial"/>
            <w:sz w:val="24"/>
            <w:szCs w:val="24"/>
          </w:rPr>
          <w:t>Resolução nº 23, de 2010</w:t>
        </w:r>
      </w:hyperlink>
      <w:r w:rsidRPr="00956BD1">
        <w:rPr>
          <w:rFonts w:ascii="Arial" w:hAnsi="Arial" w:cs="Arial"/>
          <w:color w:val="000000"/>
          <w:sz w:val="24"/>
          <w:szCs w:val="24"/>
        </w:rPr>
        <w:t xml:space="preserve">, </w:t>
      </w:r>
    </w:p>
    <w:p w14:paraId="3A7FEF6E" w14:textId="77777777" w:rsidR="00985FED" w:rsidRPr="00956BD1" w:rsidRDefault="00985FED" w:rsidP="00CE7E4C">
      <w:pPr>
        <w:spacing w:before="120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</w:p>
    <w:p w14:paraId="3A7FEF6F" w14:textId="77777777" w:rsidR="00985FED" w:rsidRPr="00956BD1" w:rsidRDefault="00985FED" w:rsidP="00CE7E4C">
      <w:pPr>
        <w:spacing w:before="120"/>
        <w:ind w:firstLine="1134"/>
        <w:jc w:val="both"/>
        <w:rPr>
          <w:b/>
          <w:color w:val="000000"/>
          <w:sz w:val="24"/>
          <w:szCs w:val="24"/>
        </w:rPr>
      </w:pPr>
      <w:r w:rsidRPr="00956BD1">
        <w:rPr>
          <w:rFonts w:ascii="Arial" w:hAnsi="Arial" w:cs="Arial"/>
          <w:b/>
          <w:color w:val="000000"/>
          <w:sz w:val="24"/>
          <w:szCs w:val="24"/>
        </w:rPr>
        <w:t>RESOLVE</w:t>
      </w:r>
    </w:p>
    <w:p w14:paraId="3A7FEF70" w14:textId="77777777" w:rsidR="00985FED" w:rsidRPr="00956BD1" w:rsidRDefault="00985FED" w:rsidP="00CE7E4C">
      <w:pPr>
        <w:spacing w:before="120"/>
        <w:ind w:firstLine="1134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A7FEF71" w14:textId="77777777" w:rsidR="00985FED" w:rsidRPr="00956BD1" w:rsidRDefault="00985FED" w:rsidP="00CE7E4C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956BD1">
        <w:rPr>
          <w:rFonts w:ascii="Arial" w:hAnsi="Arial" w:cs="Arial"/>
          <w:b/>
          <w:bCs/>
          <w:color w:val="000000"/>
          <w:sz w:val="24"/>
          <w:szCs w:val="24"/>
        </w:rPr>
        <w:t>Art. 1º</w:t>
      </w:r>
      <w:r w:rsidRPr="00956BD1">
        <w:rPr>
          <w:rFonts w:ascii="Arial" w:hAnsi="Arial" w:cs="Arial"/>
          <w:color w:val="000000"/>
          <w:sz w:val="24"/>
          <w:szCs w:val="24"/>
        </w:rPr>
        <w:t xml:space="preserve"> A presente Instrução Normativa integra o conjunto de normas referentes à Política de Segurança da Informação e Comunicações </w:t>
      </w:r>
      <w:r w:rsidRPr="00956BD1">
        <w:rPr>
          <w:rFonts w:ascii="Arial" w:hAnsi="Arial" w:cs="Arial"/>
          <w:sz w:val="24"/>
          <w:szCs w:val="24"/>
        </w:rPr>
        <w:t>do Tribunal de Contas do Estado do Paraná, e regulamenta o acesso à internet via rede sem fio (</w:t>
      </w:r>
      <w:r w:rsidRPr="00956BD1">
        <w:rPr>
          <w:rFonts w:ascii="Arial" w:hAnsi="Arial" w:cs="Arial"/>
          <w:i/>
          <w:iCs/>
          <w:sz w:val="24"/>
          <w:szCs w:val="24"/>
        </w:rPr>
        <w:t>wireless</w:t>
      </w:r>
      <w:r w:rsidRPr="00956BD1">
        <w:rPr>
          <w:rFonts w:ascii="Arial" w:hAnsi="Arial" w:cs="Arial"/>
          <w:sz w:val="24"/>
          <w:szCs w:val="24"/>
        </w:rPr>
        <w:t>) no Tribunal.</w:t>
      </w:r>
    </w:p>
    <w:p w14:paraId="3A7FEF72" w14:textId="77777777" w:rsidR="00985FED" w:rsidRPr="00956BD1" w:rsidRDefault="00985FED" w:rsidP="00CE7E4C">
      <w:pPr>
        <w:spacing w:before="120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956BD1">
        <w:rPr>
          <w:rFonts w:ascii="Arial" w:hAnsi="Arial" w:cs="Arial"/>
          <w:b/>
          <w:bCs/>
          <w:color w:val="000000"/>
          <w:sz w:val="24"/>
          <w:szCs w:val="24"/>
        </w:rPr>
        <w:t>Art. 2º</w:t>
      </w:r>
      <w:r w:rsidRPr="00956BD1">
        <w:rPr>
          <w:rFonts w:ascii="Arial" w:hAnsi="Arial" w:cs="Arial"/>
          <w:color w:val="000000"/>
          <w:sz w:val="24"/>
          <w:szCs w:val="24"/>
        </w:rPr>
        <w:t xml:space="preserve"> O Tribunal de Contas </w:t>
      </w:r>
      <w:r w:rsidRPr="00956BD1">
        <w:rPr>
          <w:rFonts w:ascii="Arial" w:hAnsi="Arial" w:cs="Arial"/>
          <w:sz w:val="24"/>
          <w:szCs w:val="24"/>
        </w:rPr>
        <w:t>poderá disponibilizar, em caso de justificada necessidade,</w:t>
      </w:r>
      <w:r w:rsidRPr="00956BD1">
        <w:rPr>
          <w:rFonts w:ascii="Arial" w:hAnsi="Arial" w:cs="Arial"/>
          <w:color w:val="000000"/>
          <w:sz w:val="24"/>
          <w:szCs w:val="24"/>
        </w:rPr>
        <w:t xml:space="preserve"> a cada </w:t>
      </w:r>
      <w:r w:rsidRPr="00956BD1">
        <w:rPr>
          <w:rFonts w:ascii="Arial" w:hAnsi="Arial" w:cs="Arial"/>
          <w:bCs/>
          <w:color w:val="000000"/>
          <w:sz w:val="24"/>
          <w:szCs w:val="24"/>
        </w:rPr>
        <w:t>usuário interno, terceirizado ou colaborador</w:t>
      </w:r>
      <w:r w:rsidRPr="00956BD1">
        <w:rPr>
          <w:rFonts w:ascii="Arial" w:hAnsi="Arial" w:cs="Arial"/>
          <w:color w:val="000000"/>
          <w:sz w:val="24"/>
          <w:szCs w:val="24"/>
        </w:rPr>
        <w:t xml:space="preserve">, </w:t>
      </w:r>
      <w:r w:rsidRPr="00956BD1">
        <w:rPr>
          <w:rFonts w:ascii="Arial" w:hAnsi="Arial" w:cs="Arial"/>
          <w:sz w:val="24"/>
          <w:szCs w:val="24"/>
        </w:rPr>
        <w:t>e mediante solicitação do gestor da unidade,</w:t>
      </w:r>
      <w:r w:rsidRPr="00956BD1">
        <w:rPr>
          <w:rFonts w:ascii="Arial" w:hAnsi="Arial" w:cs="Arial"/>
          <w:color w:val="000000"/>
          <w:sz w:val="24"/>
          <w:szCs w:val="24"/>
        </w:rPr>
        <w:t xml:space="preserve"> acesso à rede sem fio </w:t>
      </w:r>
      <w:r w:rsidRPr="00956BD1">
        <w:rPr>
          <w:rFonts w:ascii="Arial" w:hAnsi="Arial" w:cs="Arial"/>
          <w:sz w:val="24"/>
          <w:szCs w:val="24"/>
        </w:rPr>
        <w:t>denominada</w:t>
      </w:r>
      <w:r w:rsidRPr="00956BD1">
        <w:rPr>
          <w:rFonts w:ascii="Arial" w:hAnsi="Arial" w:cs="Arial"/>
          <w:color w:val="000000"/>
          <w:sz w:val="24"/>
          <w:szCs w:val="24"/>
        </w:rPr>
        <w:t> </w:t>
      </w:r>
      <w:r w:rsidRPr="00956BD1">
        <w:rPr>
          <w:rFonts w:ascii="Arial" w:hAnsi="Arial" w:cs="Arial"/>
          <w:bCs/>
          <w:iCs/>
          <w:color w:val="000000"/>
          <w:sz w:val="24"/>
          <w:szCs w:val="24"/>
        </w:rPr>
        <w:t>TCE Visitantes</w:t>
      </w:r>
      <w:r w:rsidRPr="00956BD1">
        <w:rPr>
          <w:rFonts w:ascii="Arial" w:hAnsi="Arial" w:cs="Arial"/>
          <w:color w:val="000000"/>
          <w:sz w:val="24"/>
          <w:szCs w:val="24"/>
        </w:rPr>
        <w:t> </w:t>
      </w:r>
      <w:r w:rsidRPr="00956BD1">
        <w:rPr>
          <w:rFonts w:ascii="Arial" w:hAnsi="Arial" w:cs="Arial"/>
          <w:sz w:val="24"/>
          <w:szCs w:val="24"/>
        </w:rPr>
        <w:t>e</w:t>
      </w:r>
      <w:r w:rsidRPr="00956BD1">
        <w:rPr>
          <w:rFonts w:ascii="Arial" w:hAnsi="Arial" w:cs="Arial"/>
          <w:color w:val="000000"/>
          <w:sz w:val="24"/>
          <w:szCs w:val="24"/>
        </w:rPr>
        <w:t> utilizará como prefixo de seus usuários a terminologia já existente para as matrículas do </w:t>
      </w:r>
      <w:r w:rsidRPr="00956BD1">
        <w:rPr>
          <w:rFonts w:ascii="Arial" w:hAnsi="Arial" w:cs="Arial"/>
          <w:bCs/>
          <w:color w:val="000000"/>
          <w:sz w:val="24"/>
          <w:szCs w:val="24"/>
        </w:rPr>
        <w:t>Tribunal</w:t>
      </w:r>
      <w:r w:rsidRPr="00956BD1">
        <w:rPr>
          <w:rFonts w:ascii="Arial" w:hAnsi="Arial" w:cs="Arial"/>
          <w:color w:val="000000"/>
          <w:sz w:val="24"/>
          <w:szCs w:val="24"/>
        </w:rPr>
        <w:t> - TC (usuário interno), EX (terceirizados), UC (colaborador), </w:t>
      </w:r>
      <w:r w:rsidRPr="00956BD1">
        <w:rPr>
          <w:rFonts w:ascii="Arial" w:hAnsi="Arial" w:cs="Arial"/>
          <w:sz w:val="24"/>
          <w:szCs w:val="24"/>
        </w:rPr>
        <w:t>de</w:t>
      </w:r>
      <w:r w:rsidRPr="00956BD1">
        <w:rPr>
          <w:rFonts w:ascii="Arial" w:hAnsi="Arial" w:cs="Arial"/>
          <w:color w:val="FF0000"/>
          <w:sz w:val="24"/>
          <w:szCs w:val="24"/>
        </w:rPr>
        <w:t xml:space="preserve"> </w:t>
      </w:r>
      <w:r w:rsidRPr="00956BD1">
        <w:rPr>
          <w:rFonts w:ascii="Arial" w:hAnsi="Arial" w:cs="Arial"/>
          <w:sz w:val="24"/>
          <w:szCs w:val="24"/>
        </w:rPr>
        <w:t>acordo com</w:t>
      </w:r>
      <w:r w:rsidRPr="00956BD1">
        <w:rPr>
          <w:rFonts w:ascii="Arial" w:hAnsi="Arial" w:cs="Arial"/>
          <w:color w:val="000000"/>
          <w:sz w:val="24"/>
          <w:szCs w:val="24"/>
        </w:rPr>
        <w:t> sua classificação.</w:t>
      </w:r>
    </w:p>
    <w:p w14:paraId="3A7FEF73" w14:textId="77777777" w:rsidR="00985FED" w:rsidRPr="00956BD1" w:rsidRDefault="00985FED" w:rsidP="00CE7E4C">
      <w:pPr>
        <w:spacing w:before="120"/>
        <w:ind w:firstLine="1134"/>
        <w:jc w:val="both"/>
        <w:rPr>
          <w:sz w:val="24"/>
          <w:szCs w:val="24"/>
        </w:rPr>
      </w:pPr>
      <w:r w:rsidRPr="00956BD1">
        <w:rPr>
          <w:rFonts w:ascii="Arial" w:hAnsi="Arial" w:cs="Arial"/>
          <w:sz w:val="24"/>
          <w:szCs w:val="24"/>
        </w:rPr>
        <w:t>Parágrafo único. Um termo de responsabilidade de uso deste serviço deve ser obrigatoriamente aceito e firmado pelo usuário devidamente qualificado e gestor responsável, previamente à disponibilização.</w:t>
      </w:r>
    </w:p>
    <w:p w14:paraId="3A7FEF74" w14:textId="77777777" w:rsidR="00985FED" w:rsidRPr="00956BD1" w:rsidRDefault="00985FED" w:rsidP="00CE7E4C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956BD1">
        <w:rPr>
          <w:rFonts w:ascii="Arial" w:hAnsi="Arial" w:cs="Arial"/>
          <w:b/>
          <w:bCs/>
          <w:color w:val="000000"/>
          <w:sz w:val="24"/>
          <w:szCs w:val="24"/>
        </w:rPr>
        <w:t xml:space="preserve">Art. 3° </w:t>
      </w:r>
      <w:r w:rsidRPr="00956BD1">
        <w:rPr>
          <w:rFonts w:ascii="Arial" w:hAnsi="Arial" w:cs="Arial"/>
          <w:sz w:val="24"/>
          <w:szCs w:val="24"/>
        </w:rPr>
        <w:t>Também os usuários externos, mediante solicitação do gestor da unidade administrativa de destino do visitante, poderão ter acesso a TCE Visitantes, conforme parágrafo único do art. 2</w:t>
      </w:r>
      <w:r w:rsidRPr="00956BD1">
        <w:rPr>
          <w:rFonts w:ascii="Arial" w:hAnsi="Arial" w:cs="Arial"/>
          <w:bCs/>
          <w:sz w:val="24"/>
          <w:szCs w:val="24"/>
        </w:rPr>
        <w:t>º</w:t>
      </w:r>
      <w:r w:rsidRPr="00956BD1">
        <w:rPr>
          <w:rFonts w:ascii="Arial" w:hAnsi="Arial" w:cs="Arial"/>
          <w:sz w:val="24"/>
          <w:szCs w:val="24"/>
        </w:rPr>
        <w:t>.</w:t>
      </w:r>
    </w:p>
    <w:p w14:paraId="3A7FEF75" w14:textId="77777777" w:rsidR="00985FED" w:rsidRPr="00956BD1" w:rsidRDefault="00985FED" w:rsidP="00CE7E4C">
      <w:pPr>
        <w:spacing w:before="120"/>
        <w:ind w:firstLine="1134"/>
        <w:jc w:val="both"/>
        <w:rPr>
          <w:color w:val="000000"/>
          <w:sz w:val="24"/>
          <w:szCs w:val="24"/>
        </w:rPr>
      </w:pPr>
      <w:r w:rsidRPr="00956BD1">
        <w:rPr>
          <w:rFonts w:ascii="Arial" w:hAnsi="Arial" w:cs="Arial"/>
          <w:b/>
          <w:bCs/>
          <w:color w:val="000000"/>
          <w:sz w:val="24"/>
          <w:szCs w:val="24"/>
        </w:rPr>
        <w:t>Art. 4°</w:t>
      </w:r>
      <w:r w:rsidRPr="00956BD1">
        <w:rPr>
          <w:rFonts w:ascii="Arial" w:hAnsi="Arial" w:cs="Arial"/>
          <w:color w:val="000000"/>
          <w:sz w:val="24"/>
          <w:szCs w:val="24"/>
        </w:rPr>
        <w:t> </w:t>
      </w:r>
      <w:r w:rsidRPr="00956BD1">
        <w:rPr>
          <w:rFonts w:ascii="Arial" w:hAnsi="Arial" w:cs="Arial"/>
          <w:sz w:val="24"/>
          <w:szCs w:val="24"/>
        </w:rPr>
        <w:t>O </w:t>
      </w:r>
      <w:r w:rsidRPr="00956BD1">
        <w:rPr>
          <w:rFonts w:ascii="Arial" w:hAnsi="Arial" w:cs="Arial"/>
          <w:i/>
          <w:iCs/>
          <w:sz w:val="24"/>
          <w:szCs w:val="24"/>
        </w:rPr>
        <w:t>logon</w:t>
      </w:r>
      <w:r>
        <w:rPr>
          <w:rFonts w:ascii="Arial" w:hAnsi="Arial" w:cs="Arial"/>
          <w:sz w:val="24"/>
          <w:szCs w:val="24"/>
        </w:rPr>
        <w:t xml:space="preserve"> de </w:t>
      </w:r>
      <w:r w:rsidRPr="00956BD1">
        <w:rPr>
          <w:rFonts w:ascii="Arial" w:hAnsi="Arial" w:cs="Arial"/>
          <w:sz w:val="24"/>
          <w:szCs w:val="24"/>
        </w:rPr>
        <w:t>acesso para usuários externos será formado pelo prefixo UE mais o CPF da pessoa, de forma que seu identificador único nesta rede ficará no formato UE99999999999.</w:t>
      </w:r>
    </w:p>
    <w:p w14:paraId="3A7FEF76" w14:textId="77777777" w:rsidR="00985FED" w:rsidRPr="00956BD1" w:rsidRDefault="00985FED" w:rsidP="00CE7E4C">
      <w:pPr>
        <w:spacing w:before="120"/>
        <w:ind w:firstLine="1134"/>
        <w:jc w:val="both"/>
        <w:rPr>
          <w:color w:val="000000"/>
          <w:sz w:val="24"/>
          <w:szCs w:val="24"/>
        </w:rPr>
      </w:pPr>
      <w:r w:rsidRPr="00956BD1">
        <w:rPr>
          <w:color w:val="000000"/>
          <w:sz w:val="24"/>
          <w:szCs w:val="24"/>
        </w:rPr>
        <w:t> </w:t>
      </w:r>
      <w:r w:rsidRPr="00956BD1">
        <w:rPr>
          <w:rFonts w:ascii="Arial" w:hAnsi="Arial" w:cs="Arial"/>
          <w:b/>
          <w:bCs/>
          <w:color w:val="000000"/>
          <w:sz w:val="24"/>
          <w:szCs w:val="24"/>
        </w:rPr>
        <w:t>Art. 5°</w:t>
      </w:r>
      <w:r w:rsidRPr="00956BD1">
        <w:rPr>
          <w:rFonts w:ascii="Arial" w:hAnsi="Arial" w:cs="Arial"/>
          <w:color w:val="000000"/>
          <w:sz w:val="24"/>
          <w:szCs w:val="24"/>
        </w:rPr>
        <w:t> O identificador individual, em conjunto com a senha privativa que autentica o usuário durante o processo de </w:t>
      </w:r>
      <w:r w:rsidRPr="00956BD1">
        <w:rPr>
          <w:rFonts w:ascii="Arial" w:hAnsi="Arial" w:cs="Arial"/>
          <w:i/>
          <w:iCs/>
          <w:color w:val="000000"/>
          <w:sz w:val="24"/>
          <w:szCs w:val="24"/>
        </w:rPr>
        <w:t>logon</w:t>
      </w:r>
      <w:r w:rsidRPr="00956BD1">
        <w:rPr>
          <w:rFonts w:ascii="Arial" w:hAnsi="Arial" w:cs="Arial"/>
          <w:color w:val="000000"/>
          <w:sz w:val="24"/>
          <w:szCs w:val="24"/>
        </w:rPr>
        <w:t>  e dá acesso à rede sem fio (</w:t>
      </w:r>
      <w:r w:rsidRPr="00956BD1">
        <w:rPr>
          <w:rFonts w:ascii="Arial" w:hAnsi="Arial" w:cs="Arial"/>
          <w:i/>
          <w:sz w:val="24"/>
          <w:szCs w:val="24"/>
        </w:rPr>
        <w:t xml:space="preserve">wireless) </w:t>
      </w:r>
      <w:r w:rsidRPr="00956BD1">
        <w:rPr>
          <w:rFonts w:ascii="Arial" w:hAnsi="Arial" w:cs="Arial"/>
          <w:bCs/>
          <w:color w:val="000000"/>
          <w:sz w:val="24"/>
          <w:szCs w:val="24"/>
        </w:rPr>
        <w:t>TCE Visitantes</w:t>
      </w:r>
      <w:r w:rsidRPr="00956BD1">
        <w:rPr>
          <w:rFonts w:ascii="Arial" w:hAnsi="Arial" w:cs="Arial"/>
          <w:color w:val="000000"/>
          <w:sz w:val="24"/>
          <w:szCs w:val="24"/>
        </w:rPr>
        <w:t xml:space="preserve">, terá seu tempo de vida e horário de utilização definidos </w:t>
      </w:r>
      <w:r w:rsidRPr="00956BD1">
        <w:rPr>
          <w:rFonts w:ascii="Arial" w:hAnsi="Arial" w:cs="Arial"/>
          <w:color w:val="000000"/>
          <w:sz w:val="24"/>
          <w:szCs w:val="24"/>
        </w:rPr>
        <w:lastRenderedPageBreak/>
        <w:t>pelo gestor da unidade (de acordo com a classe do usuário e sua necessidade de uso) quando do pedido de acesso.</w:t>
      </w:r>
    </w:p>
    <w:p w14:paraId="3A7FEF78" w14:textId="29DC3BFF" w:rsidR="00985FED" w:rsidRPr="00956BD1" w:rsidRDefault="00985FED" w:rsidP="00CE7E4C">
      <w:pPr>
        <w:spacing w:before="120"/>
        <w:ind w:firstLine="1134"/>
        <w:jc w:val="both"/>
        <w:rPr>
          <w:color w:val="000000"/>
          <w:sz w:val="24"/>
          <w:szCs w:val="24"/>
        </w:rPr>
      </w:pPr>
      <w:r w:rsidRPr="00956BD1">
        <w:rPr>
          <w:color w:val="000000"/>
          <w:sz w:val="24"/>
          <w:szCs w:val="24"/>
        </w:rPr>
        <w:t> </w:t>
      </w:r>
      <w:r w:rsidRPr="00956BD1">
        <w:rPr>
          <w:rFonts w:ascii="Arial" w:hAnsi="Arial" w:cs="Arial"/>
          <w:b/>
          <w:bCs/>
          <w:color w:val="000000"/>
          <w:sz w:val="24"/>
          <w:szCs w:val="24"/>
        </w:rPr>
        <w:t>Art. 6º </w:t>
      </w:r>
      <w:r w:rsidRPr="00956BD1">
        <w:rPr>
          <w:rFonts w:ascii="Arial" w:hAnsi="Arial" w:cs="Arial"/>
          <w:color w:val="000000"/>
          <w:sz w:val="24"/>
          <w:szCs w:val="24"/>
        </w:rPr>
        <w:t xml:space="preserve">O </w:t>
      </w:r>
      <w:r w:rsidRPr="00956BD1">
        <w:rPr>
          <w:rFonts w:ascii="Arial" w:hAnsi="Arial" w:cs="Arial"/>
          <w:sz w:val="24"/>
          <w:szCs w:val="24"/>
        </w:rPr>
        <w:t>usuário se compromete a fazer</w:t>
      </w:r>
      <w:r w:rsidRPr="00956BD1">
        <w:rPr>
          <w:rFonts w:ascii="Arial" w:hAnsi="Arial" w:cs="Arial"/>
          <w:color w:val="000000"/>
          <w:sz w:val="24"/>
          <w:szCs w:val="24"/>
        </w:rPr>
        <w:t xml:space="preserve"> uso da senha de forma segura e sigilosa, zelando por sua guarda e confidencialidade, declarando-se ciente de que não poderá vender, transferir, ceder ou emprestar a outrem, a qualquer título, </w:t>
      </w:r>
      <w:r w:rsidRPr="00956BD1">
        <w:rPr>
          <w:rFonts w:ascii="Arial" w:hAnsi="Arial" w:cs="Arial"/>
          <w:sz w:val="24"/>
          <w:szCs w:val="24"/>
        </w:rPr>
        <w:t>sendo a</w:t>
      </w:r>
      <w:r w:rsidRPr="00956BD1">
        <w:rPr>
          <w:rFonts w:ascii="Arial" w:hAnsi="Arial" w:cs="Arial"/>
          <w:color w:val="FF0000"/>
          <w:sz w:val="24"/>
          <w:szCs w:val="24"/>
        </w:rPr>
        <w:t xml:space="preserve"> </w:t>
      </w:r>
      <w:r w:rsidRPr="00956BD1">
        <w:rPr>
          <w:rFonts w:ascii="Arial" w:hAnsi="Arial" w:cs="Arial"/>
          <w:sz w:val="24"/>
          <w:szCs w:val="24"/>
        </w:rPr>
        <w:t>senha de caráter</w:t>
      </w:r>
      <w:r w:rsidRPr="00956BD1">
        <w:rPr>
          <w:rFonts w:ascii="Arial" w:hAnsi="Arial" w:cs="Arial"/>
          <w:color w:val="000000"/>
          <w:sz w:val="24"/>
          <w:szCs w:val="24"/>
        </w:rPr>
        <w:t> pessoal e intransferível.</w:t>
      </w:r>
    </w:p>
    <w:p w14:paraId="3A7FEF79" w14:textId="77777777" w:rsidR="00985FED" w:rsidRPr="00956BD1" w:rsidRDefault="00985FED" w:rsidP="00CE7E4C">
      <w:pPr>
        <w:spacing w:before="120"/>
        <w:ind w:firstLine="1134"/>
        <w:jc w:val="both"/>
        <w:rPr>
          <w:color w:val="000000"/>
          <w:sz w:val="24"/>
          <w:szCs w:val="24"/>
        </w:rPr>
      </w:pPr>
      <w:r w:rsidRPr="00956BD1">
        <w:rPr>
          <w:color w:val="000000"/>
          <w:sz w:val="24"/>
          <w:szCs w:val="24"/>
        </w:rPr>
        <w:t> </w:t>
      </w:r>
      <w:r w:rsidRPr="00956BD1">
        <w:rPr>
          <w:rFonts w:ascii="Arial" w:hAnsi="Arial" w:cs="Arial"/>
          <w:b/>
          <w:bCs/>
          <w:color w:val="000000"/>
          <w:sz w:val="24"/>
          <w:szCs w:val="24"/>
        </w:rPr>
        <w:t>Art. 7º</w:t>
      </w:r>
      <w:r w:rsidRPr="00956BD1">
        <w:rPr>
          <w:rFonts w:ascii="Arial" w:hAnsi="Arial" w:cs="Arial"/>
          <w:color w:val="008000"/>
          <w:sz w:val="24"/>
          <w:szCs w:val="24"/>
        </w:rPr>
        <w:t> </w:t>
      </w:r>
      <w:r w:rsidRPr="00956BD1">
        <w:rPr>
          <w:rFonts w:ascii="Arial" w:hAnsi="Arial" w:cs="Arial"/>
          <w:sz w:val="24"/>
          <w:szCs w:val="24"/>
        </w:rPr>
        <w:t>O Tribunal não garante a disponibilidade da TCE Visitantes</w:t>
      </w:r>
      <w:r w:rsidRPr="00956BD1">
        <w:rPr>
          <w:rFonts w:ascii="Arial" w:hAnsi="Arial" w:cs="Arial"/>
          <w:color w:val="000000"/>
          <w:sz w:val="24"/>
          <w:szCs w:val="24"/>
        </w:rPr>
        <w:t xml:space="preserve"> que poderá sofrer quedas de desempenho ou interrupções devido a circunstâncias externas ou alheias ao TCEPR, </w:t>
      </w:r>
      <w:r w:rsidRPr="00956BD1">
        <w:rPr>
          <w:rFonts w:ascii="Arial" w:hAnsi="Arial" w:cs="Arial"/>
          <w:sz w:val="24"/>
          <w:szCs w:val="24"/>
        </w:rPr>
        <w:t>oriundas de</w:t>
      </w:r>
      <w:r w:rsidRPr="00956BD1">
        <w:rPr>
          <w:rFonts w:ascii="Arial" w:hAnsi="Arial" w:cs="Arial"/>
          <w:color w:val="000000"/>
          <w:sz w:val="24"/>
          <w:szCs w:val="24"/>
        </w:rPr>
        <w:t xml:space="preserve"> queda de energia; defeito, falha ou pane nos equipamentos; falha no link de acesso ou em função de condições técnico-ambientais </w:t>
      </w:r>
      <w:r w:rsidRPr="00956BD1">
        <w:rPr>
          <w:rFonts w:ascii="Arial" w:hAnsi="Arial" w:cs="Arial"/>
          <w:sz w:val="24"/>
          <w:szCs w:val="24"/>
        </w:rPr>
        <w:t>que possam interferir</w:t>
      </w:r>
      <w:r w:rsidRPr="00956BD1">
        <w:rPr>
          <w:rFonts w:ascii="Arial" w:hAnsi="Arial" w:cs="Arial"/>
          <w:color w:val="000000"/>
          <w:sz w:val="24"/>
          <w:szCs w:val="24"/>
        </w:rPr>
        <w:t xml:space="preserve"> com o sinal emitido pelos roteadores, </w:t>
      </w:r>
      <w:r w:rsidRPr="00956BD1">
        <w:rPr>
          <w:rFonts w:ascii="Arial" w:hAnsi="Arial" w:cs="Arial"/>
          <w:sz w:val="24"/>
          <w:szCs w:val="24"/>
        </w:rPr>
        <w:t>sendo que não há qualquer garantia</w:t>
      </w:r>
      <w:r w:rsidRPr="00956BD1">
        <w:rPr>
          <w:rFonts w:ascii="Arial" w:hAnsi="Arial" w:cs="Arial"/>
          <w:color w:val="000000"/>
          <w:sz w:val="24"/>
          <w:szCs w:val="24"/>
        </w:rPr>
        <w:t> de manutenção dos mesmos em condições adversas, e os usuários devem estar cientes da possibilidade de perda de comunicação ou de informações.</w:t>
      </w:r>
    </w:p>
    <w:p w14:paraId="3A7FEF7A" w14:textId="69B09F1A" w:rsidR="00985FED" w:rsidRPr="00956BD1" w:rsidRDefault="00985FED" w:rsidP="00CE7E4C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956BD1">
        <w:rPr>
          <w:color w:val="000000"/>
          <w:sz w:val="24"/>
          <w:szCs w:val="24"/>
        </w:rPr>
        <w:t> </w:t>
      </w:r>
      <w:r w:rsidRPr="00956BD1">
        <w:rPr>
          <w:rFonts w:ascii="Arial" w:hAnsi="Arial" w:cs="Arial"/>
          <w:b/>
          <w:bCs/>
          <w:color w:val="000000"/>
          <w:sz w:val="24"/>
          <w:szCs w:val="24"/>
        </w:rPr>
        <w:t>Art. 8º</w:t>
      </w:r>
      <w:r w:rsidRPr="00956BD1">
        <w:rPr>
          <w:rFonts w:ascii="Arial" w:hAnsi="Arial" w:cs="Arial"/>
          <w:color w:val="000000"/>
          <w:sz w:val="24"/>
          <w:szCs w:val="24"/>
        </w:rPr>
        <w:t> O usuário é responsável por todos os atos oriundos da utilização deste serviço, quer seja no seu acesso, visualização ou divulgação, legal ou ilegal, devendo manter absoluto sigilo de seus dados de acesso</w:t>
      </w:r>
      <w:r w:rsidRPr="00956BD1">
        <w:rPr>
          <w:rFonts w:ascii="Arial" w:hAnsi="Arial" w:cs="Arial"/>
          <w:sz w:val="24"/>
          <w:szCs w:val="24"/>
        </w:rPr>
        <w:t xml:space="preserve">, conforme dispõe o art. 14, da </w:t>
      </w:r>
      <w:hyperlink r:id="rId9" w:history="1">
        <w:r w:rsidRPr="00511A92">
          <w:rPr>
            <w:rStyle w:val="Hyperlink"/>
            <w:rFonts w:cs="Arial"/>
            <w:sz w:val="24"/>
            <w:szCs w:val="24"/>
          </w:rPr>
          <w:t>Resolução nº 23/2010</w:t>
        </w:r>
      </w:hyperlink>
      <w:r w:rsidRPr="00956BD1">
        <w:rPr>
          <w:rFonts w:ascii="Arial" w:hAnsi="Arial" w:cs="Arial"/>
          <w:sz w:val="24"/>
          <w:szCs w:val="24"/>
        </w:rPr>
        <w:t>.</w:t>
      </w:r>
    </w:p>
    <w:p w14:paraId="3A7FEF7B" w14:textId="77777777" w:rsidR="00985FED" w:rsidRPr="00956BD1" w:rsidRDefault="00985FED" w:rsidP="00CE7E4C">
      <w:pPr>
        <w:spacing w:before="120"/>
        <w:ind w:firstLine="1134"/>
        <w:jc w:val="both"/>
        <w:rPr>
          <w:color w:val="000000"/>
          <w:sz w:val="24"/>
          <w:szCs w:val="24"/>
        </w:rPr>
      </w:pPr>
      <w:r w:rsidRPr="00956BD1">
        <w:rPr>
          <w:color w:val="000000"/>
          <w:sz w:val="24"/>
          <w:szCs w:val="24"/>
        </w:rPr>
        <w:t> </w:t>
      </w:r>
      <w:r w:rsidRPr="00956BD1">
        <w:rPr>
          <w:rFonts w:ascii="Arial" w:hAnsi="Arial" w:cs="Arial"/>
          <w:b/>
          <w:bCs/>
          <w:color w:val="000000"/>
          <w:sz w:val="24"/>
          <w:szCs w:val="24"/>
        </w:rPr>
        <w:t>Art 9°</w:t>
      </w:r>
      <w:r w:rsidRPr="00956BD1">
        <w:rPr>
          <w:rFonts w:ascii="Arial" w:hAnsi="Arial" w:cs="Arial"/>
          <w:color w:val="000000"/>
          <w:sz w:val="24"/>
          <w:szCs w:val="24"/>
        </w:rPr>
        <w:t> O tráfego de dados dos usuários da rede </w:t>
      </w:r>
      <w:r w:rsidRPr="00956BD1">
        <w:rPr>
          <w:rFonts w:ascii="Arial" w:hAnsi="Arial" w:cs="Arial"/>
          <w:bCs/>
          <w:color w:val="000000"/>
          <w:sz w:val="24"/>
          <w:szCs w:val="24"/>
        </w:rPr>
        <w:t>TCE Visitantes</w:t>
      </w:r>
      <w:r w:rsidRPr="00956BD1">
        <w:rPr>
          <w:rFonts w:ascii="Arial" w:hAnsi="Arial" w:cs="Arial"/>
          <w:color w:val="000000"/>
          <w:sz w:val="24"/>
          <w:szCs w:val="24"/>
        </w:rPr>
        <w:t> não será criptografado.</w:t>
      </w:r>
    </w:p>
    <w:p w14:paraId="3A7FEF7C" w14:textId="77777777" w:rsidR="00985FED" w:rsidRPr="00956BD1" w:rsidRDefault="00985FED" w:rsidP="00CE7E4C">
      <w:pPr>
        <w:spacing w:before="120"/>
        <w:ind w:firstLine="1134"/>
        <w:jc w:val="both"/>
        <w:rPr>
          <w:color w:val="000000"/>
          <w:sz w:val="24"/>
          <w:szCs w:val="24"/>
        </w:rPr>
      </w:pPr>
      <w:r w:rsidRPr="00956BD1">
        <w:rPr>
          <w:color w:val="000000"/>
          <w:sz w:val="24"/>
          <w:szCs w:val="24"/>
        </w:rPr>
        <w:t> </w:t>
      </w:r>
      <w:r w:rsidRPr="00956BD1">
        <w:rPr>
          <w:rFonts w:ascii="Arial" w:hAnsi="Arial" w:cs="Arial"/>
          <w:b/>
          <w:bCs/>
          <w:color w:val="000000"/>
          <w:sz w:val="24"/>
          <w:szCs w:val="24"/>
        </w:rPr>
        <w:t>Art. 10</w:t>
      </w:r>
      <w:r>
        <w:rPr>
          <w:rFonts w:ascii="Arial" w:hAnsi="Arial" w:cs="Arial"/>
          <w:b/>
          <w:bCs/>
          <w:color w:val="000000"/>
          <w:sz w:val="24"/>
          <w:szCs w:val="24"/>
        </w:rPr>
        <w:t>.</w:t>
      </w:r>
      <w:r w:rsidRPr="00956BD1">
        <w:rPr>
          <w:rFonts w:ascii="Arial" w:hAnsi="Arial" w:cs="Arial"/>
          <w:color w:val="000000"/>
          <w:sz w:val="24"/>
          <w:szCs w:val="24"/>
        </w:rPr>
        <w:t xml:space="preserve"> O Tribunal poderá suspender ou cancelar o acesso do usuário, sem prévio aviso, </w:t>
      </w:r>
      <w:r w:rsidRPr="00956BD1">
        <w:rPr>
          <w:rFonts w:ascii="Arial" w:hAnsi="Arial" w:cs="Arial"/>
          <w:sz w:val="24"/>
          <w:szCs w:val="24"/>
        </w:rPr>
        <w:t xml:space="preserve">a seu critério, ou na hipótese de identificar abusos tais como divulgação indevida ou compartilhamento de senha; disseminação, compartilhamento ou produção de imagens de pedofilia; racismo; crimes financeiros; disseminação de vírus, </w:t>
      </w:r>
      <w:r w:rsidRPr="00BD741C">
        <w:rPr>
          <w:rFonts w:ascii="Arial" w:hAnsi="Arial" w:cs="Arial"/>
          <w:i/>
          <w:sz w:val="24"/>
          <w:szCs w:val="24"/>
        </w:rPr>
        <w:t>malwares</w:t>
      </w:r>
      <w:r w:rsidRPr="00956BD1">
        <w:rPr>
          <w:rFonts w:ascii="Arial" w:hAnsi="Arial" w:cs="Arial"/>
          <w:sz w:val="24"/>
          <w:szCs w:val="24"/>
        </w:rPr>
        <w:t xml:space="preserve">, </w:t>
      </w:r>
      <w:r w:rsidRPr="00BD741C">
        <w:rPr>
          <w:rFonts w:ascii="Arial" w:hAnsi="Arial" w:cs="Arial"/>
          <w:i/>
          <w:sz w:val="24"/>
          <w:szCs w:val="24"/>
        </w:rPr>
        <w:t>trojans</w:t>
      </w:r>
      <w:r w:rsidRPr="00956BD1">
        <w:rPr>
          <w:rFonts w:ascii="Arial" w:hAnsi="Arial" w:cs="Arial"/>
          <w:sz w:val="24"/>
          <w:szCs w:val="24"/>
        </w:rPr>
        <w:t>; quebra de direitos autorais</w:t>
      </w:r>
      <w:r w:rsidRPr="00956BD1">
        <w:rPr>
          <w:rFonts w:ascii="Arial" w:hAnsi="Arial" w:cs="Arial"/>
          <w:color w:val="000000"/>
          <w:sz w:val="24"/>
          <w:szCs w:val="24"/>
        </w:rPr>
        <w:t xml:space="preserve"> ou ainda qualquer prática </w:t>
      </w:r>
      <w:r w:rsidRPr="00956BD1">
        <w:rPr>
          <w:rFonts w:ascii="Arial" w:hAnsi="Arial" w:cs="Arial"/>
          <w:color w:val="000000"/>
          <w:spacing w:val="2"/>
          <w:sz w:val="24"/>
          <w:szCs w:val="24"/>
        </w:rPr>
        <w:t>considerada ilícita, que induza ou provoque riscos a terceiros.</w:t>
      </w:r>
    </w:p>
    <w:p w14:paraId="3A7FEF7D" w14:textId="77777777" w:rsidR="00985FED" w:rsidRPr="00956BD1" w:rsidRDefault="00985FED" w:rsidP="00CE7E4C">
      <w:pPr>
        <w:spacing w:before="120"/>
        <w:ind w:firstLine="1134"/>
        <w:jc w:val="both"/>
        <w:rPr>
          <w:color w:val="000000"/>
          <w:sz w:val="24"/>
          <w:szCs w:val="24"/>
        </w:rPr>
      </w:pPr>
      <w:r w:rsidRPr="00956BD1">
        <w:rPr>
          <w:color w:val="000000"/>
          <w:sz w:val="24"/>
          <w:szCs w:val="24"/>
        </w:rPr>
        <w:t> </w:t>
      </w:r>
      <w:r w:rsidRPr="00956BD1">
        <w:rPr>
          <w:rFonts w:ascii="Arial" w:hAnsi="Arial" w:cs="Arial"/>
          <w:b/>
          <w:bCs/>
          <w:color w:val="000000"/>
          <w:sz w:val="24"/>
          <w:szCs w:val="24"/>
        </w:rPr>
        <w:t>Art. 11</w:t>
      </w:r>
      <w:r>
        <w:rPr>
          <w:rFonts w:ascii="Arial" w:hAnsi="Arial" w:cs="Arial"/>
          <w:b/>
          <w:bCs/>
          <w:color w:val="000000"/>
          <w:sz w:val="24"/>
          <w:szCs w:val="24"/>
        </w:rPr>
        <w:t>.</w:t>
      </w:r>
      <w:r w:rsidRPr="00956BD1">
        <w:rPr>
          <w:rFonts w:ascii="Arial" w:hAnsi="Arial" w:cs="Arial"/>
          <w:color w:val="000000"/>
          <w:sz w:val="24"/>
          <w:szCs w:val="24"/>
        </w:rPr>
        <w:t xml:space="preserve"> Esta Instrução Normativa entrará em vigência na data da sua publicação. </w:t>
      </w:r>
    </w:p>
    <w:p w14:paraId="3A7FEF7E" w14:textId="77777777" w:rsidR="00985FED" w:rsidRDefault="00985FED" w:rsidP="00985FED">
      <w:pPr>
        <w:spacing w:line="230" w:lineRule="atLeast"/>
        <w:ind w:firstLine="709"/>
        <w:jc w:val="both"/>
        <w:rPr>
          <w:color w:val="000000"/>
          <w:sz w:val="24"/>
          <w:szCs w:val="24"/>
        </w:rPr>
      </w:pPr>
    </w:p>
    <w:p w14:paraId="3A7FEF7F" w14:textId="77777777" w:rsidR="00985FED" w:rsidRPr="00BD636F" w:rsidRDefault="00985FED" w:rsidP="00985FED">
      <w:pPr>
        <w:spacing w:line="230" w:lineRule="atLeast"/>
        <w:ind w:firstLine="709"/>
        <w:jc w:val="both"/>
        <w:rPr>
          <w:color w:val="000000"/>
          <w:sz w:val="24"/>
          <w:szCs w:val="24"/>
        </w:rPr>
      </w:pPr>
    </w:p>
    <w:p w14:paraId="3A7FEF80" w14:textId="77777777" w:rsidR="00985FED" w:rsidRDefault="00985FED" w:rsidP="00985FED"/>
    <w:p w14:paraId="3A7FEF81" w14:textId="77777777" w:rsidR="00985FED" w:rsidRDefault="00985FED" w:rsidP="00985FED"/>
    <w:p w14:paraId="3A7FEF82" w14:textId="59D56F0C" w:rsidR="00985FED" w:rsidRDefault="00985FED" w:rsidP="00985FED">
      <w:pPr>
        <w:jc w:val="center"/>
        <w:rPr>
          <w:rFonts w:ascii="Arial" w:hAnsi="Arial" w:cs="Arial"/>
          <w:sz w:val="24"/>
          <w:szCs w:val="24"/>
        </w:rPr>
      </w:pPr>
      <w:r w:rsidRPr="00BD741C">
        <w:rPr>
          <w:rFonts w:ascii="Arial" w:hAnsi="Arial" w:cs="Arial"/>
          <w:sz w:val="24"/>
          <w:szCs w:val="24"/>
        </w:rPr>
        <w:t>Sala das Sessões, em 2 de junho de 2011</w:t>
      </w:r>
    </w:p>
    <w:p w14:paraId="3A7FEF83" w14:textId="77777777" w:rsidR="00985FED" w:rsidRDefault="00985FED" w:rsidP="00985FED">
      <w:pPr>
        <w:jc w:val="center"/>
        <w:rPr>
          <w:rFonts w:ascii="Arial" w:hAnsi="Arial" w:cs="Arial"/>
          <w:sz w:val="24"/>
          <w:szCs w:val="24"/>
        </w:rPr>
      </w:pPr>
    </w:p>
    <w:p w14:paraId="13F6448D" w14:textId="77777777" w:rsidR="00511A92" w:rsidRDefault="00511A92" w:rsidP="00985FED">
      <w:pPr>
        <w:jc w:val="center"/>
        <w:rPr>
          <w:rFonts w:ascii="Arial" w:hAnsi="Arial" w:cs="Arial"/>
          <w:sz w:val="24"/>
          <w:szCs w:val="24"/>
        </w:rPr>
      </w:pPr>
    </w:p>
    <w:p w14:paraId="3A7FEF84" w14:textId="77777777" w:rsidR="00985FED" w:rsidRPr="00BD741C" w:rsidRDefault="00985FED" w:rsidP="00985FED">
      <w:pPr>
        <w:jc w:val="center"/>
        <w:rPr>
          <w:rFonts w:ascii="Arial" w:hAnsi="Arial" w:cs="Arial"/>
          <w:sz w:val="24"/>
          <w:szCs w:val="24"/>
        </w:rPr>
      </w:pPr>
    </w:p>
    <w:p w14:paraId="3A7FEF85" w14:textId="77777777" w:rsidR="00985FED" w:rsidRPr="00BD741C" w:rsidRDefault="00985FED" w:rsidP="00985FED">
      <w:pPr>
        <w:jc w:val="center"/>
        <w:rPr>
          <w:rFonts w:ascii="Arial" w:hAnsi="Arial" w:cs="Arial"/>
          <w:sz w:val="24"/>
          <w:szCs w:val="24"/>
        </w:rPr>
      </w:pPr>
    </w:p>
    <w:p w14:paraId="3A7FEF86" w14:textId="77777777" w:rsidR="00985FED" w:rsidRPr="00BD741C" w:rsidRDefault="00985FED" w:rsidP="00985FED">
      <w:pPr>
        <w:jc w:val="center"/>
        <w:rPr>
          <w:rFonts w:ascii="Arial" w:hAnsi="Arial" w:cs="Arial"/>
          <w:b/>
          <w:sz w:val="24"/>
          <w:szCs w:val="24"/>
        </w:rPr>
      </w:pPr>
      <w:r w:rsidRPr="00BD741C">
        <w:rPr>
          <w:rFonts w:ascii="Arial" w:hAnsi="Arial" w:cs="Arial"/>
          <w:b/>
          <w:sz w:val="24"/>
          <w:szCs w:val="24"/>
        </w:rPr>
        <w:t>FERNANDO AUGUSTO MELLO GUIMARÃES</w:t>
      </w:r>
    </w:p>
    <w:p w14:paraId="3A7FEF87" w14:textId="77777777" w:rsidR="00985FED" w:rsidRPr="00B835C4" w:rsidRDefault="00985FED" w:rsidP="00985FED">
      <w:pPr>
        <w:jc w:val="center"/>
        <w:rPr>
          <w:rFonts w:ascii="Arial" w:hAnsi="Arial" w:cs="Arial"/>
          <w:bCs/>
          <w:sz w:val="24"/>
          <w:szCs w:val="24"/>
        </w:rPr>
      </w:pPr>
      <w:r w:rsidRPr="00B835C4">
        <w:rPr>
          <w:rFonts w:ascii="Arial" w:hAnsi="Arial" w:cs="Arial"/>
          <w:bCs/>
          <w:sz w:val="24"/>
          <w:szCs w:val="24"/>
        </w:rPr>
        <w:t>Presidente</w:t>
      </w:r>
    </w:p>
    <w:p w14:paraId="3A7FEF88" w14:textId="77777777" w:rsidR="00B31BD5" w:rsidRDefault="00963912"/>
    <w:sectPr w:rsidR="00B31BD5" w:rsidSect="00956BD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Fmt w:val="chicago"/>
      </w:footnotePr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43B4E" w14:textId="77777777" w:rsidR="008A2B22" w:rsidRDefault="008A2B22">
      <w:r>
        <w:separator/>
      </w:r>
    </w:p>
  </w:endnote>
  <w:endnote w:type="continuationSeparator" w:id="0">
    <w:p w14:paraId="51F1CE12" w14:textId="77777777" w:rsidR="008A2B22" w:rsidRDefault="008A2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829E0" w14:textId="77777777" w:rsidR="00C31673" w:rsidRDefault="00C3167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005CA" w14:textId="77777777" w:rsidR="00C31673" w:rsidRDefault="00C3167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3E136" w14:textId="77777777" w:rsidR="00C31673" w:rsidRDefault="00C3167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71501" w14:textId="77777777" w:rsidR="008A2B22" w:rsidRDefault="008A2B22">
      <w:r>
        <w:separator/>
      </w:r>
    </w:p>
  </w:footnote>
  <w:footnote w:type="continuationSeparator" w:id="0">
    <w:p w14:paraId="4CF0D240" w14:textId="77777777" w:rsidR="008A2B22" w:rsidRDefault="008A2B22">
      <w:r>
        <w:continuationSeparator/>
      </w:r>
    </w:p>
  </w:footnote>
  <w:footnote w:id="1">
    <w:p w14:paraId="7A3F6BD8" w14:textId="77777777" w:rsidR="00714AF8" w:rsidRPr="00FF6009" w:rsidRDefault="00714AF8" w:rsidP="00714AF8">
      <w:pPr>
        <w:pStyle w:val="Textodenotaderodap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bookmarkStart w:id="0" w:name="_Hlk9321415"/>
      <w:r w:rsidRPr="00FF6009">
        <w:rPr>
          <w:rFonts w:ascii="Arial" w:hAnsi="Arial" w:cs="Arial"/>
          <w:b/>
        </w:rPr>
        <w:t>Notas da Biblioteca:</w:t>
      </w:r>
    </w:p>
    <w:bookmarkEnd w:id="0"/>
    <w:p w14:paraId="4AB0AB2D" w14:textId="5437D4BB" w:rsidR="00D37819" w:rsidRPr="00627CEB" w:rsidRDefault="00B32223" w:rsidP="00627CEB">
      <w:pPr>
        <w:pStyle w:val="Textodenotaderodap"/>
        <w:numPr>
          <w:ilvl w:val="0"/>
          <w:numId w:val="2"/>
        </w:numPr>
        <w:ind w:left="426" w:hanging="284"/>
        <w:jc w:val="both"/>
        <w:rPr>
          <w:rFonts w:ascii="Arial" w:hAnsi="Arial" w:cs="Arial"/>
          <w:color w:val="0000FF"/>
          <w:u w:val="single"/>
        </w:rPr>
      </w:pPr>
      <w:r w:rsidRPr="00301CCC">
        <w:rPr>
          <w:rFonts w:ascii="Arial" w:hAnsi="Arial" w:cs="Arial"/>
          <w:bCs/>
        </w:rPr>
        <w:t>Este texto não substitui o publicado no periódico:</w:t>
      </w:r>
      <w:r>
        <w:rPr>
          <w:rFonts w:ascii="Arial" w:hAnsi="Arial" w:cs="Arial"/>
          <w:bCs/>
        </w:rPr>
        <w:t xml:space="preserve"> </w:t>
      </w:r>
      <w:hyperlink r:id="rId1" w:history="1">
        <w:r w:rsidR="00D37819" w:rsidRPr="00627CEB">
          <w:rPr>
            <w:rStyle w:val="Hyperlink"/>
            <w:rFonts w:cs="Arial"/>
            <w:b/>
            <w:bCs/>
            <w:sz w:val="20"/>
          </w:rPr>
          <w:t>Atos Oficiais do Tribunal de Contas do Estado do Paraná</w:t>
        </w:r>
        <w:r w:rsidR="00D37819" w:rsidRPr="00627CEB">
          <w:rPr>
            <w:rStyle w:val="Hyperlink"/>
            <w:rFonts w:cs="Arial"/>
            <w:bCs/>
            <w:sz w:val="20"/>
          </w:rPr>
          <w:t>,</w:t>
        </w:r>
        <w:r w:rsidR="00D37819" w:rsidRPr="00627CEB">
          <w:rPr>
            <w:rStyle w:val="Hyperlink"/>
            <w:rFonts w:cs="Arial"/>
            <w:sz w:val="20"/>
          </w:rPr>
          <w:t xml:space="preserve"> Curitiba, PR, n. 303, 10 jun. 2011, p. 109</w:t>
        </w:r>
      </w:hyperlink>
      <w:r w:rsidR="00D37819" w:rsidRPr="00627CEB">
        <w:rPr>
          <w:rFonts w:ascii="Arial" w:hAnsi="Arial" w:cs="Arial"/>
        </w:rPr>
        <w:t>.</w:t>
      </w:r>
    </w:p>
    <w:p w14:paraId="36BB40CE" w14:textId="624C5A34" w:rsidR="00627CEB" w:rsidRPr="00627CEB" w:rsidRDefault="00E2122A" w:rsidP="00627CEB">
      <w:pPr>
        <w:pStyle w:val="Textodenotaderodap"/>
        <w:numPr>
          <w:ilvl w:val="0"/>
          <w:numId w:val="2"/>
        </w:numPr>
        <w:ind w:left="426" w:hanging="284"/>
        <w:jc w:val="both"/>
        <w:rPr>
          <w:rStyle w:val="Hyperlink"/>
          <w:rFonts w:cs="Arial"/>
          <w:sz w:val="20"/>
        </w:rPr>
      </w:pPr>
      <w:r w:rsidRPr="00440443">
        <w:rPr>
          <w:rFonts w:ascii="Arial" w:hAnsi="Arial" w:cs="Arial"/>
        </w:rPr>
        <w:t>Origem:</w:t>
      </w:r>
      <w:r w:rsidRPr="00440443">
        <w:rPr>
          <w:rFonts w:cs="Calibri"/>
        </w:rPr>
        <w:t xml:space="preserve"> </w:t>
      </w:r>
      <w:r w:rsidR="00627CEB" w:rsidRPr="00627CEB">
        <w:rPr>
          <w:rFonts w:ascii="Arial" w:hAnsi="Arial" w:cs="Arial"/>
        </w:rPr>
        <w:t xml:space="preserve">Processo n. 27553-3/11 – </w:t>
      </w:r>
      <w:hyperlink r:id="rId2" w:history="1">
        <w:r w:rsidR="00627CEB" w:rsidRPr="00627CEB">
          <w:rPr>
            <w:rStyle w:val="Hyperlink"/>
            <w:rFonts w:cs="Arial"/>
            <w:sz w:val="20"/>
          </w:rPr>
          <w:t>Acórdão n. 885/2011 – Tribunal Pleno.</w:t>
        </w:r>
      </w:hyperlink>
    </w:p>
    <w:p w14:paraId="29103738" w14:textId="023D8692" w:rsidR="00714AF8" w:rsidRPr="00963912" w:rsidRDefault="00E36F5B" w:rsidP="00963912">
      <w:pPr>
        <w:pStyle w:val="PargrafodaLista"/>
        <w:numPr>
          <w:ilvl w:val="0"/>
          <w:numId w:val="2"/>
        </w:numPr>
        <w:ind w:left="426" w:hanging="284"/>
        <w:rPr>
          <w:rFonts w:ascii="Arial" w:hAnsi="Arial" w:cs="Arial"/>
        </w:rPr>
      </w:pPr>
      <w:r w:rsidRPr="00627CEB">
        <w:rPr>
          <w:rStyle w:val="Hyperlink"/>
          <w:rFonts w:cs="Arial"/>
          <w:color w:val="auto"/>
          <w:sz w:val="20"/>
          <w:u w:val="none"/>
        </w:rPr>
        <w:t>Ver também:</w:t>
      </w:r>
      <w:r w:rsidR="00C44F5E" w:rsidRPr="00627CEB">
        <w:rPr>
          <w:rStyle w:val="Hyperlink"/>
          <w:rFonts w:cs="Arial"/>
          <w:color w:val="auto"/>
          <w:sz w:val="20"/>
          <w:u w:val="none"/>
        </w:rPr>
        <w:t xml:space="preserve"> </w:t>
      </w:r>
      <w:hyperlink r:id="rId3" w:history="1">
        <w:r w:rsidR="00C44F5E" w:rsidRPr="00627CEB">
          <w:rPr>
            <w:rStyle w:val="Hyperlink"/>
            <w:rFonts w:cs="Arial"/>
            <w:sz w:val="20"/>
          </w:rPr>
          <w:t>Resolução n. 23, de 29 de julho de 2010</w:t>
        </w:r>
      </w:hyperlink>
      <w:r w:rsidR="00C44F5E" w:rsidRPr="00627CEB"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E5FF6" w14:textId="77777777" w:rsidR="00C31673" w:rsidRDefault="00C3167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FEF89" w14:textId="77777777" w:rsidR="00956BD1" w:rsidRPr="00E4084B" w:rsidRDefault="00985FED" w:rsidP="00956BD1">
    <w:pPr>
      <w:tabs>
        <w:tab w:val="center" w:pos="4252"/>
        <w:tab w:val="right" w:pos="8504"/>
      </w:tabs>
      <w:spacing w:before="480" w:after="120"/>
      <w:ind w:left="1134"/>
      <w:jc w:val="center"/>
      <w:rPr>
        <w:rFonts w:ascii="Arial" w:hAnsi="Arial" w:cs="Arial"/>
        <w:b/>
        <w:sz w:val="30"/>
        <w:szCs w:val="30"/>
      </w:rPr>
    </w:pPr>
    <w:r>
      <w:rPr>
        <w:noProof/>
        <w:sz w:val="24"/>
        <w:szCs w:val="24"/>
        <w:lang w:val="pt-BR"/>
      </w:rPr>
      <w:drawing>
        <wp:anchor distT="0" distB="0" distL="114300" distR="114300" simplePos="0" relativeHeight="251659264" behindDoc="0" locked="0" layoutInCell="1" allowOverlap="1" wp14:anchorId="3A7FEF8B" wp14:editId="3A7FEF8C">
          <wp:simplePos x="0" y="0"/>
          <wp:positionH relativeFrom="column">
            <wp:posOffset>-3175</wp:posOffset>
          </wp:positionH>
          <wp:positionV relativeFrom="paragraph">
            <wp:posOffset>57785</wp:posOffset>
          </wp:positionV>
          <wp:extent cx="605790" cy="712470"/>
          <wp:effectExtent l="0" t="0" r="3810" b="0"/>
          <wp:wrapSquare wrapText="bothSides"/>
          <wp:docPr id="1" name="Imagem 1" descr="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084B">
      <w:rPr>
        <w:rFonts w:ascii="Arial" w:hAnsi="Arial" w:cs="Arial"/>
        <w:b/>
        <w:sz w:val="30"/>
        <w:szCs w:val="30"/>
      </w:rPr>
      <w:t>TRIBUNAL DE CONTAS DO ESTADO DO PARANÁ</w:t>
    </w:r>
  </w:p>
  <w:p w14:paraId="3A7FEF8A" w14:textId="77777777" w:rsidR="00956BD1" w:rsidRDefault="0096391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46D3A" w14:textId="77777777" w:rsidR="00C31673" w:rsidRDefault="00C316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31862"/>
    <w:multiLevelType w:val="hybridMultilevel"/>
    <w:tmpl w:val="B710542E"/>
    <w:lvl w:ilvl="0" w:tplc="F2007EE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93B96"/>
    <w:multiLevelType w:val="hybridMultilevel"/>
    <w:tmpl w:val="C324DB52"/>
    <w:lvl w:ilvl="0" w:tplc="8256B8A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433942">
    <w:abstractNumId w:val="1"/>
  </w:num>
  <w:num w:numId="2" w16cid:durableId="1529903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5FED"/>
    <w:rsid w:val="00104CC4"/>
    <w:rsid w:val="00181C63"/>
    <w:rsid w:val="00195D31"/>
    <w:rsid w:val="00227F13"/>
    <w:rsid w:val="003B7377"/>
    <w:rsid w:val="00511A92"/>
    <w:rsid w:val="00627CEB"/>
    <w:rsid w:val="006C53F7"/>
    <w:rsid w:val="00714AF8"/>
    <w:rsid w:val="008A2B22"/>
    <w:rsid w:val="00963912"/>
    <w:rsid w:val="00985FED"/>
    <w:rsid w:val="00B32223"/>
    <w:rsid w:val="00B835C4"/>
    <w:rsid w:val="00C135DC"/>
    <w:rsid w:val="00C31673"/>
    <w:rsid w:val="00C44F5E"/>
    <w:rsid w:val="00CE7E4C"/>
    <w:rsid w:val="00D37819"/>
    <w:rsid w:val="00E2122A"/>
    <w:rsid w:val="00E3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7FEF67"/>
  <w15:docId w15:val="{B8611B6A-0D70-4B61-953D-0B759863E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85F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85FED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Textodenotaderodap">
    <w:name w:val="footnote text"/>
    <w:basedOn w:val="Normal"/>
    <w:link w:val="TextodenotaderodapChar"/>
    <w:unhideWhenUsed/>
    <w:rsid w:val="00714AF8"/>
  </w:style>
  <w:style w:type="character" w:customStyle="1" w:styleId="TextodenotaderodapChar">
    <w:name w:val="Texto de nota de rodapé Char"/>
    <w:basedOn w:val="Fontepargpadro"/>
    <w:link w:val="Textodenotaderodap"/>
    <w:rsid w:val="00714AF8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714AF8"/>
    <w:rPr>
      <w:vertAlign w:val="superscript"/>
    </w:rPr>
  </w:style>
  <w:style w:type="paragraph" w:customStyle="1" w:styleId="Ementa">
    <w:name w:val="Ementa"/>
    <w:basedOn w:val="Normal"/>
    <w:rsid w:val="00714AF8"/>
    <w:pPr>
      <w:spacing w:before="240" w:after="240"/>
      <w:ind w:left="4253"/>
      <w:jc w:val="both"/>
    </w:pPr>
    <w:rPr>
      <w:rFonts w:ascii="Arial" w:hAnsi="Arial"/>
      <w:bCs/>
      <w:sz w:val="22"/>
      <w:szCs w:val="24"/>
      <w:lang w:val="pt-BR"/>
    </w:rPr>
  </w:style>
  <w:style w:type="character" w:styleId="Hyperlink">
    <w:name w:val="Hyperlink"/>
    <w:basedOn w:val="Fontepargpadro"/>
    <w:rsid w:val="00714AF8"/>
    <w:rPr>
      <w:rFonts w:ascii="Arial" w:hAnsi="Arial"/>
      <w:color w:val="0000FF"/>
      <w:sz w:val="16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C53F7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627CEB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C316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31673"/>
    <w:rPr>
      <w:rFonts w:ascii="Times New Roman" w:eastAsia="Times New Roman" w:hAnsi="Times New Roman" w:cs="Times New Roman"/>
      <w:sz w:val="20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tce.pr.gov.br/conteudo/resolucao-n-23-de-29-de-julho-de-2010/1381/area/1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1.tce.pr.gov.br/conteudo/resolucao-n-23-de-29-de-julho-de-2010/1381/area/10" TargetMode="Externa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1.tce.pr.gov.br/conteudo/resolucao-n-23-de-29-de-julho-de-2010/1381/area/10" TargetMode="External"/><Relationship Id="rId2" Type="http://schemas.openxmlformats.org/officeDocument/2006/relationships/hyperlink" Target="https://www1.tce.pr.gov.br/multimidia/2011/6/pdf/00011224.pdf" TargetMode="External"/><Relationship Id="rId1" Type="http://schemas.openxmlformats.org/officeDocument/2006/relationships/hyperlink" Target="http://www1.tce.pr.gov.br/multimidia/2011/6/pdf/00000285.pd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69F5F-8088-49D6-AF83-5A4086460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640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Yarusya Rohrich da Fonseca</dc:creator>
  <cp:lastModifiedBy>Yarusya</cp:lastModifiedBy>
  <cp:revision>17</cp:revision>
  <dcterms:created xsi:type="dcterms:W3CDTF">2011-06-09T14:50:00Z</dcterms:created>
  <dcterms:modified xsi:type="dcterms:W3CDTF">2022-06-29T17:00:00Z</dcterms:modified>
</cp:coreProperties>
</file>