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5875" w14:textId="3518E54F" w:rsidR="00BD4CB2" w:rsidRDefault="00BD4CB2" w:rsidP="00830342">
      <w:pPr>
        <w:spacing w:after="0" w:line="240" w:lineRule="auto"/>
        <w:jc w:val="center"/>
        <w:rPr>
          <w:rFonts w:ascii="Arial" w:hAnsi="Arial" w:cs="Arial"/>
          <w:b/>
          <w:bCs/>
          <w:sz w:val="28"/>
          <w:szCs w:val="28"/>
        </w:rPr>
      </w:pPr>
      <w:bookmarkStart w:id="0" w:name="_Hlk54706287"/>
      <w:bookmarkStart w:id="1" w:name="_Hlk54706223"/>
      <w:r w:rsidRPr="0048715C">
        <w:rPr>
          <w:rFonts w:ascii="Arial" w:hAnsi="Arial" w:cs="Arial"/>
          <w:b/>
          <w:bCs/>
          <w:sz w:val="28"/>
          <w:szCs w:val="28"/>
        </w:rPr>
        <w:t>INSTRUÇÃO NORMATIVA</w:t>
      </w:r>
      <w:r w:rsidR="007A6ED1">
        <w:rPr>
          <w:rFonts w:ascii="Arial" w:hAnsi="Arial" w:cs="Arial"/>
          <w:b/>
          <w:bCs/>
          <w:sz w:val="28"/>
          <w:szCs w:val="28"/>
        </w:rPr>
        <w:t xml:space="preserve"> Nº 161/2021</w:t>
      </w:r>
      <w:r w:rsidR="00B03F23">
        <w:rPr>
          <w:rStyle w:val="Refdenotaderodap"/>
          <w:rFonts w:ascii="Arial" w:hAnsi="Arial" w:cs="Arial"/>
          <w:b/>
          <w:bCs/>
          <w:sz w:val="28"/>
          <w:szCs w:val="28"/>
        </w:rPr>
        <w:footnoteReference w:id="1"/>
      </w:r>
    </w:p>
    <w:p w14:paraId="4756F922" w14:textId="235BE326" w:rsidR="00830342" w:rsidRPr="00830342" w:rsidRDefault="00830342" w:rsidP="00830342">
      <w:pPr>
        <w:spacing w:line="240" w:lineRule="auto"/>
        <w:jc w:val="center"/>
        <w:rPr>
          <w:rFonts w:ascii="Arial" w:hAnsi="Arial" w:cs="Arial"/>
          <w:b/>
          <w:bCs/>
          <w:color w:val="0000FF"/>
          <w:sz w:val="26"/>
          <w:szCs w:val="26"/>
        </w:rPr>
      </w:pPr>
      <w:r w:rsidRPr="00830342">
        <w:rPr>
          <w:rFonts w:ascii="Arial" w:hAnsi="Arial" w:cs="Arial"/>
          <w:b/>
          <w:bCs/>
          <w:color w:val="0000FF"/>
          <w:sz w:val="26"/>
          <w:szCs w:val="26"/>
        </w:rPr>
        <w:t>CO</w:t>
      </w:r>
      <w:r w:rsidR="003D41DA">
        <w:rPr>
          <w:rFonts w:ascii="Arial" w:hAnsi="Arial" w:cs="Arial"/>
          <w:b/>
          <w:bCs/>
          <w:color w:val="0000FF"/>
          <w:sz w:val="26"/>
          <w:szCs w:val="26"/>
        </w:rPr>
        <w:t>MPILADA</w:t>
      </w:r>
    </w:p>
    <w:p w14:paraId="59CF5193" w14:textId="3A176AC4" w:rsidR="00BD4CB2" w:rsidRPr="00F53360" w:rsidRDefault="00BD4CB2" w:rsidP="00BD4CB2">
      <w:pPr>
        <w:pStyle w:val="Ementa"/>
        <w:spacing w:before="360" w:after="360"/>
        <w:ind w:left="4536"/>
        <w:rPr>
          <w:rFonts w:cs="Arial"/>
          <w:i/>
          <w:szCs w:val="22"/>
        </w:rPr>
      </w:pPr>
      <w:r w:rsidRPr="00F53360">
        <w:rPr>
          <w:rFonts w:cs="Arial"/>
          <w:i/>
          <w:szCs w:val="22"/>
        </w:rPr>
        <w:t xml:space="preserve">Dispõe sobre a composição do processo de Prestação de Contas de Extinção de Entidade, estabelece o seu escopo de análise e altera </w:t>
      </w:r>
      <w:r w:rsidRPr="00FA0B61">
        <w:rPr>
          <w:rFonts w:cs="Arial"/>
          <w:i/>
          <w:color w:val="0000FF"/>
          <w:szCs w:val="22"/>
        </w:rPr>
        <w:t xml:space="preserve">a </w:t>
      </w:r>
      <w:hyperlink r:id="rId8" w:history="1">
        <w:r w:rsidRPr="0005459A">
          <w:rPr>
            <w:rStyle w:val="Hyperlink"/>
            <w:rFonts w:cs="Arial"/>
            <w:i/>
            <w:color w:val="0000FF"/>
            <w:szCs w:val="22"/>
          </w:rPr>
          <w:t>Instrução Normativa nº 82/2012</w:t>
        </w:r>
      </w:hyperlink>
      <w:r w:rsidRPr="00F53360">
        <w:rPr>
          <w:rFonts w:cs="Arial"/>
          <w:i/>
          <w:szCs w:val="22"/>
        </w:rPr>
        <w:t>.</w:t>
      </w:r>
    </w:p>
    <w:p w14:paraId="017962C7" w14:textId="2BC71E3F" w:rsidR="00BD4CB2" w:rsidRPr="00CD66C6" w:rsidRDefault="00BD4CB2" w:rsidP="00BD4CB2">
      <w:pPr>
        <w:pStyle w:val="Texto"/>
        <w:spacing w:before="240" w:after="240"/>
        <w:ind w:firstLine="1134"/>
        <w:rPr>
          <w:sz w:val="24"/>
        </w:rPr>
      </w:pPr>
      <w:r w:rsidRPr="00F53360">
        <w:rPr>
          <w:bCs/>
          <w:sz w:val="24"/>
        </w:rPr>
        <w:t>O</w:t>
      </w:r>
      <w:r w:rsidRPr="00CD66C6">
        <w:rPr>
          <w:b/>
          <w:sz w:val="24"/>
        </w:rPr>
        <w:t xml:space="preserve"> TRIBUNAL DE CONTAS DO ESTADO DO PARANÁ, </w:t>
      </w:r>
      <w:r w:rsidRPr="00CD66C6">
        <w:rPr>
          <w:sz w:val="24"/>
        </w:rPr>
        <w:t>no uso das atribuições contidas no art. 2º, I, da Lei Complementar nº 113, de 15 de dezembro de 2005,</w:t>
      </w:r>
      <w:r w:rsidR="00525F65">
        <w:rPr>
          <w:sz w:val="24"/>
        </w:rPr>
        <w:t xml:space="preserve"> </w:t>
      </w:r>
      <w:r w:rsidR="00525F65" w:rsidRPr="003F476B">
        <w:rPr>
          <w:sz w:val="24"/>
        </w:rPr>
        <w:t>e art. 5º, XIII, do Regimento Interno,</w:t>
      </w:r>
      <w:r w:rsidRPr="003F476B">
        <w:rPr>
          <w:sz w:val="24"/>
        </w:rPr>
        <w:t xml:space="preserve"> e com base nos arts. </w:t>
      </w:r>
      <w:r w:rsidR="00525F65" w:rsidRPr="003F476B">
        <w:rPr>
          <w:sz w:val="24"/>
        </w:rPr>
        <w:t xml:space="preserve">219, parágrafo único, e </w:t>
      </w:r>
      <w:r w:rsidRPr="003F476B">
        <w:rPr>
          <w:sz w:val="24"/>
        </w:rPr>
        <w:t>33</w:t>
      </w:r>
      <w:r w:rsidRPr="00CD66C6">
        <w:rPr>
          <w:sz w:val="24"/>
        </w:rPr>
        <w:t xml:space="preserve">0, c/c </w:t>
      </w:r>
      <w:r w:rsidR="007E0463">
        <w:rPr>
          <w:sz w:val="24"/>
        </w:rPr>
        <w:t xml:space="preserve">os </w:t>
      </w:r>
      <w:r w:rsidRPr="00CD66C6">
        <w:rPr>
          <w:sz w:val="24"/>
        </w:rPr>
        <w:t xml:space="preserve">arts. 193 e 194, do Regimento Interno, e considerando o </w:t>
      </w:r>
      <w:hyperlink r:id="rId9" w:history="1">
        <w:r w:rsidRPr="00537464">
          <w:rPr>
            <w:rStyle w:val="Hyperlink"/>
            <w:color w:val="0000FF"/>
            <w:sz w:val="24"/>
          </w:rPr>
          <w:t xml:space="preserve">Acórdão nº </w:t>
        </w:r>
        <w:r w:rsidR="007A6ED1" w:rsidRPr="00537464">
          <w:rPr>
            <w:rStyle w:val="Hyperlink"/>
            <w:color w:val="0000FF"/>
            <w:sz w:val="24"/>
          </w:rPr>
          <w:t xml:space="preserve">68/2021 </w:t>
        </w:r>
        <w:r w:rsidRPr="00537464">
          <w:rPr>
            <w:rStyle w:val="Hyperlink"/>
            <w:color w:val="0000FF"/>
            <w:sz w:val="24"/>
          </w:rPr>
          <w:t>- Tribunal Pleno</w:t>
        </w:r>
      </w:hyperlink>
      <w:r w:rsidRPr="00CD66C6">
        <w:rPr>
          <w:sz w:val="24"/>
        </w:rPr>
        <w:t xml:space="preserve">, Processo nº </w:t>
      </w:r>
      <w:r w:rsidR="007A6ED1">
        <w:rPr>
          <w:sz w:val="24"/>
        </w:rPr>
        <w:t>580339/20</w:t>
      </w:r>
      <w:r w:rsidRPr="00CD66C6">
        <w:rPr>
          <w:sz w:val="24"/>
        </w:rPr>
        <w:t>,</w:t>
      </w:r>
    </w:p>
    <w:p w14:paraId="28CF0EC3" w14:textId="77777777" w:rsidR="00BD4CB2" w:rsidRPr="00CD66C6" w:rsidRDefault="00BD4CB2" w:rsidP="0048715C">
      <w:pPr>
        <w:pStyle w:val="Texto"/>
        <w:spacing w:before="360" w:after="240"/>
        <w:ind w:firstLine="1134"/>
        <w:rPr>
          <w:rFonts w:cs="Arial"/>
          <w:b/>
          <w:bCs/>
          <w:sz w:val="24"/>
        </w:rPr>
      </w:pPr>
      <w:r w:rsidRPr="00CD66C6">
        <w:rPr>
          <w:rFonts w:cs="Arial"/>
          <w:b/>
          <w:bCs/>
          <w:sz w:val="24"/>
        </w:rPr>
        <w:t>RESOLVE</w:t>
      </w:r>
      <w:r>
        <w:rPr>
          <w:rFonts w:cs="Arial"/>
          <w:b/>
          <w:bCs/>
          <w:sz w:val="24"/>
        </w:rPr>
        <w:t>:</w:t>
      </w:r>
    </w:p>
    <w:p w14:paraId="2A761799" w14:textId="77777777" w:rsidR="00BD4CB2" w:rsidRPr="0048715C" w:rsidRDefault="00BD4CB2" w:rsidP="0048715C">
      <w:pPr>
        <w:pStyle w:val="Ttulo1"/>
        <w:numPr>
          <w:ilvl w:val="0"/>
          <w:numId w:val="0"/>
        </w:numPr>
        <w:spacing w:before="120"/>
        <w:ind w:left="431"/>
        <w:rPr>
          <w:rFonts w:ascii="Arial" w:hAnsi="Arial" w:cs="Arial"/>
          <w:b/>
          <w:bCs/>
          <w:sz w:val="24"/>
        </w:rPr>
      </w:pPr>
      <w:bookmarkStart w:id="2" w:name="_Toc54867115"/>
      <w:r w:rsidRPr="0048715C">
        <w:rPr>
          <w:rFonts w:ascii="Arial" w:hAnsi="Arial" w:cs="Arial"/>
          <w:b/>
          <w:bCs/>
          <w:sz w:val="24"/>
        </w:rPr>
        <w:t>CAPÍTULO I</w:t>
      </w:r>
      <w:bookmarkEnd w:id="2"/>
    </w:p>
    <w:p w14:paraId="0F7415E0" w14:textId="77777777" w:rsidR="00BD4CB2" w:rsidRPr="0048715C" w:rsidRDefault="00BD4CB2" w:rsidP="0048715C">
      <w:pPr>
        <w:pStyle w:val="Ttulo1"/>
        <w:numPr>
          <w:ilvl w:val="0"/>
          <w:numId w:val="0"/>
        </w:numPr>
        <w:ind w:left="432"/>
        <w:rPr>
          <w:rFonts w:ascii="Arial" w:hAnsi="Arial" w:cs="Arial"/>
          <w:b/>
          <w:bCs/>
          <w:sz w:val="24"/>
        </w:rPr>
      </w:pPr>
      <w:bookmarkStart w:id="3" w:name="_Toc54867116"/>
      <w:r w:rsidRPr="0048715C">
        <w:rPr>
          <w:rFonts w:ascii="Arial" w:hAnsi="Arial" w:cs="Arial"/>
          <w:b/>
          <w:bCs/>
          <w:sz w:val="24"/>
        </w:rPr>
        <w:t>DA APLICABILIDADE</w:t>
      </w:r>
      <w:bookmarkEnd w:id="3"/>
    </w:p>
    <w:p w14:paraId="7377E091" w14:textId="77777777" w:rsidR="00BD4CB2" w:rsidRPr="00CD66C6" w:rsidRDefault="00BD4CB2" w:rsidP="00ED0689">
      <w:pPr>
        <w:pStyle w:val="Assina"/>
        <w:spacing w:before="120" w:after="0" w:line="240" w:lineRule="auto"/>
        <w:ind w:firstLine="1134"/>
        <w:jc w:val="both"/>
        <w:rPr>
          <w:rFonts w:ascii="Arial" w:hAnsi="Arial" w:cs="Arial"/>
        </w:rPr>
      </w:pPr>
      <w:bookmarkStart w:id="4" w:name="_Hlk22723992"/>
      <w:r w:rsidRPr="00CD66C6">
        <w:rPr>
          <w:rFonts w:ascii="Arial" w:hAnsi="Arial" w:cs="Arial"/>
          <w:b/>
        </w:rPr>
        <w:t>Art. 1º</w:t>
      </w:r>
      <w:r w:rsidRPr="00CD66C6">
        <w:rPr>
          <w:rFonts w:cs="Arial"/>
          <w:b/>
        </w:rPr>
        <w:t xml:space="preserve"> </w:t>
      </w:r>
      <w:r w:rsidRPr="00CD66C6">
        <w:rPr>
          <w:rFonts w:ascii="Arial" w:hAnsi="Arial" w:cs="Arial"/>
        </w:rPr>
        <w:t>Esta Instrução Normativa estabelece o escopo de análise para as Prestações de Contas de Extinção de Entidades Estaduais e Municipais, do Estado do Paraná, compreendendo as Administrações Direta e Indireta.</w:t>
      </w:r>
    </w:p>
    <w:p w14:paraId="58EF06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Para efeito das normas desta Instrução, a Administração Indireta abrange:</w:t>
      </w:r>
    </w:p>
    <w:p w14:paraId="64EBCDC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fundos com contabilidade descentralizada;</w:t>
      </w:r>
    </w:p>
    <w:p w14:paraId="4542628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autarquias;</w:t>
      </w:r>
    </w:p>
    <w:p w14:paraId="1EC991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III</w:t>
      </w:r>
      <w:r>
        <w:rPr>
          <w:rFonts w:ascii="Arial" w:hAnsi="Arial" w:cs="Arial"/>
        </w:rPr>
        <w:t xml:space="preserve"> -</w:t>
      </w:r>
      <w:r w:rsidRPr="00CD66C6">
        <w:rPr>
          <w:rFonts w:ascii="Arial" w:hAnsi="Arial" w:cs="Arial"/>
        </w:rPr>
        <w:t xml:space="preserve"> órgãos de regime especial;</w:t>
      </w:r>
    </w:p>
    <w:p w14:paraId="35D0930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serviços sociais autônomos;</w:t>
      </w:r>
    </w:p>
    <w:p w14:paraId="1DA51B5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 </w:t>
      </w:r>
      <w:r>
        <w:rPr>
          <w:rFonts w:ascii="Arial" w:hAnsi="Arial" w:cs="Arial"/>
        </w:rPr>
        <w:t>-</w:t>
      </w:r>
      <w:r w:rsidRPr="00CD66C6">
        <w:rPr>
          <w:rFonts w:ascii="Arial" w:hAnsi="Arial" w:cs="Arial"/>
        </w:rPr>
        <w:t xml:space="preserve"> fundações de direito público;</w:t>
      </w:r>
    </w:p>
    <w:p w14:paraId="621650A9"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 </w:t>
      </w:r>
      <w:r>
        <w:rPr>
          <w:rFonts w:ascii="Arial" w:hAnsi="Arial" w:cs="Arial"/>
        </w:rPr>
        <w:t>-</w:t>
      </w:r>
      <w:r w:rsidRPr="00CD66C6">
        <w:rPr>
          <w:rFonts w:ascii="Arial" w:hAnsi="Arial" w:cs="Arial"/>
        </w:rPr>
        <w:t xml:space="preserve"> consórcios intermunicipais e entidades congêneres;</w:t>
      </w:r>
    </w:p>
    <w:p w14:paraId="0D2159D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 </w:t>
      </w:r>
      <w:r>
        <w:rPr>
          <w:rFonts w:ascii="Arial" w:hAnsi="Arial" w:cs="Arial"/>
        </w:rPr>
        <w:t>-</w:t>
      </w:r>
      <w:r w:rsidRPr="00CD66C6">
        <w:rPr>
          <w:rFonts w:ascii="Arial" w:hAnsi="Arial" w:cs="Arial"/>
        </w:rPr>
        <w:t xml:space="preserve"> empresas públicas;</w:t>
      </w:r>
    </w:p>
    <w:p w14:paraId="5381071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VIII </w:t>
      </w:r>
      <w:r>
        <w:rPr>
          <w:rFonts w:ascii="Arial" w:hAnsi="Arial" w:cs="Arial"/>
        </w:rPr>
        <w:t>-</w:t>
      </w:r>
      <w:r w:rsidRPr="00CD66C6">
        <w:rPr>
          <w:rFonts w:ascii="Arial" w:hAnsi="Arial" w:cs="Arial"/>
        </w:rPr>
        <w:t xml:space="preserve"> sociedades de economia mista;</w:t>
      </w:r>
    </w:p>
    <w:p w14:paraId="17F8EF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IX </w:t>
      </w:r>
      <w:r>
        <w:rPr>
          <w:rFonts w:ascii="Arial" w:hAnsi="Arial" w:cs="Arial"/>
        </w:rPr>
        <w:t>-</w:t>
      </w:r>
      <w:r w:rsidRPr="00CD66C6">
        <w:rPr>
          <w:rFonts w:ascii="Arial" w:hAnsi="Arial" w:cs="Arial"/>
        </w:rPr>
        <w:t xml:space="preserve"> fundações públicas de direito privado.</w:t>
      </w:r>
    </w:p>
    <w:bookmarkEnd w:id="4"/>
    <w:p w14:paraId="43FDFB3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obrigatoriedade de apresentação de Prestação de Contas de Extinção aplica-se para as entidades que tenham sido extintas em virtude de uma das seguintes situações:</w:t>
      </w:r>
    </w:p>
    <w:p w14:paraId="019BCFA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 </w:t>
      </w:r>
      <w:r>
        <w:rPr>
          <w:rFonts w:ascii="Arial" w:hAnsi="Arial" w:cs="Arial"/>
        </w:rPr>
        <w:t>-</w:t>
      </w:r>
      <w:r w:rsidRPr="00CD66C6">
        <w:rPr>
          <w:rFonts w:ascii="Arial" w:hAnsi="Arial" w:cs="Arial"/>
        </w:rPr>
        <w:t xml:space="preserve"> incorporação, caracterizada quando a entidade tiver sido absorvida por outra, que lhe sucede em todos os direitos e obrigações, extinguindo-se a incorporada;</w:t>
      </w:r>
    </w:p>
    <w:p w14:paraId="51798BD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cisão total, caracterizada quando a entidade tiver transferido todo o seu patrimônio para outra entidade, extinguindo-se a cindida;</w:t>
      </w:r>
    </w:p>
    <w:p w14:paraId="3EF57E1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xml:space="preserve">III </w:t>
      </w:r>
      <w:r>
        <w:rPr>
          <w:rFonts w:ascii="Arial" w:hAnsi="Arial" w:cs="Arial"/>
        </w:rPr>
        <w:t>-</w:t>
      </w:r>
      <w:r w:rsidRPr="00CD66C6">
        <w:rPr>
          <w:rFonts w:ascii="Arial" w:hAnsi="Arial" w:cs="Arial"/>
        </w:rPr>
        <w:t xml:space="preserve"> fusão, caracterizada quando tiver ocorrido a união de duas ou mais entidades para formar uma nova entidade, que lhe sucede em todos os direitos e obrigações, extinguindo-se as fusionadas;</w:t>
      </w:r>
    </w:p>
    <w:p w14:paraId="6AF3CB6A"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IV </w:t>
      </w:r>
      <w:r>
        <w:rPr>
          <w:rFonts w:ascii="Arial" w:hAnsi="Arial" w:cs="Arial"/>
        </w:rPr>
        <w:t>-</w:t>
      </w:r>
      <w:r w:rsidRPr="00CD66C6">
        <w:rPr>
          <w:rFonts w:ascii="Arial" w:hAnsi="Arial" w:cs="Arial"/>
        </w:rPr>
        <w:t xml:space="preserve"> privatização: caracterizada pela transferência da entidade estatal para a iniciativa privada.</w:t>
      </w:r>
    </w:p>
    <w:p w14:paraId="6B49B3E4" w14:textId="77777777" w:rsidR="00D47370" w:rsidRPr="00CD66C6" w:rsidRDefault="00D47370" w:rsidP="00ED0689">
      <w:pPr>
        <w:pStyle w:val="Assina"/>
        <w:spacing w:before="120" w:after="0" w:line="240" w:lineRule="auto"/>
        <w:ind w:firstLine="1134"/>
        <w:jc w:val="both"/>
        <w:rPr>
          <w:rFonts w:ascii="Arial" w:hAnsi="Arial" w:cs="Arial"/>
        </w:rPr>
      </w:pPr>
    </w:p>
    <w:p w14:paraId="25CF9A25" w14:textId="77777777" w:rsidR="00BD4CB2" w:rsidRPr="0048715C" w:rsidRDefault="00BD4CB2" w:rsidP="0048715C">
      <w:pPr>
        <w:pStyle w:val="Ttulo1"/>
        <w:numPr>
          <w:ilvl w:val="0"/>
          <w:numId w:val="0"/>
        </w:numPr>
        <w:spacing w:before="120"/>
        <w:ind w:left="431" w:hanging="431"/>
        <w:rPr>
          <w:rFonts w:ascii="Arial" w:hAnsi="Arial" w:cs="Arial"/>
          <w:b/>
          <w:bCs/>
          <w:sz w:val="24"/>
        </w:rPr>
      </w:pPr>
      <w:bookmarkStart w:id="5" w:name="_Toc54867117"/>
      <w:r w:rsidRPr="0048715C">
        <w:rPr>
          <w:rFonts w:ascii="Arial" w:hAnsi="Arial" w:cs="Arial"/>
          <w:b/>
          <w:bCs/>
          <w:sz w:val="24"/>
        </w:rPr>
        <w:t>CAPÍTULO II</w:t>
      </w:r>
      <w:bookmarkEnd w:id="5"/>
    </w:p>
    <w:p w14:paraId="28594201" w14:textId="77777777" w:rsidR="00BD4CB2" w:rsidRPr="0048715C" w:rsidRDefault="00BD4CB2" w:rsidP="0048715C">
      <w:pPr>
        <w:pStyle w:val="Ttulo1"/>
        <w:numPr>
          <w:ilvl w:val="0"/>
          <w:numId w:val="0"/>
        </w:numPr>
        <w:ind w:left="432" w:hanging="432"/>
        <w:rPr>
          <w:rFonts w:ascii="Arial" w:hAnsi="Arial" w:cs="Arial"/>
          <w:b/>
          <w:bCs/>
          <w:sz w:val="24"/>
        </w:rPr>
      </w:pPr>
      <w:bookmarkStart w:id="6" w:name="_Toc54867118"/>
      <w:r w:rsidRPr="0048715C">
        <w:rPr>
          <w:rFonts w:ascii="Arial" w:hAnsi="Arial" w:cs="Arial"/>
          <w:b/>
          <w:bCs/>
          <w:sz w:val="24"/>
        </w:rPr>
        <w:t>DOS RESPONSÁVEIS</w:t>
      </w:r>
      <w:bookmarkEnd w:id="6"/>
    </w:p>
    <w:p w14:paraId="0345DB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2º</w:t>
      </w:r>
      <w:r w:rsidRPr="00CD66C6">
        <w:rPr>
          <w:rFonts w:ascii="Arial" w:hAnsi="Arial" w:cs="Arial"/>
        </w:rPr>
        <w:t xml:space="preserve"> Nos processos de Prestações de Contas de Extinção de Entidade, consideram-se:</w:t>
      </w:r>
    </w:p>
    <w:p w14:paraId="2A04C375" w14:textId="77777777" w:rsidR="00BD4CB2" w:rsidRPr="00CD66C6" w:rsidRDefault="00BD4CB2" w:rsidP="00ED0689">
      <w:pPr>
        <w:pStyle w:val="Assina"/>
        <w:spacing w:before="120" w:after="0" w:line="240" w:lineRule="auto"/>
        <w:ind w:firstLine="1134"/>
        <w:jc w:val="both"/>
        <w:rPr>
          <w:rFonts w:ascii="Arial" w:hAnsi="Arial" w:cs="Arial"/>
          <w:strike/>
        </w:rPr>
      </w:pPr>
      <w:r w:rsidRPr="00CD66C6">
        <w:rPr>
          <w:rFonts w:ascii="Arial" w:hAnsi="Arial" w:cs="Arial"/>
        </w:rPr>
        <w:t>I - gestor das contas: o(s) representante(s) legal(is) da entidade até a data da extinção;</w:t>
      </w:r>
    </w:p>
    <w:p w14:paraId="13CB366D"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gestor atual: o representante legal da entidade sucessora responsável pela apresentação da prestação de contas da entidade extinta.</w:t>
      </w:r>
    </w:p>
    <w:p w14:paraId="75F3B2AF" w14:textId="77777777" w:rsidR="00BD4CB2" w:rsidRDefault="00BD4CB2" w:rsidP="00ED0689">
      <w:pPr>
        <w:pStyle w:val="Assina"/>
        <w:spacing w:before="120" w:after="0" w:line="240" w:lineRule="auto"/>
        <w:ind w:firstLine="1134"/>
        <w:jc w:val="both"/>
        <w:rPr>
          <w:rFonts w:ascii="Arial" w:hAnsi="Arial" w:cs="Arial"/>
        </w:rPr>
      </w:pPr>
      <w:r w:rsidRPr="007F3DF8">
        <w:rPr>
          <w:rFonts w:ascii="Arial" w:hAnsi="Arial" w:cs="Arial"/>
        </w:rPr>
        <w:t>Parágrafo único.</w:t>
      </w:r>
      <w:r w:rsidRPr="00CD66C6">
        <w:rPr>
          <w:rFonts w:ascii="Arial" w:hAnsi="Arial" w:cs="Arial"/>
        </w:rPr>
        <w:t xml:space="preserve"> Designa-se gestor das contas o Presidente, o Diretor-Presidente, o Superintendente, o Liquidante ou quem a lei designar.</w:t>
      </w:r>
    </w:p>
    <w:p w14:paraId="2EAE2D9F" w14:textId="77777777" w:rsidR="00D47370" w:rsidRPr="00CD66C6" w:rsidRDefault="00D47370" w:rsidP="00ED0689">
      <w:pPr>
        <w:pStyle w:val="Assina"/>
        <w:spacing w:before="120" w:after="0" w:line="240" w:lineRule="auto"/>
        <w:ind w:firstLine="1134"/>
        <w:jc w:val="both"/>
        <w:rPr>
          <w:rFonts w:ascii="Arial" w:hAnsi="Arial" w:cs="Arial"/>
        </w:rPr>
      </w:pPr>
    </w:p>
    <w:p w14:paraId="211AE188"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7" w:name="_Toc54867119"/>
      <w:r w:rsidRPr="00D34733">
        <w:rPr>
          <w:rFonts w:ascii="Arial" w:hAnsi="Arial" w:cs="Arial"/>
          <w:b/>
          <w:bCs/>
          <w:sz w:val="24"/>
        </w:rPr>
        <w:t>CAPÍTULO III</w:t>
      </w:r>
      <w:bookmarkEnd w:id="7"/>
    </w:p>
    <w:p w14:paraId="1F4ADEEC" w14:textId="77777777" w:rsidR="00BD4CB2" w:rsidRPr="00D34733" w:rsidRDefault="00BD4CB2" w:rsidP="00D34733">
      <w:pPr>
        <w:pStyle w:val="Ttulo1"/>
        <w:numPr>
          <w:ilvl w:val="0"/>
          <w:numId w:val="0"/>
        </w:numPr>
        <w:ind w:left="432" w:hanging="432"/>
        <w:rPr>
          <w:rFonts w:ascii="Arial" w:hAnsi="Arial" w:cs="Arial"/>
          <w:b/>
          <w:bCs/>
          <w:sz w:val="24"/>
        </w:rPr>
      </w:pPr>
      <w:bookmarkStart w:id="8" w:name="_Toc54867120"/>
      <w:r w:rsidRPr="00D34733">
        <w:rPr>
          <w:rFonts w:ascii="Arial" w:hAnsi="Arial" w:cs="Arial"/>
          <w:b/>
          <w:bCs/>
          <w:sz w:val="24"/>
        </w:rPr>
        <w:t>DA COMPOSIÇÃO DO PROCESSO DE PRESTAÇÃO DE CONTAS DE</w:t>
      </w:r>
      <w:r w:rsidR="00D34733" w:rsidRPr="00D34733">
        <w:rPr>
          <w:rFonts w:ascii="Arial" w:hAnsi="Arial" w:cs="Arial"/>
          <w:b/>
          <w:bCs/>
          <w:sz w:val="24"/>
        </w:rPr>
        <w:t xml:space="preserve"> </w:t>
      </w:r>
      <w:r w:rsidRPr="00D34733">
        <w:rPr>
          <w:rFonts w:ascii="Arial" w:hAnsi="Arial" w:cs="Arial"/>
          <w:b/>
          <w:bCs/>
          <w:sz w:val="24"/>
        </w:rPr>
        <w:t>EXTINÇÃO</w:t>
      </w:r>
      <w:bookmarkEnd w:id="8"/>
    </w:p>
    <w:p w14:paraId="1656C646"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3º</w:t>
      </w:r>
      <w:r w:rsidRPr="00CD66C6">
        <w:rPr>
          <w:rFonts w:ascii="Arial" w:hAnsi="Arial" w:cs="Arial"/>
        </w:rPr>
        <w:t xml:space="preserve"> O recebimento da Prestação de Contas de Extinção de Entidade fica condicionado à identificação dos responsáveis pela entidade, indicando-se as datas de início e fim dos períodos de responsabilidade, dentro do exercício financeiro de competência das contas.</w:t>
      </w:r>
    </w:p>
    <w:p w14:paraId="1A012A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Deverão estar previamente cadastrados no Sistema de Cadastro do Tribunal de Contas todos os gestores que responderam pela entidade no exercício de competência da prestação de contas, os responsáveis pela Contabilidade e pelo Controle Interno do mesmo período e, ainda, o gestor atual, conforme definido no inciso II, do art. 2º, desta Normativa.</w:t>
      </w:r>
    </w:p>
    <w:p w14:paraId="39C0684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ausência de cadastro ou a falta de atualização poderá acarretar a aplicação de sanções legais e regimentalmente previstas.</w:t>
      </w:r>
    </w:p>
    <w:p w14:paraId="256DF86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3º O responsável técnico pela entidade deverá ser, necessariamente, profissional de contabilidade, com registro ativo e regular junto ao Conselho Regional de Contabilidade.</w:t>
      </w:r>
    </w:p>
    <w:p w14:paraId="06DFB4F5"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4º</w:t>
      </w:r>
      <w:r w:rsidRPr="00CD66C6">
        <w:rPr>
          <w:rFonts w:ascii="Arial" w:hAnsi="Arial" w:cs="Arial"/>
        </w:rPr>
        <w:t xml:space="preserve"> Os processos de Prestações de Contas de Extinção de Entidade serão constituídos de:</w:t>
      </w:r>
    </w:p>
    <w:p w14:paraId="4F2DC23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componentes informatizados, com base nos dados do Sistema de Informações Municipais – Acompanhamento Mensal (SIM-AM) ou do Sistema Estadual de Informações – Captação Eletrônica de Dados (SEI-CED), cuja responsabilidade pelas remessas cabe às próprias entidades, nos prazos estabelecidos na Instrução Normativa específica do Tribunal de Contas;</w:t>
      </w:r>
    </w:p>
    <w:p w14:paraId="297FAB9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documentos relacionados no art. 5º, cuja remessa será efetivada mediante peticionamento eletrônico, na forma definida no art. 6º.</w:t>
      </w:r>
    </w:p>
    <w:p w14:paraId="21E5A46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1º A composição do processo referido neste artigo e, assim, o cumprimento do dever legal da entrega da prestação de contas, somente serão considerados atendidos com a protocolização eletrônica dos componentes referidos</w:t>
      </w:r>
      <w:r w:rsidR="0048715C">
        <w:rPr>
          <w:rFonts w:ascii="Arial" w:hAnsi="Arial" w:cs="Arial"/>
        </w:rPr>
        <w:t xml:space="preserve"> </w:t>
      </w:r>
      <w:r w:rsidRPr="00CD66C6">
        <w:rPr>
          <w:rFonts w:ascii="Arial" w:hAnsi="Arial" w:cs="Arial"/>
        </w:rPr>
        <w:t xml:space="preserve">no inciso II do </w:t>
      </w:r>
      <w:r w:rsidRPr="00CD66C6">
        <w:rPr>
          <w:rFonts w:ascii="Arial" w:hAnsi="Arial" w:cs="Arial"/>
          <w:i/>
        </w:rPr>
        <w:t>caput</w:t>
      </w:r>
      <w:r w:rsidRPr="00CD66C6">
        <w:rPr>
          <w:rFonts w:ascii="Arial" w:hAnsi="Arial" w:cs="Arial"/>
        </w:rPr>
        <w:t xml:space="preserve"> e da remessa aos sistemas referidos no inciso I do </w:t>
      </w:r>
      <w:r w:rsidRPr="00CD66C6">
        <w:rPr>
          <w:rFonts w:ascii="Arial" w:hAnsi="Arial" w:cs="Arial"/>
          <w:i/>
        </w:rPr>
        <w:t>caput</w:t>
      </w:r>
      <w:r w:rsidRPr="00CD66C6">
        <w:rPr>
          <w:rFonts w:ascii="Arial" w:hAnsi="Arial" w:cs="Arial"/>
        </w:rPr>
        <w:t xml:space="preserve"> de todos os dados do exercício.</w:t>
      </w:r>
    </w:p>
    <w:p w14:paraId="01DFFAC1"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falta de quaisquer dos componentes referidos neste artigo caracteriza inadimplência com a obrigação de prestação de contas, o que ensejará a conclusão pela irregularidade das contas, sujeitando o gestor às sanções estabelecidas na legislação.</w:t>
      </w:r>
    </w:p>
    <w:p w14:paraId="08A3659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szCs w:val="24"/>
        </w:rPr>
        <w:t>Art. 5º</w:t>
      </w:r>
      <w:r w:rsidRPr="00CD66C6">
        <w:rPr>
          <w:rFonts w:ascii="Arial" w:hAnsi="Arial" w:cs="Arial"/>
          <w:szCs w:val="24"/>
        </w:rPr>
        <w:t xml:space="preserve"> São documentos que comporão os autos da </w:t>
      </w:r>
      <w:r w:rsidRPr="00CD66C6">
        <w:rPr>
          <w:rFonts w:ascii="Arial" w:hAnsi="Arial" w:cs="Arial"/>
        </w:rPr>
        <w:t>Prestação de Contas de Extinção de Entidade:</w:t>
      </w:r>
    </w:p>
    <w:p w14:paraId="7F7D943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cópia da ata da assembleia que deliberou pela incorporação, cisão total ou fusão da entidade;</w:t>
      </w:r>
    </w:p>
    <w:p w14:paraId="0FAC1FEC" w14:textId="77777777" w:rsidR="00BD4CB2" w:rsidRPr="00CD66C6" w:rsidRDefault="00BD4CB2" w:rsidP="00ED0689">
      <w:pPr>
        <w:pStyle w:val="ArtigosOrdinais"/>
        <w:ind w:firstLine="1134"/>
        <w:rPr>
          <w:rFonts w:cs="Arial"/>
          <w:bCs w:val="0"/>
          <w:sz w:val="24"/>
        </w:rPr>
      </w:pPr>
      <w:r w:rsidRPr="00CD66C6">
        <w:rPr>
          <w:rFonts w:cs="Arial"/>
          <w:bCs w:val="0"/>
          <w:sz w:val="24"/>
        </w:rPr>
        <w:t>II - cópia da(s) lei(s) de extinção da entidade;</w:t>
      </w:r>
    </w:p>
    <w:p w14:paraId="5951678A" w14:textId="77777777" w:rsidR="00BD4CB2" w:rsidRPr="00CD66C6" w:rsidRDefault="00BD4CB2" w:rsidP="00ED0689">
      <w:pPr>
        <w:pStyle w:val="ArtigosOrdinais"/>
        <w:ind w:firstLine="1134"/>
        <w:rPr>
          <w:rFonts w:cs="Arial"/>
          <w:bCs w:val="0"/>
          <w:sz w:val="24"/>
        </w:rPr>
      </w:pPr>
      <w:r w:rsidRPr="00CD66C6">
        <w:rPr>
          <w:rFonts w:cs="Arial"/>
          <w:bCs w:val="0"/>
          <w:sz w:val="24"/>
        </w:rPr>
        <w:t>III - comprovação da destinação dada aos bens, direitos e obrigações da entidade que passou pelo processo de incorporação, cisão total ou fusão, inclusive por meio dos lançamentos contábeis efetuados tanto na entidade extinta quanto na sucessora;</w:t>
      </w:r>
    </w:p>
    <w:p w14:paraId="22FE0BED" w14:textId="77777777" w:rsidR="00BD4CB2" w:rsidRPr="00CD66C6" w:rsidRDefault="00BD4CB2" w:rsidP="00ED0689">
      <w:pPr>
        <w:pStyle w:val="ArtigosOrdinais"/>
        <w:ind w:firstLine="1134"/>
        <w:rPr>
          <w:rFonts w:cs="Arial"/>
          <w:bCs w:val="0"/>
          <w:sz w:val="24"/>
        </w:rPr>
      </w:pPr>
      <w:r w:rsidRPr="00CD66C6">
        <w:rPr>
          <w:rFonts w:cs="Arial"/>
          <w:bCs w:val="0"/>
          <w:sz w:val="24"/>
        </w:rPr>
        <w:t>IV - balanço patrimonial apurado antes da realização das transferências dos Ativos e Passivos, acompanhado de notas explicativas;</w:t>
      </w:r>
    </w:p>
    <w:p w14:paraId="071C4111" w14:textId="77777777" w:rsidR="00BD4CB2" w:rsidRPr="00CD66C6" w:rsidRDefault="00BD4CB2" w:rsidP="00ED0689">
      <w:pPr>
        <w:pStyle w:val="ArtigosOrdinais"/>
        <w:ind w:firstLine="1134"/>
        <w:rPr>
          <w:rFonts w:cs="Arial"/>
          <w:bCs w:val="0"/>
          <w:sz w:val="24"/>
        </w:rPr>
      </w:pPr>
      <w:r w:rsidRPr="00CD66C6">
        <w:rPr>
          <w:rFonts w:cs="Arial"/>
          <w:bCs w:val="0"/>
          <w:sz w:val="24"/>
        </w:rPr>
        <w:t>V - balanço patrimonial de encerramento com os saldos zerados;</w:t>
      </w:r>
    </w:p>
    <w:p w14:paraId="61F8E4F8"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VI - comprovação de baixa do CNPJ junto à Receita Federal do Brasil;</w:t>
      </w:r>
    </w:p>
    <w:p w14:paraId="2474D5FD" w14:textId="77777777" w:rsidR="00BD4CB2" w:rsidRPr="00CD66C6" w:rsidRDefault="00BD4CB2" w:rsidP="00ED0689">
      <w:pPr>
        <w:pStyle w:val="ArtigosOrdinais"/>
        <w:ind w:firstLine="1134"/>
        <w:rPr>
          <w:rFonts w:cs="Arial"/>
          <w:bCs w:val="0"/>
          <w:sz w:val="24"/>
        </w:rPr>
      </w:pPr>
      <w:bookmarkStart w:id="9" w:name="_Hlk22736998"/>
      <w:r w:rsidRPr="00CD66C6">
        <w:rPr>
          <w:rFonts w:cs="Arial"/>
          <w:bCs w:val="0"/>
          <w:sz w:val="24"/>
        </w:rPr>
        <w:t xml:space="preserve">VII </w:t>
      </w:r>
      <w:r>
        <w:rPr>
          <w:rFonts w:cs="Arial"/>
          <w:bCs w:val="0"/>
          <w:sz w:val="24"/>
        </w:rPr>
        <w:t>-</w:t>
      </w:r>
      <w:r w:rsidRPr="00CD66C6">
        <w:rPr>
          <w:rFonts w:cs="Arial"/>
          <w:bCs w:val="0"/>
          <w:sz w:val="24"/>
        </w:rPr>
        <w:t xml:space="preserve"> cópia do ato legal que deliberou pela privatização da entidade, se for o caso;</w:t>
      </w:r>
    </w:p>
    <w:p w14:paraId="314200DC" w14:textId="77777777" w:rsidR="00BD4CB2" w:rsidRPr="00CD66C6" w:rsidRDefault="00BD4CB2" w:rsidP="00ED0689">
      <w:pPr>
        <w:pStyle w:val="ArtigosOrdinais"/>
        <w:ind w:firstLine="1134"/>
        <w:rPr>
          <w:rFonts w:cs="Arial"/>
          <w:bCs w:val="0"/>
          <w:sz w:val="24"/>
        </w:rPr>
      </w:pPr>
      <w:r w:rsidRPr="00CD66C6">
        <w:rPr>
          <w:rFonts w:cs="Arial"/>
          <w:bCs w:val="0"/>
          <w:sz w:val="24"/>
        </w:rPr>
        <w:t xml:space="preserve">VIII </w:t>
      </w:r>
      <w:r>
        <w:rPr>
          <w:rFonts w:cs="Arial"/>
          <w:bCs w:val="0"/>
          <w:sz w:val="24"/>
        </w:rPr>
        <w:t>-</w:t>
      </w:r>
      <w:r w:rsidRPr="00CD66C6">
        <w:rPr>
          <w:rFonts w:cs="Arial"/>
          <w:bCs w:val="0"/>
          <w:sz w:val="24"/>
        </w:rPr>
        <w:t xml:space="preserve"> cópia do contrato de compra e venda da entidade privatizada, se for o caso;</w:t>
      </w:r>
    </w:p>
    <w:p w14:paraId="4C27C95E" w14:textId="77777777" w:rsidR="00BD4CB2" w:rsidRPr="00CD66C6" w:rsidRDefault="00BD4CB2" w:rsidP="00ED0689">
      <w:pPr>
        <w:pStyle w:val="ArtigosOrdinais"/>
        <w:ind w:firstLine="1134"/>
        <w:rPr>
          <w:rFonts w:cs="Arial"/>
        </w:rPr>
      </w:pPr>
      <w:r w:rsidRPr="00CD66C6">
        <w:rPr>
          <w:rFonts w:cs="Arial"/>
          <w:bCs w:val="0"/>
          <w:sz w:val="24"/>
        </w:rPr>
        <w:t xml:space="preserve">IX </w:t>
      </w:r>
      <w:r>
        <w:rPr>
          <w:rFonts w:cs="Arial"/>
          <w:bCs w:val="0"/>
          <w:sz w:val="24"/>
        </w:rPr>
        <w:t>-</w:t>
      </w:r>
      <w:r w:rsidRPr="00CD66C6">
        <w:rPr>
          <w:rFonts w:cs="Arial"/>
          <w:bCs w:val="0"/>
          <w:sz w:val="24"/>
        </w:rPr>
        <w:t xml:space="preserve"> balanço patrimonial do ente público do mês em que ocorreu o registro contábil da baixa do investimento na entidade privatizada, acompanhado dos respectivos lançamentos e notas explicativas, se for o caso.</w:t>
      </w:r>
      <w:bookmarkEnd w:id="9"/>
    </w:p>
    <w:p w14:paraId="2D6505F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inaplicabilidade de quaisquer documentos previstos neste artigo deverá ser expressamente esclarecida pelo responsável, mediante declaração que substitua a peça processual nos autos.</w:t>
      </w:r>
    </w:p>
    <w:p w14:paraId="17A3E23A"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Quando da análise do processo de prestação de contas, se constatada a necessidade de apreciação de outros documentos, será realizada diligência para encaminhamento, no prazo estabelecido pelo art. 389 do Regimento Interno.</w:t>
      </w:r>
    </w:p>
    <w:p w14:paraId="052A95B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6º</w:t>
      </w:r>
      <w:r w:rsidRPr="00CD66C6">
        <w:rPr>
          <w:rFonts w:ascii="Arial" w:hAnsi="Arial" w:cs="Arial"/>
        </w:rPr>
        <w:t xml:space="preserve"> A prestação de contas deverá ser formalizada individualmente pelos jurisdicionados sujeitos a esta Instrução, observando-se as seguintes regras:</w:t>
      </w:r>
    </w:p>
    <w:p w14:paraId="4DBDCA92"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lastRenderedPageBreak/>
        <w:t xml:space="preserve">I </w:t>
      </w:r>
      <w:r>
        <w:rPr>
          <w:rFonts w:ascii="Arial" w:hAnsi="Arial" w:cs="Arial"/>
        </w:rPr>
        <w:t>-</w:t>
      </w:r>
      <w:r w:rsidRPr="00CD66C6">
        <w:rPr>
          <w:rFonts w:ascii="Arial" w:hAnsi="Arial" w:cs="Arial"/>
        </w:rPr>
        <w:t xml:space="preserve"> a elaboração e a autuação dos processos deve</w:t>
      </w:r>
      <w:r>
        <w:rPr>
          <w:rFonts w:ascii="Arial" w:hAnsi="Arial" w:cs="Arial"/>
        </w:rPr>
        <w:t>m</w:t>
      </w:r>
      <w:r w:rsidRPr="00CD66C6">
        <w:rPr>
          <w:rFonts w:ascii="Arial" w:hAnsi="Arial" w:cs="Arial"/>
        </w:rPr>
        <w:t xml:space="preserve"> envolver exclusivamente as contas de cada entidade;</w:t>
      </w:r>
    </w:p>
    <w:p w14:paraId="05111504"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 </w:t>
      </w:r>
      <w:r>
        <w:rPr>
          <w:rFonts w:ascii="Arial" w:hAnsi="Arial" w:cs="Arial"/>
        </w:rPr>
        <w:t>-</w:t>
      </w:r>
      <w:r w:rsidRPr="00CD66C6">
        <w:rPr>
          <w:rFonts w:ascii="Arial" w:hAnsi="Arial" w:cs="Arial"/>
        </w:rPr>
        <w:t xml:space="preserve"> as referências a documentos de processos de outras entidades devem estar acompanhadas da indicação do número da peça em que se encontra no processo correspondente;</w:t>
      </w:r>
    </w:p>
    <w:p w14:paraId="7B5FE2F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III </w:t>
      </w:r>
      <w:r>
        <w:rPr>
          <w:rFonts w:ascii="Arial" w:hAnsi="Arial" w:cs="Arial"/>
        </w:rPr>
        <w:t>-</w:t>
      </w:r>
      <w:r w:rsidRPr="00CD66C6">
        <w:rPr>
          <w:rFonts w:ascii="Arial" w:hAnsi="Arial" w:cs="Arial"/>
        </w:rPr>
        <w:t xml:space="preserve"> os documentos que compõem a prestação de contas devem ser apresentados na ordem sequencial da relação contida nos incisos do art. 5º.</w:t>
      </w:r>
    </w:p>
    <w:p w14:paraId="2893E804" w14:textId="1218597D"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7º</w:t>
      </w:r>
      <w:r w:rsidRPr="00CD66C6">
        <w:rPr>
          <w:rFonts w:ascii="Arial" w:hAnsi="Arial" w:cs="Arial"/>
        </w:rPr>
        <w:t xml:space="preserve"> A instauração do processo de Prestação de Contas de Extinção de Entidade será efetivada exclusivamente por peticionamento eletrônico, através do Portal e-Contas Paraná, no sítio eletrônico do Tribunal, nos termos da </w:t>
      </w:r>
      <w:hyperlink r:id="rId10" w:history="1">
        <w:r w:rsidRPr="00ED43D9">
          <w:rPr>
            <w:rStyle w:val="Hyperlink"/>
            <w:rFonts w:ascii="Arial" w:hAnsi="Arial" w:cs="Arial"/>
            <w:color w:val="0000FF"/>
          </w:rPr>
          <w:t>Instrução Normativa nº 62/2011</w:t>
        </w:r>
      </w:hyperlink>
      <w:r w:rsidRPr="00CD66C6">
        <w:rPr>
          <w:rFonts w:ascii="Arial" w:hAnsi="Arial" w:cs="Arial"/>
        </w:rPr>
        <w:t>.</w:t>
      </w:r>
    </w:p>
    <w:p w14:paraId="4D38AEB4" w14:textId="0F776964"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Parágrafo único. O conteúdo das peças integrantes do processo gerado mediante peticionamento eletrônico deverá atender às especificações e padronizações definidas na </w:t>
      </w:r>
      <w:hyperlink r:id="rId11" w:history="1">
        <w:r w:rsidRPr="00ED43D9">
          <w:rPr>
            <w:rStyle w:val="Hyperlink"/>
            <w:rFonts w:ascii="Arial" w:hAnsi="Arial" w:cs="Arial"/>
            <w:color w:val="0000FF"/>
          </w:rPr>
          <w:t>Instrução de Serviço nº 27/2011</w:t>
        </w:r>
      </w:hyperlink>
      <w:r w:rsidRPr="00ED43D9">
        <w:rPr>
          <w:rFonts w:ascii="Arial" w:hAnsi="Arial" w:cs="Arial"/>
          <w:color w:val="0000FF"/>
        </w:rPr>
        <w:t>,</w:t>
      </w:r>
      <w:r w:rsidRPr="00CD66C6">
        <w:rPr>
          <w:rFonts w:ascii="Arial" w:hAnsi="Arial" w:cs="Arial"/>
        </w:rPr>
        <w:t xml:space="preserve"> que dispõe sobre as mídias, o tamanho e os formatos dos documentos.</w:t>
      </w:r>
    </w:p>
    <w:p w14:paraId="34E22FDA" w14:textId="77777777" w:rsidR="00ED43D9" w:rsidRPr="00CD66C6" w:rsidRDefault="00ED43D9" w:rsidP="00ED0689">
      <w:pPr>
        <w:pStyle w:val="Assina"/>
        <w:spacing w:before="120" w:after="0" w:line="240" w:lineRule="auto"/>
        <w:ind w:firstLine="1134"/>
        <w:jc w:val="both"/>
        <w:rPr>
          <w:rFonts w:ascii="Arial" w:hAnsi="Arial" w:cs="Arial"/>
        </w:rPr>
      </w:pPr>
    </w:p>
    <w:p w14:paraId="129313A6"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0" w:name="_Toc54867121"/>
      <w:r w:rsidRPr="00D34733">
        <w:rPr>
          <w:rFonts w:ascii="Arial" w:hAnsi="Arial" w:cs="Arial"/>
          <w:b/>
          <w:bCs/>
          <w:sz w:val="24"/>
        </w:rPr>
        <w:t>CAPÍTULO IV</w:t>
      </w:r>
      <w:bookmarkEnd w:id="10"/>
    </w:p>
    <w:p w14:paraId="2F657C21" w14:textId="77777777" w:rsidR="00BD4CB2" w:rsidRPr="00D34733" w:rsidRDefault="00BD4CB2" w:rsidP="00D34733">
      <w:pPr>
        <w:pStyle w:val="Ttulo1"/>
        <w:numPr>
          <w:ilvl w:val="0"/>
          <w:numId w:val="0"/>
        </w:numPr>
        <w:ind w:left="432" w:hanging="432"/>
        <w:rPr>
          <w:rFonts w:ascii="Arial" w:hAnsi="Arial" w:cs="Arial"/>
          <w:b/>
          <w:bCs/>
          <w:sz w:val="24"/>
        </w:rPr>
      </w:pPr>
      <w:bookmarkStart w:id="11" w:name="_Toc54867122"/>
      <w:r w:rsidRPr="00D34733">
        <w:rPr>
          <w:rFonts w:ascii="Arial" w:hAnsi="Arial" w:cs="Arial"/>
          <w:b/>
          <w:bCs/>
          <w:sz w:val="24"/>
        </w:rPr>
        <w:t>DO PRAZO DE ENCAMINHAMENTO</w:t>
      </w:r>
      <w:bookmarkEnd w:id="11"/>
    </w:p>
    <w:p w14:paraId="6357DA0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8º</w:t>
      </w:r>
      <w:r w:rsidRPr="00CD66C6">
        <w:rPr>
          <w:rFonts w:cs="Arial"/>
          <w:b/>
        </w:rPr>
        <w:t xml:space="preserve"> </w:t>
      </w:r>
      <w:r w:rsidRPr="00CD66C6">
        <w:rPr>
          <w:rFonts w:ascii="Arial" w:hAnsi="Arial" w:cs="Arial"/>
        </w:rPr>
        <w:t>O processo de Prestação de Contas de Extinção de Entidade deve ser encaminhado ao Tribunal em até 30 (trinta) dias após a efetiva baixa do Cadastro Nacional da Pessoa Jurídica (CNPJ) junto ao órgão competente ou da transferência do controle societário da entidade estatal privatizada, ressalvado o previsto no § 1º.</w:t>
      </w:r>
    </w:p>
    <w:p w14:paraId="3C530DF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Quando a efetiva baixa ocorrer no início do exercício, em período anterior à data-limite para a apresentação do processo de prestação de contas</w:t>
      </w:r>
      <w:r w:rsidRPr="004A53D9">
        <w:rPr>
          <w:rFonts w:ascii="Arial" w:hAnsi="Arial" w:cs="Arial"/>
        </w:rPr>
        <w:t xml:space="preserve"> </w:t>
      </w:r>
      <w:r w:rsidRPr="00CD66C6">
        <w:rPr>
          <w:rFonts w:ascii="Arial" w:hAnsi="Arial" w:cs="Arial"/>
        </w:rPr>
        <w:t>anual, o Processo de Prestação de Contas de Extinção de Entidade deve ser encaminhado ao Tribunal em até 30 (trinta) dias após o fim do prazo de apresentação do processo de prestação de contas</w:t>
      </w:r>
      <w:r w:rsidRPr="004A53D9">
        <w:rPr>
          <w:rFonts w:ascii="Arial" w:hAnsi="Arial" w:cs="Arial"/>
        </w:rPr>
        <w:t xml:space="preserve"> </w:t>
      </w:r>
      <w:r w:rsidRPr="00CD66C6">
        <w:rPr>
          <w:rFonts w:ascii="Arial" w:hAnsi="Arial" w:cs="Arial"/>
        </w:rPr>
        <w:t>anual.</w:t>
      </w:r>
    </w:p>
    <w:p w14:paraId="594A8528" w14:textId="77777777" w:rsidR="00BD4CB2" w:rsidRDefault="00BD4CB2" w:rsidP="00ED0689">
      <w:pPr>
        <w:pStyle w:val="Assina"/>
        <w:spacing w:before="120" w:after="0" w:line="240" w:lineRule="auto"/>
        <w:ind w:firstLine="1134"/>
        <w:jc w:val="both"/>
        <w:rPr>
          <w:rFonts w:ascii="Arial" w:hAnsi="Arial" w:cs="Arial"/>
        </w:rPr>
      </w:pPr>
      <w:r w:rsidRPr="00CD66C6">
        <w:rPr>
          <w:rFonts w:ascii="Arial" w:hAnsi="Arial" w:cs="Arial"/>
        </w:rPr>
        <w:t>§ 2º A prestação de contas abrangerá o período compreendido entre o início do exercício financeiro e a data de baixa do Cadastro Nacional da Pessoa Jurídica (CNPJ) junto ao órgão competente da entidade extinta ou a data da transferência do controle societário da entidade privatizada para a iniciativa privada.</w:t>
      </w:r>
    </w:p>
    <w:p w14:paraId="50575AAA" w14:textId="77777777" w:rsidR="00ED43D9" w:rsidRPr="00CD66C6" w:rsidRDefault="00ED43D9" w:rsidP="00ED0689">
      <w:pPr>
        <w:pStyle w:val="Assina"/>
        <w:spacing w:before="120" w:after="0" w:line="240" w:lineRule="auto"/>
        <w:ind w:firstLine="1134"/>
        <w:jc w:val="both"/>
        <w:rPr>
          <w:rFonts w:ascii="Arial" w:hAnsi="Arial" w:cs="Arial"/>
        </w:rPr>
      </w:pPr>
    </w:p>
    <w:p w14:paraId="1AE328A0"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2" w:name="_Toc54867123"/>
      <w:r w:rsidRPr="00D34733">
        <w:rPr>
          <w:rFonts w:ascii="Arial" w:hAnsi="Arial" w:cs="Arial"/>
          <w:b/>
          <w:bCs/>
          <w:sz w:val="24"/>
        </w:rPr>
        <w:t>CAPÍTULO V</w:t>
      </w:r>
      <w:bookmarkEnd w:id="12"/>
    </w:p>
    <w:p w14:paraId="179A347B" w14:textId="77777777" w:rsidR="00BD4CB2" w:rsidRPr="00D34733" w:rsidRDefault="00BD4CB2" w:rsidP="00D34733">
      <w:pPr>
        <w:pStyle w:val="Ttulo1"/>
        <w:numPr>
          <w:ilvl w:val="0"/>
          <w:numId w:val="0"/>
        </w:numPr>
        <w:ind w:left="432" w:hanging="432"/>
        <w:rPr>
          <w:rFonts w:ascii="Arial" w:hAnsi="Arial" w:cs="Arial"/>
          <w:b/>
          <w:bCs/>
          <w:sz w:val="24"/>
        </w:rPr>
      </w:pPr>
      <w:bookmarkStart w:id="13" w:name="_Toc54867124"/>
      <w:r w:rsidRPr="00D34733">
        <w:rPr>
          <w:rFonts w:ascii="Arial" w:hAnsi="Arial" w:cs="Arial"/>
          <w:b/>
          <w:bCs/>
          <w:sz w:val="24"/>
        </w:rPr>
        <w:t>DA ANÁLISE DO PROCESSO DE EXTINÇÃO DE ENTIDADE</w:t>
      </w:r>
      <w:bookmarkEnd w:id="13"/>
    </w:p>
    <w:p w14:paraId="11DC088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9º</w:t>
      </w:r>
      <w:r w:rsidRPr="00CD66C6">
        <w:rPr>
          <w:rFonts w:ascii="Arial" w:hAnsi="Arial" w:cs="Arial"/>
        </w:rPr>
        <w:t xml:space="preserve"> Para efeito de análise da</w:t>
      </w:r>
      <w:r w:rsidR="00677AAC">
        <w:rPr>
          <w:rFonts w:ascii="Arial" w:hAnsi="Arial" w:cs="Arial"/>
        </w:rPr>
        <w:t>s</w:t>
      </w:r>
      <w:r w:rsidRPr="00CD66C6">
        <w:rPr>
          <w:rFonts w:ascii="Arial" w:hAnsi="Arial" w:cs="Arial"/>
        </w:rPr>
        <w:t xml:space="preserve"> Prestações de Contas de Extinção de Entidade a ser realizada pela Coordenadoria competente, considera(m)-se:</w:t>
      </w:r>
    </w:p>
    <w:p w14:paraId="4141206E"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 - escopo: o conjunto de aspectos temáticos para ordenação da análise;</w:t>
      </w:r>
    </w:p>
    <w:p w14:paraId="7A85E490"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II - itens de análise: rol das matérias objeto da análise.</w:t>
      </w:r>
    </w:p>
    <w:p w14:paraId="7D9E68E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Parágrafo único. As informações coletadas pelo Sistema de Informações Municipais (SIM-AM) ou pelo Sistema Estadual de Informações – </w:t>
      </w:r>
      <w:r w:rsidRPr="00CD66C6">
        <w:rPr>
          <w:rFonts w:ascii="Arial" w:hAnsi="Arial" w:cs="Arial"/>
        </w:rPr>
        <w:lastRenderedPageBreak/>
        <w:t>Captação Eletrônica de Dados (SEI-CED) constituem elementos da Prestação de Contas Anual, conforme inciso I do art. 4º.</w:t>
      </w:r>
    </w:p>
    <w:p w14:paraId="412AC0FB"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10</w:t>
      </w:r>
      <w:r>
        <w:rPr>
          <w:rFonts w:ascii="Arial" w:hAnsi="Arial" w:cs="Arial"/>
          <w:b/>
        </w:rPr>
        <w:t>.</w:t>
      </w:r>
      <w:r w:rsidRPr="00CD66C6">
        <w:rPr>
          <w:rFonts w:ascii="Arial" w:hAnsi="Arial" w:cs="Arial"/>
        </w:rPr>
        <w:t xml:space="preserve"> O escopo disposto nesta Instrução Normativa possui natureza ordenatória dos itens da análise.</w:t>
      </w:r>
    </w:p>
    <w:p w14:paraId="203A220C"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1º A análise poderá ser automatizada ou não.</w:t>
      </w:r>
    </w:p>
    <w:p w14:paraId="7138D70F"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rPr>
        <w:t xml:space="preserve">§ 2º </w:t>
      </w:r>
      <w:r w:rsidRPr="00CD66C6">
        <w:rPr>
          <w:rFonts w:ascii="Arial" w:hAnsi="Arial" w:cs="Arial"/>
          <w:szCs w:val="24"/>
        </w:rPr>
        <w:t>Os fatos eventualmente levantados no curso do processo e não abrangidos pelo escopo de análise serão apurados em procedimentos específicos de fiscalização.</w:t>
      </w:r>
    </w:p>
    <w:p w14:paraId="2C9F5D33" w14:textId="77777777" w:rsidR="00BD4CB2" w:rsidRPr="00CD66C6" w:rsidRDefault="00BD4CB2" w:rsidP="00ED0689">
      <w:pPr>
        <w:pStyle w:val="Assina"/>
        <w:spacing w:before="120" w:after="0" w:line="240" w:lineRule="auto"/>
        <w:ind w:firstLine="1134"/>
        <w:jc w:val="both"/>
        <w:rPr>
          <w:rFonts w:ascii="Arial" w:hAnsi="Arial" w:cs="Arial"/>
        </w:rPr>
      </w:pPr>
      <w:r w:rsidRPr="00CD66C6">
        <w:rPr>
          <w:rFonts w:ascii="Arial" w:hAnsi="Arial" w:cs="Arial"/>
          <w:b/>
        </w:rPr>
        <w:t>Art. 11</w:t>
      </w:r>
      <w:r>
        <w:rPr>
          <w:rFonts w:ascii="Arial" w:hAnsi="Arial" w:cs="Arial"/>
          <w:b/>
        </w:rPr>
        <w:t>.</w:t>
      </w:r>
      <w:r w:rsidRPr="00CD66C6">
        <w:rPr>
          <w:rFonts w:ascii="Arial" w:hAnsi="Arial" w:cs="Arial"/>
        </w:rPr>
        <w:t xml:space="preserve"> A análise da Prestação de Contas de Extinção de Entidade será efetuada por instrução de caráter opinativo, destinada a subsidiar o julgamento a ser emitido pelo órgão colegiado competente deste Tribunal.</w:t>
      </w:r>
    </w:p>
    <w:p w14:paraId="78C74604"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t>Art. 12</w:t>
      </w:r>
      <w:r>
        <w:rPr>
          <w:rFonts w:ascii="Arial" w:hAnsi="Arial" w:cs="Arial"/>
          <w:b/>
          <w:szCs w:val="24"/>
        </w:rPr>
        <w:t>.</w:t>
      </w:r>
      <w:r w:rsidRPr="00CD66C6">
        <w:rPr>
          <w:rFonts w:ascii="Arial" w:hAnsi="Arial" w:cs="Arial"/>
          <w:szCs w:val="24"/>
        </w:rPr>
        <w:t xml:space="preserve"> Observado o que dispõem o art. 16 da Lei Complementar Estadual nº 113/2005</w:t>
      </w:r>
      <w:r>
        <w:rPr>
          <w:rFonts w:ascii="Arial" w:hAnsi="Arial" w:cs="Arial"/>
          <w:szCs w:val="24"/>
        </w:rPr>
        <w:t>,</w:t>
      </w:r>
      <w:r w:rsidRPr="00CD66C6">
        <w:rPr>
          <w:rFonts w:ascii="Arial" w:hAnsi="Arial" w:cs="Arial"/>
          <w:szCs w:val="24"/>
        </w:rPr>
        <w:t xml:space="preserve"> e os arts. 245, 352 e 353 do Regimento Interno, a instrução conclusiva consignará alguma das seguintes conclusões quanto ao resultado das contas:</w:t>
      </w:r>
    </w:p>
    <w:p w14:paraId="0FD5F527"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 </w:t>
      </w:r>
      <w:r>
        <w:rPr>
          <w:rFonts w:ascii="Arial" w:hAnsi="Arial" w:cs="Arial"/>
          <w:szCs w:val="24"/>
        </w:rPr>
        <w:t>-</w:t>
      </w:r>
      <w:r w:rsidRPr="00CD66C6">
        <w:rPr>
          <w:rFonts w:ascii="Arial" w:hAnsi="Arial" w:cs="Arial"/>
          <w:szCs w:val="24"/>
        </w:rPr>
        <w:t xml:space="preserve"> regulares;</w:t>
      </w:r>
    </w:p>
    <w:p w14:paraId="1E2A89A6"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 </w:t>
      </w:r>
      <w:r>
        <w:rPr>
          <w:rFonts w:ascii="Arial" w:hAnsi="Arial" w:cs="Arial"/>
          <w:szCs w:val="24"/>
        </w:rPr>
        <w:t>-</w:t>
      </w:r>
      <w:r w:rsidRPr="00CD66C6">
        <w:rPr>
          <w:rFonts w:ascii="Arial" w:hAnsi="Arial" w:cs="Arial"/>
          <w:szCs w:val="24"/>
        </w:rPr>
        <w:t xml:space="preserve"> regulares com ressalva(s);</w:t>
      </w:r>
    </w:p>
    <w:p w14:paraId="60EF6CC9"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xml:space="preserve">III </w:t>
      </w:r>
      <w:r>
        <w:rPr>
          <w:rFonts w:ascii="Arial" w:hAnsi="Arial" w:cs="Arial"/>
          <w:szCs w:val="24"/>
        </w:rPr>
        <w:t>-</w:t>
      </w:r>
      <w:r w:rsidRPr="00CD66C6">
        <w:rPr>
          <w:rFonts w:ascii="Arial" w:hAnsi="Arial" w:cs="Arial"/>
          <w:szCs w:val="24"/>
        </w:rPr>
        <w:t xml:space="preserve"> irregulares.</w:t>
      </w:r>
    </w:p>
    <w:p w14:paraId="5C2D3FCC"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1º Na hipótese de conclusão pela irregularidade das contas, a instrução evidenciará e delimitará as responsabilidades, bem como identificará os responsáveis pelos fatos analisados, observado o disposto no art. 352, II a V, do Regimento Interno.</w:t>
      </w:r>
    </w:p>
    <w:p w14:paraId="4EF55AB6" w14:textId="77777777" w:rsidR="00BD4CB2"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szCs w:val="24"/>
        </w:rPr>
        <w:t>§ 2º O opinativo pela irregularidade ou pela regularidade com ressalva(s) indicará as sanções e medidas legais aplicáveis.</w:t>
      </w:r>
    </w:p>
    <w:p w14:paraId="56D7D7F5" w14:textId="7ECF6CE0" w:rsidR="00206C20" w:rsidRPr="00021F8C" w:rsidRDefault="00AD0CD3" w:rsidP="00AD0CD3">
      <w:pPr>
        <w:adjustRightInd w:val="0"/>
        <w:spacing w:before="120" w:after="120"/>
        <w:ind w:firstLine="1134"/>
        <w:jc w:val="both"/>
        <w:rPr>
          <w:rFonts w:ascii="Arial" w:hAnsi="Arial" w:cs="Arial"/>
          <w:sz w:val="24"/>
          <w:szCs w:val="24"/>
        </w:rPr>
      </w:pPr>
      <w:r w:rsidRPr="00AD0CD3">
        <w:rPr>
          <w:rFonts w:ascii="Arial" w:hAnsi="Arial" w:cs="Arial"/>
          <w:sz w:val="24"/>
          <w:szCs w:val="24"/>
        </w:rPr>
        <w:t>§ 3º Nos casos de manifestação conclusiva pela regularidade ou regularidade com ressalva(s) das contas, os autos serão encaminhados à Coordenadoria de Sistemas e Informações da Fiscalização para baixa da obrigação de encaminhamento dos dados do Sistema de Informação Municipal – Acompanhamento Mensal - SIM-AM.</w:t>
      </w:r>
      <w:r>
        <w:rPr>
          <w:rFonts w:ascii="Arial" w:hAnsi="Arial" w:cs="Arial"/>
          <w:sz w:val="24"/>
          <w:szCs w:val="24"/>
        </w:rPr>
        <w:t xml:space="preserve"> </w:t>
      </w:r>
      <w:r w:rsidRPr="00021F8C">
        <w:rPr>
          <w:rFonts w:ascii="Arial" w:hAnsi="Arial" w:cs="Arial"/>
          <w:sz w:val="24"/>
          <w:szCs w:val="24"/>
        </w:rPr>
        <w:t>(</w:t>
      </w:r>
      <w:r w:rsidRPr="00021F8C">
        <w:rPr>
          <w:rFonts w:ascii="Arial" w:hAnsi="Arial" w:cs="Arial"/>
          <w:color w:val="0000FF"/>
          <w:sz w:val="24"/>
          <w:szCs w:val="24"/>
        </w:rPr>
        <w:t>Incluído pela</w:t>
      </w:r>
      <w:r w:rsidRPr="00021F8C">
        <w:rPr>
          <w:rFonts w:ascii="Arial" w:hAnsi="Arial" w:cs="Arial"/>
          <w:sz w:val="24"/>
          <w:szCs w:val="24"/>
        </w:rPr>
        <w:t xml:space="preserve"> </w:t>
      </w:r>
      <w:hyperlink r:id="rId12" w:history="1">
        <w:r w:rsidR="00206C20" w:rsidRPr="00021F8C">
          <w:rPr>
            <w:rStyle w:val="Hyperlink"/>
            <w:rFonts w:ascii="Arial" w:hAnsi="Arial" w:cs="Arial"/>
            <w:color w:val="0000FF"/>
            <w:sz w:val="24"/>
            <w:szCs w:val="24"/>
          </w:rPr>
          <w:t>Instrução Normativa n. 163</w:t>
        </w:r>
        <w:r w:rsidRPr="00021F8C">
          <w:rPr>
            <w:rStyle w:val="Hyperlink"/>
            <w:rFonts w:ascii="Arial" w:hAnsi="Arial" w:cs="Arial"/>
            <w:color w:val="0000FF"/>
            <w:sz w:val="24"/>
            <w:szCs w:val="24"/>
          </w:rPr>
          <w:t>/</w:t>
        </w:r>
        <w:r w:rsidR="00206C20" w:rsidRPr="00021F8C">
          <w:rPr>
            <w:rStyle w:val="Hyperlink"/>
            <w:rFonts w:ascii="Arial" w:hAnsi="Arial" w:cs="Arial"/>
            <w:color w:val="0000FF"/>
            <w:sz w:val="24"/>
            <w:szCs w:val="24"/>
          </w:rPr>
          <w:t>2021</w:t>
        </w:r>
      </w:hyperlink>
      <w:r w:rsidR="00021F8C" w:rsidRPr="00021F8C">
        <w:rPr>
          <w:rFonts w:ascii="Arial" w:hAnsi="Arial" w:cs="Arial"/>
          <w:sz w:val="24"/>
          <w:szCs w:val="24"/>
        </w:rPr>
        <w:t>)</w:t>
      </w:r>
    </w:p>
    <w:p w14:paraId="35A5DDA5" w14:textId="77777777" w:rsidR="00BD4CB2" w:rsidRPr="00CD66C6" w:rsidRDefault="00BD4CB2" w:rsidP="00ED0689">
      <w:pPr>
        <w:pStyle w:val="Assina"/>
        <w:spacing w:before="120" w:after="0" w:line="240" w:lineRule="auto"/>
        <w:ind w:firstLine="1134"/>
        <w:jc w:val="both"/>
        <w:rPr>
          <w:rFonts w:ascii="Arial" w:hAnsi="Arial" w:cs="Arial"/>
          <w:szCs w:val="24"/>
        </w:rPr>
      </w:pPr>
      <w:r w:rsidRPr="00CD66C6">
        <w:rPr>
          <w:rFonts w:ascii="Arial" w:hAnsi="Arial" w:cs="Arial"/>
          <w:b/>
          <w:szCs w:val="24"/>
        </w:rPr>
        <w:t>Art. 13</w:t>
      </w:r>
      <w:r>
        <w:rPr>
          <w:rFonts w:ascii="Arial" w:hAnsi="Arial" w:cs="Arial"/>
          <w:b/>
          <w:szCs w:val="24"/>
        </w:rPr>
        <w:t>.</w:t>
      </w:r>
      <w:r w:rsidRPr="00CD66C6">
        <w:rPr>
          <w:rFonts w:ascii="Arial" w:hAnsi="Arial" w:cs="Arial"/>
          <w:szCs w:val="24"/>
        </w:rPr>
        <w:t xml:space="preserve"> A análise da </w:t>
      </w:r>
      <w:r w:rsidRPr="00CD66C6">
        <w:rPr>
          <w:rFonts w:ascii="Arial" w:hAnsi="Arial" w:cs="Arial"/>
        </w:rPr>
        <w:t xml:space="preserve">Prestação de Contas de Extinção de Entidade </w:t>
      </w:r>
      <w:r w:rsidRPr="00CD66C6">
        <w:rPr>
          <w:rFonts w:ascii="Arial" w:hAnsi="Arial" w:cs="Arial"/>
          <w:szCs w:val="24"/>
        </w:rPr>
        <w:t>não vincula exames futuros sobre a matéria e não implica convalidação ou saneamento de fatos ou apontamentos não abrangidos pelo escopo.</w:t>
      </w:r>
    </w:p>
    <w:p w14:paraId="3734E180" w14:textId="77777777" w:rsidR="00BD4CB2" w:rsidRPr="00CD66C6" w:rsidRDefault="00BD4CB2" w:rsidP="00ED0689">
      <w:pPr>
        <w:pStyle w:val="ArtigosOrdinais"/>
        <w:spacing w:after="120"/>
        <w:ind w:firstLine="1134"/>
        <w:rPr>
          <w:rFonts w:cs="Arial"/>
          <w:bCs w:val="0"/>
          <w:sz w:val="24"/>
        </w:rPr>
      </w:pPr>
      <w:r w:rsidRPr="00CD66C6">
        <w:rPr>
          <w:rFonts w:cs="Arial"/>
          <w:b/>
          <w:bCs w:val="0"/>
          <w:sz w:val="24"/>
        </w:rPr>
        <w:t>Art. 14</w:t>
      </w:r>
      <w:r>
        <w:rPr>
          <w:rFonts w:cs="Arial"/>
          <w:b/>
          <w:bCs w:val="0"/>
          <w:sz w:val="24"/>
        </w:rPr>
        <w:t>.</w:t>
      </w:r>
      <w:r w:rsidRPr="00CD66C6">
        <w:rPr>
          <w:rFonts w:cs="Arial"/>
          <w:b/>
          <w:bCs w:val="0"/>
          <w:sz w:val="24"/>
        </w:rPr>
        <w:t xml:space="preserve"> </w:t>
      </w:r>
      <w:r w:rsidRPr="00CD66C6">
        <w:rPr>
          <w:rFonts w:cs="Arial"/>
          <w:bCs w:val="0"/>
          <w:sz w:val="24"/>
        </w:rPr>
        <w:t>O escopo de análise dos processos de Prestação de Contas de Extinção de Entidade será composto pelos seguintes itens: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1"/>
        <w:gridCol w:w="1197"/>
        <w:gridCol w:w="4121"/>
        <w:gridCol w:w="2551"/>
      </w:tblGrid>
      <w:tr w:rsidR="00BD4CB2" w:rsidRPr="00CD66C6" w14:paraId="77FC298F" w14:textId="77777777" w:rsidTr="002D79B1">
        <w:trPr>
          <w:trHeight w:val="99"/>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02BBCE2F"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Seq.</w:t>
            </w:r>
          </w:p>
        </w:tc>
        <w:tc>
          <w:tcPr>
            <w:tcW w:w="699" w:type="pct"/>
            <w:tcBorders>
              <w:top w:val="single" w:sz="4" w:space="0" w:color="auto"/>
              <w:left w:val="single" w:sz="4" w:space="0" w:color="auto"/>
              <w:bottom w:val="single" w:sz="4" w:space="0" w:color="auto"/>
              <w:right w:val="single" w:sz="4" w:space="0" w:color="auto"/>
            </w:tcBorders>
            <w:vAlign w:val="center"/>
            <w:hideMark/>
          </w:tcPr>
          <w:p w14:paraId="79E19D03"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Escopo</w:t>
            </w:r>
          </w:p>
        </w:tc>
        <w:tc>
          <w:tcPr>
            <w:tcW w:w="2407" w:type="pct"/>
            <w:tcBorders>
              <w:top w:val="single" w:sz="4" w:space="0" w:color="auto"/>
              <w:left w:val="single" w:sz="4" w:space="0" w:color="auto"/>
              <w:bottom w:val="single" w:sz="4" w:space="0" w:color="auto"/>
              <w:right w:val="single" w:sz="4" w:space="0" w:color="auto"/>
            </w:tcBorders>
            <w:vAlign w:val="center"/>
            <w:hideMark/>
          </w:tcPr>
          <w:p w14:paraId="5F518848"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Itens de Análise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5E61D3A" w14:textId="77777777" w:rsidR="00BD4CB2" w:rsidRPr="00CD66C6" w:rsidRDefault="00BD4CB2" w:rsidP="002D79B1">
            <w:pPr>
              <w:adjustRightInd w:val="0"/>
              <w:spacing w:before="120" w:after="120"/>
              <w:jc w:val="center"/>
              <w:rPr>
                <w:rFonts w:ascii="Arial" w:hAnsi="Arial" w:cs="Arial"/>
                <w:sz w:val="20"/>
              </w:rPr>
            </w:pPr>
            <w:r w:rsidRPr="00CD66C6">
              <w:rPr>
                <w:rFonts w:ascii="Arial" w:hAnsi="Arial" w:cs="Arial"/>
                <w:b/>
                <w:bCs/>
                <w:sz w:val="20"/>
              </w:rPr>
              <w:t>Fundamento legal</w:t>
            </w:r>
          </w:p>
        </w:tc>
      </w:tr>
      <w:tr w:rsidR="00BD4CB2" w:rsidRPr="00CD66C6" w14:paraId="007557E1" w14:textId="77777777" w:rsidTr="002D79B1">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1FD35DF2"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1</w:t>
            </w:r>
          </w:p>
        </w:tc>
        <w:tc>
          <w:tcPr>
            <w:tcW w:w="699" w:type="pct"/>
            <w:vMerge w:val="restart"/>
            <w:tcBorders>
              <w:top w:val="single" w:sz="4" w:space="0" w:color="auto"/>
              <w:left w:val="single" w:sz="4" w:space="0" w:color="auto"/>
              <w:bottom w:val="single" w:sz="4" w:space="0" w:color="auto"/>
              <w:right w:val="single" w:sz="4" w:space="0" w:color="auto"/>
            </w:tcBorders>
            <w:vAlign w:val="center"/>
            <w:hideMark/>
          </w:tcPr>
          <w:p w14:paraId="0AC7BE4C"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Legais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2BDC119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1.1 – Encaminhamento de cópia da ata da assembleia que deliberou pela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49CDA7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3D3EF21" w14:textId="77777777" w:rsidTr="002D79B1">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0E0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65B3034"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335519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1.2 – Conteúdo da ata encaminhada que trata de matéria relacionada à incorporação, cisão total ou fusão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62B423F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17FA6C0"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99443"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0D09AEED"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478872B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1.3 – Encaminhamento de cópia da(s) lei(s) de extinção da entidade.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8A6C92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61AE0307" w14:textId="77777777" w:rsidTr="002D79B1">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CD5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7805F52B"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179B62A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1.4 – A(s) lei(s) de extinção trata(m) de matéria pertinente.</w:t>
            </w:r>
          </w:p>
        </w:tc>
        <w:tc>
          <w:tcPr>
            <w:tcW w:w="1490" w:type="pct"/>
            <w:tcBorders>
              <w:top w:val="single" w:sz="4" w:space="0" w:color="auto"/>
              <w:left w:val="single" w:sz="4" w:space="0" w:color="auto"/>
              <w:bottom w:val="single" w:sz="4" w:space="0" w:color="auto"/>
              <w:right w:val="single" w:sz="4" w:space="0" w:color="auto"/>
            </w:tcBorders>
            <w:vAlign w:val="center"/>
            <w:hideMark/>
          </w:tcPr>
          <w:p w14:paraId="3F23F655"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7A8EA2"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6BB70FD0"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68E68A75"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F5A99E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1.5 – Encaminhamento do ato legal que deliberou pela privatização da entidade.</w:t>
            </w:r>
          </w:p>
        </w:tc>
        <w:tc>
          <w:tcPr>
            <w:tcW w:w="1490" w:type="pct"/>
            <w:tcBorders>
              <w:top w:val="single" w:sz="4" w:space="0" w:color="auto"/>
              <w:left w:val="single" w:sz="4" w:space="0" w:color="auto"/>
              <w:bottom w:val="single" w:sz="4" w:space="0" w:color="auto"/>
              <w:right w:val="single" w:sz="4" w:space="0" w:color="auto"/>
            </w:tcBorders>
            <w:vAlign w:val="center"/>
          </w:tcPr>
          <w:p w14:paraId="01CFD06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26276E8B"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24BE8B76"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3CF8F799"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63F783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1.6 – O ato legal trata de matéria pertinente.</w:t>
            </w:r>
          </w:p>
        </w:tc>
        <w:tc>
          <w:tcPr>
            <w:tcW w:w="1490" w:type="pct"/>
            <w:tcBorders>
              <w:top w:val="single" w:sz="4" w:space="0" w:color="auto"/>
              <w:left w:val="single" w:sz="4" w:space="0" w:color="auto"/>
              <w:bottom w:val="single" w:sz="4" w:space="0" w:color="auto"/>
              <w:right w:val="single" w:sz="4" w:space="0" w:color="auto"/>
            </w:tcBorders>
            <w:vAlign w:val="center"/>
          </w:tcPr>
          <w:p w14:paraId="3BF44C7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081156BA"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14:paraId="51C88C22"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15B4D2B0"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50377B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1.7 – Encaminhamento de comprovante de baixa do CNPJ junto à Receita Federal.</w:t>
            </w:r>
          </w:p>
        </w:tc>
        <w:tc>
          <w:tcPr>
            <w:tcW w:w="1490" w:type="pct"/>
            <w:tcBorders>
              <w:top w:val="single" w:sz="4" w:space="0" w:color="auto"/>
              <w:left w:val="single" w:sz="4" w:space="0" w:color="auto"/>
              <w:bottom w:val="single" w:sz="4" w:space="0" w:color="auto"/>
              <w:right w:val="single" w:sz="4" w:space="0" w:color="auto"/>
            </w:tcBorders>
            <w:vAlign w:val="center"/>
          </w:tcPr>
          <w:p w14:paraId="01146FCA"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0CC2C2C" w14:textId="77777777" w:rsidTr="002D79B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8D5D8" w14:textId="77777777" w:rsidR="00BD4CB2" w:rsidRPr="00CD66C6" w:rsidRDefault="00BD4CB2" w:rsidP="002D79B1">
            <w:pPr>
              <w:jc w:val="center"/>
              <w:rPr>
                <w:rFonts w:ascii="Arial" w:hAnsi="Arial" w:cs="Arial"/>
                <w:sz w:val="2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14:paraId="4B708E41" w14:textId="77777777" w:rsidR="00BD4CB2" w:rsidRPr="00CD66C6" w:rsidRDefault="00BD4CB2" w:rsidP="002D79B1">
            <w:pP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80E40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1.8 – Encaminhamento do contrato de compra e venda da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15CB3C1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72B0D001" w14:textId="77777777" w:rsidTr="002D79B1">
        <w:trPr>
          <w:trHeight w:val="688"/>
        </w:trPr>
        <w:tc>
          <w:tcPr>
            <w:tcW w:w="404" w:type="pct"/>
            <w:vMerge w:val="restart"/>
            <w:tcBorders>
              <w:top w:val="single" w:sz="4" w:space="0" w:color="auto"/>
              <w:left w:val="single" w:sz="4" w:space="0" w:color="auto"/>
              <w:right w:val="single" w:sz="4" w:space="0" w:color="auto"/>
            </w:tcBorders>
            <w:vAlign w:val="center"/>
            <w:hideMark/>
          </w:tcPr>
          <w:p w14:paraId="23C75F37"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2</w:t>
            </w:r>
          </w:p>
        </w:tc>
        <w:tc>
          <w:tcPr>
            <w:tcW w:w="699" w:type="pct"/>
            <w:vMerge w:val="restart"/>
            <w:tcBorders>
              <w:top w:val="single" w:sz="4" w:space="0" w:color="auto"/>
              <w:left w:val="single" w:sz="4" w:space="0" w:color="auto"/>
              <w:right w:val="single" w:sz="4" w:space="0" w:color="auto"/>
            </w:tcBorders>
            <w:vAlign w:val="center"/>
            <w:hideMark/>
          </w:tcPr>
          <w:p w14:paraId="329C828B"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Aspectos Contábeis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3948E5D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2.1 – Encaminhamento do balanço patrimonial apurado antes da realização das transferências dos Ativos e Passivos e das respectivas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3CA7212F"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53E4CC33" w14:textId="77777777" w:rsidTr="002D79B1">
        <w:trPr>
          <w:trHeight w:val="225"/>
        </w:trPr>
        <w:tc>
          <w:tcPr>
            <w:tcW w:w="0" w:type="auto"/>
            <w:vMerge/>
            <w:tcBorders>
              <w:left w:val="single" w:sz="4" w:space="0" w:color="auto"/>
              <w:right w:val="single" w:sz="4" w:space="0" w:color="auto"/>
            </w:tcBorders>
            <w:vAlign w:val="center"/>
            <w:hideMark/>
          </w:tcPr>
          <w:p w14:paraId="04289E9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2558D3CF"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BC2749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2.2 – Encaminhamento do balanço patrimonial de encerramento com os saldos zerados.</w:t>
            </w:r>
          </w:p>
        </w:tc>
        <w:tc>
          <w:tcPr>
            <w:tcW w:w="1490" w:type="pct"/>
            <w:tcBorders>
              <w:top w:val="single" w:sz="4" w:space="0" w:color="auto"/>
              <w:left w:val="single" w:sz="4" w:space="0" w:color="auto"/>
              <w:bottom w:val="single" w:sz="4" w:space="0" w:color="auto"/>
              <w:right w:val="single" w:sz="4" w:space="0" w:color="auto"/>
            </w:tcBorders>
            <w:vAlign w:val="center"/>
          </w:tcPr>
          <w:p w14:paraId="4DFF3D7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600BF04" w14:textId="77777777" w:rsidTr="002D79B1">
        <w:trPr>
          <w:trHeight w:val="357"/>
        </w:trPr>
        <w:tc>
          <w:tcPr>
            <w:tcW w:w="0" w:type="auto"/>
            <w:vMerge/>
            <w:tcBorders>
              <w:left w:val="single" w:sz="4" w:space="0" w:color="auto"/>
              <w:right w:val="single" w:sz="4" w:space="0" w:color="auto"/>
            </w:tcBorders>
            <w:vAlign w:val="center"/>
          </w:tcPr>
          <w:p w14:paraId="0B7AAA8E"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7BEDBDE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6A9A7F0F"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2.3 – Encaminhamento do Razão das contas contábeis envolvidas na baixa dos bens, direitos e obrigações da entidade extinta.</w:t>
            </w:r>
          </w:p>
        </w:tc>
        <w:tc>
          <w:tcPr>
            <w:tcW w:w="1490" w:type="pct"/>
            <w:tcBorders>
              <w:top w:val="single" w:sz="4" w:space="0" w:color="auto"/>
              <w:left w:val="single" w:sz="4" w:space="0" w:color="auto"/>
              <w:bottom w:val="single" w:sz="4" w:space="0" w:color="auto"/>
              <w:right w:val="single" w:sz="4" w:space="0" w:color="auto"/>
            </w:tcBorders>
            <w:vAlign w:val="center"/>
          </w:tcPr>
          <w:p w14:paraId="44095B4F"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27B6CB6B" w14:textId="77777777" w:rsidTr="002D79B1">
        <w:trPr>
          <w:trHeight w:val="357"/>
        </w:trPr>
        <w:tc>
          <w:tcPr>
            <w:tcW w:w="0" w:type="auto"/>
            <w:vMerge/>
            <w:tcBorders>
              <w:left w:val="single" w:sz="4" w:space="0" w:color="auto"/>
              <w:right w:val="single" w:sz="4" w:space="0" w:color="auto"/>
            </w:tcBorders>
            <w:vAlign w:val="center"/>
          </w:tcPr>
          <w:p w14:paraId="55ACC3B5"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FDCECFD"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397C97E0" w14:textId="77777777" w:rsidR="00BD4CB2" w:rsidRPr="00CD66C6" w:rsidRDefault="00BD4CB2" w:rsidP="002D79B1">
            <w:pPr>
              <w:adjustRightInd w:val="0"/>
              <w:spacing w:before="120" w:after="120"/>
              <w:jc w:val="both"/>
              <w:rPr>
                <w:rFonts w:ascii="Arial" w:hAnsi="Arial" w:cs="Arial"/>
                <w:sz w:val="20"/>
              </w:rPr>
            </w:pPr>
            <w:r w:rsidRPr="00DE0A91">
              <w:rPr>
                <w:rFonts w:ascii="Arial" w:hAnsi="Arial" w:cs="Arial"/>
                <w:sz w:val="20"/>
              </w:rPr>
              <w:t>2.4 – Encaminhamento do Razão das contas contábeis de incorporação dos bens, direitos e obrigações da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7BDB50C7"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0CEB40C4" w14:textId="77777777" w:rsidTr="002D79B1">
        <w:trPr>
          <w:trHeight w:val="357"/>
        </w:trPr>
        <w:tc>
          <w:tcPr>
            <w:tcW w:w="0" w:type="auto"/>
            <w:vMerge/>
            <w:tcBorders>
              <w:left w:val="single" w:sz="4" w:space="0" w:color="auto"/>
              <w:right w:val="single" w:sz="4" w:space="0" w:color="auto"/>
            </w:tcBorders>
            <w:vAlign w:val="center"/>
          </w:tcPr>
          <w:p w14:paraId="2AA69BB8"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54B09F2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16D5CB8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2.5 – Inconsistências nos registros contábeis dos bens, direitos e obrigações da entidade extinta com a entidade sucessora.</w:t>
            </w:r>
          </w:p>
        </w:tc>
        <w:tc>
          <w:tcPr>
            <w:tcW w:w="1490" w:type="pct"/>
            <w:tcBorders>
              <w:top w:val="single" w:sz="4" w:space="0" w:color="auto"/>
              <w:left w:val="single" w:sz="4" w:space="0" w:color="auto"/>
              <w:bottom w:val="single" w:sz="4" w:space="0" w:color="auto"/>
              <w:right w:val="single" w:sz="4" w:space="0" w:color="auto"/>
            </w:tcBorders>
            <w:vAlign w:val="center"/>
          </w:tcPr>
          <w:p w14:paraId="22ED83F0" w14:textId="77777777" w:rsidR="00BD4CB2" w:rsidRPr="00CD66C6" w:rsidRDefault="00BD4CB2" w:rsidP="002D79B1">
            <w:pPr>
              <w:spacing w:before="120" w:after="120"/>
            </w:pPr>
            <w:r w:rsidRPr="00CD66C6">
              <w:rPr>
                <w:rFonts w:ascii="Arial" w:hAnsi="Arial" w:cs="Arial"/>
                <w:sz w:val="20"/>
              </w:rPr>
              <w:t>Conforme legislação aplicável ao tipo de entidade</w:t>
            </w:r>
          </w:p>
        </w:tc>
      </w:tr>
      <w:tr w:rsidR="00BD4CB2" w:rsidRPr="00CD66C6" w14:paraId="7E217482" w14:textId="77777777" w:rsidTr="002D79B1">
        <w:trPr>
          <w:trHeight w:val="357"/>
        </w:trPr>
        <w:tc>
          <w:tcPr>
            <w:tcW w:w="0" w:type="auto"/>
            <w:vMerge/>
            <w:tcBorders>
              <w:left w:val="single" w:sz="4" w:space="0" w:color="auto"/>
              <w:right w:val="single" w:sz="4" w:space="0" w:color="auto"/>
            </w:tcBorders>
            <w:vAlign w:val="center"/>
          </w:tcPr>
          <w:p w14:paraId="382069FB"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4E8EA6A9"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519C917D"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2.6 – Inconsistência do balanço patrimonial de encerramento com os dados encaminhados por meio dos sistemas SIM-AM ou SEI-CED.</w:t>
            </w:r>
          </w:p>
        </w:tc>
        <w:tc>
          <w:tcPr>
            <w:tcW w:w="1490" w:type="pct"/>
            <w:tcBorders>
              <w:top w:val="single" w:sz="4" w:space="0" w:color="auto"/>
              <w:left w:val="single" w:sz="4" w:space="0" w:color="auto"/>
              <w:bottom w:val="single" w:sz="4" w:space="0" w:color="auto"/>
              <w:right w:val="single" w:sz="4" w:space="0" w:color="auto"/>
            </w:tcBorders>
            <w:vAlign w:val="center"/>
          </w:tcPr>
          <w:p w14:paraId="7E86380E"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358B6A6E" w14:textId="77777777" w:rsidTr="002D79B1">
        <w:trPr>
          <w:trHeight w:val="357"/>
        </w:trPr>
        <w:tc>
          <w:tcPr>
            <w:tcW w:w="0" w:type="auto"/>
            <w:vMerge/>
            <w:tcBorders>
              <w:left w:val="single" w:sz="4" w:space="0" w:color="auto"/>
              <w:right w:val="single" w:sz="4" w:space="0" w:color="auto"/>
            </w:tcBorders>
            <w:vAlign w:val="center"/>
          </w:tcPr>
          <w:p w14:paraId="647F9024"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tcPr>
          <w:p w14:paraId="0CC9AB18"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2FB56E6B"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 xml:space="preserve">2.7 – Encaminhamento balanço patrimonial do ente público do mês em que ocorreu o registro contábil da baixa do investimento na entidade privatizada, acompanhado dos </w:t>
            </w:r>
            <w:r w:rsidRPr="00CD66C6">
              <w:rPr>
                <w:rFonts w:ascii="Arial" w:hAnsi="Arial" w:cs="Arial"/>
                <w:sz w:val="20"/>
              </w:rPr>
              <w:lastRenderedPageBreak/>
              <w:t>respectivos lançamentos e notas explicativas.</w:t>
            </w:r>
          </w:p>
        </w:tc>
        <w:tc>
          <w:tcPr>
            <w:tcW w:w="1490" w:type="pct"/>
            <w:tcBorders>
              <w:top w:val="single" w:sz="4" w:space="0" w:color="auto"/>
              <w:left w:val="single" w:sz="4" w:space="0" w:color="auto"/>
              <w:bottom w:val="single" w:sz="4" w:space="0" w:color="auto"/>
              <w:right w:val="single" w:sz="4" w:space="0" w:color="auto"/>
            </w:tcBorders>
            <w:vAlign w:val="center"/>
          </w:tcPr>
          <w:p w14:paraId="5E59C946"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lastRenderedPageBreak/>
              <w:t>Conforme legislação aplicável ao tipo de entidade</w:t>
            </w:r>
          </w:p>
        </w:tc>
      </w:tr>
      <w:tr w:rsidR="00BD4CB2" w:rsidRPr="00CD66C6" w14:paraId="76887233" w14:textId="77777777" w:rsidTr="002D79B1">
        <w:trPr>
          <w:trHeight w:val="357"/>
        </w:trPr>
        <w:tc>
          <w:tcPr>
            <w:tcW w:w="0" w:type="auto"/>
            <w:vMerge/>
            <w:tcBorders>
              <w:left w:val="single" w:sz="4" w:space="0" w:color="auto"/>
              <w:bottom w:val="single" w:sz="4" w:space="0" w:color="auto"/>
              <w:right w:val="single" w:sz="4" w:space="0" w:color="auto"/>
            </w:tcBorders>
            <w:vAlign w:val="center"/>
          </w:tcPr>
          <w:p w14:paraId="407EDC4C" w14:textId="77777777" w:rsidR="00BD4CB2" w:rsidRPr="00CD66C6" w:rsidRDefault="00BD4CB2" w:rsidP="002D79B1">
            <w:pPr>
              <w:jc w:val="center"/>
              <w:rPr>
                <w:rFonts w:ascii="Arial" w:hAnsi="Arial" w:cs="Arial"/>
                <w:sz w:val="20"/>
              </w:rPr>
            </w:pPr>
          </w:p>
        </w:tc>
        <w:tc>
          <w:tcPr>
            <w:tcW w:w="699" w:type="pct"/>
            <w:vMerge/>
            <w:tcBorders>
              <w:left w:val="single" w:sz="4" w:space="0" w:color="auto"/>
              <w:bottom w:val="single" w:sz="4" w:space="0" w:color="auto"/>
              <w:right w:val="single" w:sz="4" w:space="0" w:color="auto"/>
            </w:tcBorders>
            <w:vAlign w:val="center"/>
          </w:tcPr>
          <w:p w14:paraId="5DD61D62"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tcPr>
          <w:p w14:paraId="7A322744"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2.8 – Inconsistência nos registros contábeis do ente público quanto a baixa do investimento na entidade privatizada.</w:t>
            </w:r>
          </w:p>
        </w:tc>
        <w:tc>
          <w:tcPr>
            <w:tcW w:w="1490" w:type="pct"/>
            <w:tcBorders>
              <w:top w:val="single" w:sz="4" w:space="0" w:color="auto"/>
              <w:left w:val="single" w:sz="4" w:space="0" w:color="auto"/>
              <w:bottom w:val="single" w:sz="4" w:space="0" w:color="auto"/>
              <w:right w:val="single" w:sz="4" w:space="0" w:color="auto"/>
            </w:tcBorders>
            <w:vAlign w:val="center"/>
          </w:tcPr>
          <w:p w14:paraId="711966C4" w14:textId="77777777" w:rsidR="00BD4CB2" w:rsidRPr="00CD66C6" w:rsidRDefault="00BD4CB2" w:rsidP="002D79B1">
            <w:r w:rsidRPr="00CD66C6">
              <w:rPr>
                <w:rFonts w:ascii="Arial" w:hAnsi="Arial" w:cs="Arial"/>
                <w:sz w:val="20"/>
              </w:rPr>
              <w:t>Conforme legislação aplicável ao tipo de entidade</w:t>
            </w:r>
          </w:p>
        </w:tc>
      </w:tr>
      <w:tr w:rsidR="00BD4CB2" w:rsidRPr="00CD66C6" w14:paraId="2075E9C3" w14:textId="77777777" w:rsidTr="002D79B1">
        <w:trPr>
          <w:trHeight w:val="756"/>
        </w:trPr>
        <w:tc>
          <w:tcPr>
            <w:tcW w:w="404" w:type="pct"/>
            <w:vMerge w:val="restart"/>
            <w:tcBorders>
              <w:top w:val="single" w:sz="4" w:space="0" w:color="auto"/>
              <w:left w:val="single" w:sz="4" w:space="0" w:color="auto"/>
              <w:right w:val="single" w:sz="4" w:space="0" w:color="auto"/>
            </w:tcBorders>
            <w:vAlign w:val="center"/>
            <w:hideMark/>
          </w:tcPr>
          <w:p w14:paraId="6B91F840"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3</w:t>
            </w:r>
          </w:p>
        </w:tc>
        <w:tc>
          <w:tcPr>
            <w:tcW w:w="699" w:type="pct"/>
            <w:vMerge w:val="restart"/>
            <w:tcBorders>
              <w:top w:val="single" w:sz="4" w:space="0" w:color="auto"/>
              <w:left w:val="single" w:sz="4" w:space="0" w:color="auto"/>
              <w:right w:val="single" w:sz="4" w:space="0" w:color="auto"/>
            </w:tcBorders>
            <w:vAlign w:val="center"/>
            <w:hideMark/>
          </w:tcPr>
          <w:p w14:paraId="59ED947A" w14:textId="77777777" w:rsidR="00BD4CB2" w:rsidRPr="00CD66C6" w:rsidRDefault="00BD4CB2" w:rsidP="002D79B1">
            <w:pPr>
              <w:adjustRightInd w:val="0"/>
              <w:jc w:val="center"/>
              <w:rPr>
                <w:rFonts w:ascii="Arial" w:hAnsi="Arial" w:cs="Arial"/>
                <w:sz w:val="20"/>
              </w:rPr>
            </w:pPr>
            <w:r w:rsidRPr="00CD66C6">
              <w:rPr>
                <w:rFonts w:ascii="Arial" w:hAnsi="Arial" w:cs="Arial"/>
                <w:b/>
                <w:bCs/>
                <w:sz w:val="20"/>
              </w:rPr>
              <w:t>Outros Aspectos</w:t>
            </w:r>
          </w:p>
        </w:tc>
        <w:tc>
          <w:tcPr>
            <w:tcW w:w="2407" w:type="pct"/>
            <w:tcBorders>
              <w:top w:val="single" w:sz="4" w:space="0" w:color="auto"/>
              <w:left w:val="single" w:sz="4" w:space="0" w:color="auto"/>
              <w:bottom w:val="single" w:sz="4" w:space="0" w:color="auto"/>
              <w:right w:val="single" w:sz="4" w:space="0" w:color="auto"/>
            </w:tcBorders>
            <w:vAlign w:val="center"/>
            <w:hideMark/>
          </w:tcPr>
          <w:p w14:paraId="0A65F573"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3.1 – Existência de pendências da entidade extinta quanto a transferências voluntárias.</w:t>
            </w:r>
          </w:p>
        </w:tc>
        <w:tc>
          <w:tcPr>
            <w:tcW w:w="1490" w:type="pct"/>
            <w:tcBorders>
              <w:top w:val="single" w:sz="4" w:space="0" w:color="auto"/>
              <w:left w:val="single" w:sz="4" w:space="0" w:color="auto"/>
              <w:bottom w:val="single" w:sz="4" w:space="0" w:color="auto"/>
              <w:right w:val="single" w:sz="4" w:space="0" w:color="auto"/>
            </w:tcBorders>
            <w:vAlign w:val="center"/>
          </w:tcPr>
          <w:p w14:paraId="0485EA3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r w:rsidR="00BD4CB2" w:rsidRPr="00CD66C6" w14:paraId="1C508216" w14:textId="77777777" w:rsidTr="002D79B1">
        <w:trPr>
          <w:trHeight w:val="358"/>
        </w:trPr>
        <w:tc>
          <w:tcPr>
            <w:tcW w:w="0" w:type="auto"/>
            <w:vMerge/>
            <w:tcBorders>
              <w:left w:val="single" w:sz="4" w:space="0" w:color="auto"/>
              <w:right w:val="single" w:sz="4" w:space="0" w:color="auto"/>
            </w:tcBorders>
            <w:vAlign w:val="center"/>
            <w:hideMark/>
          </w:tcPr>
          <w:p w14:paraId="6695ABC3" w14:textId="77777777" w:rsidR="00BD4CB2" w:rsidRPr="00CD66C6" w:rsidRDefault="00BD4CB2" w:rsidP="002D79B1">
            <w:pPr>
              <w:jc w:val="center"/>
              <w:rPr>
                <w:rFonts w:ascii="Arial" w:hAnsi="Arial" w:cs="Arial"/>
                <w:sz w:val="20"/>
              </w:rPr>
            </w:pPr>
          </w:p>
        </w:tc>
        <w:tc>
          <w:tcPr>
            <w:tcW w:w="699" w:type="pct"/>
            <w:vMerge/>
            <w:tcBorders>
              <w:left w:val="single" w:sz="4" w:space="0" w:color="auto"/>
              <w:right w:val="single" w:sz="4" w:space="0" w:color="auto"/>
            </w:tcBorders>
            <w:vAlign w:val="center"/>
            <w:hideMark/>
          </w:tcPr>
          <w:p w14:paraId="16EB5473" w14:textId="77777777" w:rsidR="00BD4CB2" w:rsidRPr="00CD66C6" w:rsidRDefault="00BD4CB2" w:rsidP="002D79B1">
            <w:pPr>
              <w:jc w:val="center"/>
              <w:rPr>
                <w:rFonts w:ascii="Arial" w:hAnsi="Arial" w:cs="Arial"/>
                <w:sz w:val="20"/>
              </w:rPr>
            </w:pPr>
          </w:p>
        </w:tc>
        <w:tc>
          <w:tcPr>
            <w:tcW w:w="2407" w:type="pct"/>
            <w:tcBorders>
              <w:top w:val="single" w:sz="4" w:space="0" w:color="auto"/>
              <w:left w:val="single" w:sz="4" w:space="0" w:color="auto"/>
              <w:bottom w:val="single" w:sz="4" w:space="0" w:color="auto"/>
              <w:right w:val="single" w:sz="4" w:space="0" w:color="auto"/>
            </w:tcBorders>
            <w:vAlign w:val="center"/>
            <w:hideMark/>
          </w:tcPr>
          <w:p w14:paraId="5D1375E0"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3.2 – Existência de pendências da entidade extinta quanto a atos de pessoal.</w:t>
            </w:r>
          </w:p>
        </w:tc>
        <w:tc>
          <w:tcPr>
            <w:tcW w:w="1490" w:type="pct"/>
            <w:tcBorders>
              <w:top w:val="single" w:sz="4" w:space="0" w:color="auto"/>
              <w:left w:val="single" w:sz="4" w:space="0" w:color="auto"/>
              <w:bottom w:val="single" w:sz="4" w:space="0" w:color="auto"/>
              <w:right w:val="single" w:sz="4" w:space="0" w:color="auto"/>
            </w:tcBorders>
            <w:vAlign w:val="center"/>
          </w:tcPr>
          <w:p w14:paraId="4E9DF1C2" w14:textId="77777777" w:rsidR="00BD4CB2" w:rsidRPr="00CD66C6" w:rsidRDefault="00BD4CB2" w:rsidP="002D79B1">
            <w:pPr>
              <w:adjustRightInd w:val="0"/>
              <w:spacing w:before="120" w:after="120"/>
              <w:jc w:val="both"/>
              <w:rPr>
                <w:rFonts w:ascii="Arial" w:hAnsi="Arial" w:cs="Arial"/>
                <w:sz w:val="20"/>
              </w:rPr>
            </w:pPr>
            <w:r w:rsidRPr="00CD66C6">
              <w:rPr>
                <w:rFonts w:ascii="Arial" w:hAnsi="Arial" w:cs="Arial"/>
                <w:sz w:val="20"/>
              </w:rPr>
              <w:t>Conforme legislação aplicável ao tipo de entidade</w:t>
            </w:r>
          </w:p>
        </w:tc>
      </w:tr>
    </w:tbl>
    <w:p w14:paraId="04252A97" w14:textId="77777777" w:rsidR="0005459A" w:rsidRDefault="0005459A" w:rsidP="00ED0689">
      <w:pPr>
        <w:pStyle w:val="Ttulo1"/>
        <w:numPr>
          <w:ilvl w:val="0"/>
          <w:numId w:val="0"/>
        </w:numPr>
        <w:spacing w:before="240"/>
        <w:ind w:left="431" w:hanging="431"/>
        <w:rPr>
          <w:rFonts w:ascii="Arial" w:hAnsi="Arial" w:cs="Arial"/>
          <w:b/>
          <w:bCs/>
          <w:sz w:val="24"/>
        </w:rPr>
      </w:pPr>
      <w:bookmarkStart w:id="14" w:name="_Toc54867125"/>
    </w:p>
    <w:p w14:paraId="579B3AF7" w14:textId="1B180930" w:rsidR="00BD4CB2" w:rsidRPr="00D34733" w:rsidRDefault="00BD4CB2" w:rsidP="00ED0689">
      <w:pPr>
        <w:pStyle w:val="Ttulo1"/>
        <w:numPr>
          <w:ilvl w:val="0"/>
          <w:numId w:val="0"/>
        </w:numPr>
        <w:spacing w:before="240"/>
        <w:ind w:left="431" w:hanging="431"/>
        <w:rPr>
          <w:rFonts w:ascii="Arial" w:hAnsi="Arial" w:cs="Arial"/>
          <w:b/>
          <w:bCs/>
          <w:sz w:val="24"/>
        </w:rPr>
      </w:pPr>
      <w:r w:rsidRPr="00D34733">
        <w:rPr>
          <w:rFonts w:ascii="Arial" w:hAnsi="Arial" w:cs="Arial"/>
          <w:b/>
          <w:bCs/>
          <w:sz w:val="24"/>
        </w:rPr>
        <w:t>CAPÍTULO VI</w:t>
      </w:r>
      <w:bookmarkEnd w:id="14"/>
    </w:p>
    <w:p w14:paraId="7931FFAD" w14:textId="77777777" w:rsidR="00BD4CB2" w:rsidRPr="00D34733" w:rsidRDefault="00BD4CB2" w:rsidP="00D34733">
      <w:pPr>
        <w:pStyle w:val="Ttulo1"/>
        <w:numPr>
          <w:ilvl w:val="0"/>
          <w:numId w:val="0"/>
        </w:numPr>
        <w:ind w:left="432" w:hanging="432"/>
        <w:rPr>
          <w:rFonts w:ascii="Arial" w:hAnsi="Arial" w:cs="Arial"/>
          <w:b/>
          <w:bCs/>
          <w:sz w:val="24"/>
        </w:rPr>
      </w:pPr>
      <w:bookmarkStart w:id="15" w:name="_Toc54867126"/>
      <w:r w:rsidRPr="00D34733">
        <w:rPr>
          <w:rFonts w:ascii="Arial" w:hAnsi="Arial" w:cs="Arial"/>
          <w:b/>
          <w:bCs/>
          <w:sz w:val="24"/>
        </w:rPr>
        <w:t>DAS PROVIDÊNCIAS APÓS O JULGAMENTO DO PROCESSO DE PRESTAÇÃO DE CONTAS DE EXTINÇÃO DE ENTIDADE</w:t>
      </w:r>
      <w:bookmarkEnd w:id="15"/>
    </w:p>
    <w:p w14:paraId="0C405560" w14:textId="181192E9" w:rsidR="0005459A" w:rsidRDefault="00A43A0D" w:rsidP="00ED0689">
      <w:pPr>
        <w:pStyle w:val="ArtigosOrdinais"/>
        <w:ind w:firstLine="1134"/>
        <w:rPr>
          <w:rFonts w:cs="Arial"/>
          <w:sz w:val="24"/>
        </w:rPr>
      </w:pPr>
      <w:r w:rsidRPr="00CD66C6">
        <w:rPr>
          <w:rFonts w:cs="Arial"/>
          <w:b/>
          <w:sz w:val="24"/>
        </w:rPr>
        <w:t>Art. 15</w:t>
      </w:r>
      <w:r>
        <w:rPr>
          <w:rFonts w:cs="Arial"/>
          <w:b/>
          <w:sz w:val="24"/>
        </w:rPr>
        <w:t>.</w:t>
      </w:r>
      <w:r w:rsidR="005D49B0">
        <w:rPr>
          <w:rFonts w:cs="Arial"/>
          <w:b/>
          <w:sz w:val="24"/>
        </w:rPr>
        <w:t xml:space="preserve"> </w:t>
      </w:r>
      <w:r w:rsidR="005D49B0" w:rsidRPr="00152896">
        <w:rPr>
          <w:rFonts w:cs="Arial"/>
          <w:sz w:val="24"/>
        </w:rPr>
        <w:t>Após o julgamento do processo de Prestação de Contas de Extinção de Entidade, os autos serão encaminhados à Coordenadoria de Sistemas e Informações da Fiscalização e à Diretoria de Protocolo, para que procedam às devidas baixas e anotações nos sistemas do Tribunal.</w:t>
      </w:r>
      <w:r w:rsidR="005D49B0">
        <w:rPr>
          <w:rFonts w:cs="Arial"/>
          <w:sz w:val="24"/>
        </w:rPr>
        <w:t xml:space="preserve"> (</w:t>
      </w:r>
      <w:r w:rsidR="005D49B0" w:rsidRPr="005D49B0">
        <w:rPr>
          <w:rFonts w:cs="Arial"/>
          <w:color w:val="0000FF"/>
          <w:sz w:val="24"/>
        </w:rPr>
        <w:t>Redação dada</w:t>
      </w:r>
      <w:r w:rsidR="005D49B0">
        <w:rPr>
          <w:rFonts w:cs="Arial"/>
          <w:sz w:val="24"/>
        </w:rPr>
        <w:t xml:space="preserve"> </w:t>
      </w:r>
      <w:r w:rsidR="006A262F" w:rsidRPr="00021F8C">
        <w:rPr>
          <w:rFonts w:cs="Arial"/>
          <w:color w:val="0000FF"/>
          <w:sz w:val="24"/>
        </w:rPr>
        <w:t>pela</w:t>
      </w:r>
      <w:r w:rsidR="006A262F" w:rsidRPr="00021F8C">
        <w:rPr>
          <w:rFonts w:cs="Arial"/>
          <w:sz w:val="24"/>
        </w:rPr>
        <w:t xml:space="preserve"> </w:t>
      </w:r>
      <w:hyperlink r:id="rId13" w:history="1">
        <w:r w:rsidR="006A262F" w:rsidRPr="00021F8C">
          <w:rPr>
            <w:rStyle w:val="Hyperlink"/>
            <w:rFonts w:cs="Arial"/>
            <w:color w:val="0000FF"/>
            <w:sz w:val="24"/>
          </w:rPr>
          <w:t>Instrução Normativa n. 163/2021</w:t>
        </w:r>
      </w:hyperlink>
      <w:r w:rsidR="006A262F" w:rsidRPr="00021F8C">
        <w:rPr>
          <w:rFonts w:cs="Arial"/>
          <w:sz w:val="24"/>
        </w:rPr>
        <w:t>)</w:t>
      </w:r>
    </w:p>
    <w:p w14:paraId="5C419E15" w14:textId="77777777" w:rsidR="005D49B0" w:rsidRPr="00CD66C6" w:rsidRDefault="005D49B0" w:rsidP="00ED0689">
      <w:pPr>
        <w:pStyle w:val="ArtigosOrdinais"/>
        <w:ind w:firstLine="1134"/>
        <w:rPr>
          <w:rFonts w:cs="Arial"/>
          <w:sz w:val="24"/>
        </w:rPr>
      </w:pPr>
    </w:p>
    <w:p w14:paraId="10F95F14" w14:textId="77777777" w:rsidR="00BD4CB2" w:rsidRPr="00D34733" w:rsidRDefault="00BD4CB2" w:rsidP="00D34733">
      <w:pPr>
        <w:pStyle w:val="Ttulo1"/>
        <w:numPr>
          <w:ilvl w:val="0"/>
          <w:numId w:val="0"/>
        </w:numPr>
        <w:spacing w:before="120"/>
        <w:ind w:left="431" w:hanging="431"/>
        <w:rPr>
          <w:rFonts w:ascii="Arial" w:hAnsi="Arial" w:cs="Arial"/>
          <w:b/>
          <w:bCs/>
          <w:sz w:val="24"/>
        </w:rPr>
      </w:pPr>
      <w:bookmarkStart w:id="16" w:name="_Toc54867127"/>
      <w:r w:rsidRPr="00D34733">
        <w:rPr>
          <w:rFonts w:ascii="Arial" w:hAnsi="Arial" w:cs="Arial"/>
          <w:b/>
          <w:bCs/>
          <w:sz w:val="24"/>
        </w:rPr>
        <w:t>CAPÍTULO VII</w:t>
      </w:r>
      <w:bookmarkEnd w:id="16"/>
    </w:p>
    <w:p w14:paraId="49C134EB" w14:textId="77777777" w:rsidR="00BD4CB2" w:rsidRPr="00D34733" w:rsidRDefault="00BD4CB2" w:rsidP="00D34733">
      <w:pPr>
        <w:pStyle w:val="Ttulo1"/>
        <w:numPr>
          <w:ilvl w:val="0"/>
          <w:numId w:val="0"/>
        </w:numPr>
        <w:ind w:left="432" w:hanging="432"/>
        <w:rPr>
          <w:rFonts w:ascii="Arial" w:hAnsi="Arial" w:cs="Arial"/>
          <w:b/>
          <w:bCs/>
          <w:sz w:val="24"/>
        </w:rPr>
      </w:pPr>
      <w:bookmarkStart w:id="17" w:name="_Toc54867128"/>
      <w:r w:rsidRPr="00D34733">
        <w:rPr>
          <w:rFonts w:ascii="Arial" w:hAnsi="Arial" w:cs="Arial"/>
          <w:b/>
          <w:bCs/>
          <w:sz w:val="24"/>
        </w:rPr>
        <w:t>DAS DISPOSIÇÕES FINAIS</w:t>
      </w:r>
      <w:bookmarkEnd w:id="17"/>
    </w:p>
    <w:p w14:paraId="1417ED1F" w14:textId="26FF7A2A" w:rsidR="00BD4CB2" w:rsidRPr="00CD66C6" w:rsidRDefault="00BD4CB2" w:rsidP="00ED0689">
      <w:pPr>
        <w:pStyle w:val="ArtigosOrdinais"/>
        <w:ind w:firstLine="1134"/>
        <w:rPr>
          <w:rFonts w:cs="Arial"/>
          <w:sz w:val="24"/>
        </w:rPr>
      </w:pPr>
      <w:r w:rsidRPr="00CD66C6">
        <w:rPr>
          <w:rFonts w:cs="Arial"/>
          <w:b/>
          <w:sz w:val="24"/>
        </w:rPr>
        <w:t>Art. 16</w:t>
      </w:r>
      <w:r>
        <w:rPr>
          <w:rFonts w:cs="Arial"/>
          <w:b/>
          <w:sz w:val="24"/>
        </w:rPr>
        <w:t>.</w:t>
      </w:r>
      <w:r w:rsidRPr="00CD66C6">
        <w:rPr>
          <w:rFonts w:cs="Arial"/>
          <w:b/>
          <w:sz w:val="24"/>
        </w:rPr>
        <w:t xml:space="preserve"> </w:t>
      </w:r>
      <w:r w:rsidRPr="00CD66C6">
        <w:rPr>
          <w:rFonts w:cs="Arial"/>
          <w:sz w:val="24"/>
        </w:rPr>
        <w:t xml:space="preserve">Fica incluído no Anexo I da </w:t>
      </w:r>
      <w:hyperlink r:id="rId14" w:history="1">
        <w:r w:rsidRPr="0005459A">
          <w:rPr>
            <w:rStyle w:val="Hyperlink"/>
            <w:rFonts w:cs="Arial"/>
            <w:color w:val="0000FF"/>
            <w:sz w:val="24"/>
          </w:rPr>
          <w:t>Instrução Normativa nº 82/2012</w:t>
        </w:r>
      </w:hyperlink>
      <w:r w:rsidRPr="00CD66C6">
        <w:rPr>
          <w:rFonts w:cs="Arial"/>
          <w:sz w:val="24"/>
        </w:rPr>
        <w:t xml:space="preserve"> o assunto “Prestação de Contas de Extinção de Entidade”, conforme quadro em anexo.</w:t>
      </w:r>
    </w:p>
    <w:p w14:paraId="74F07841" w14:textId="49BCB2AF" w:rsidR="00BD4CB2" w:rsidRPr="00CD66C6" w:rsidRDefault="00BD4CB2" w:rsidP="00ED0689">
      <w:pPr>
        <w:pStyle w:val="ArtigosOrdinais"/>
        <w:ind w:firstLine="1134"/>
        <w:rPr>
          <w:rFonts w:cs="Arial"/>
          <w:sz w:val="24"/>
        </w:rPr>
      </w:pPr>
      <w:r w:rsidRPr="00CD66C6">
        <w:rPr>
          <w:rFonts w:cs="Arial"/>
          <w:b/>
          <w:sz w:val="24"/>
        </w:rPr>
        <w:t>Art. 17</w:t>
      </w:r>
      <w:r>
        <w:rPr>
          <w:rFonts w:cs="Arial"/>
          <w:b/>
          <w:sz w:val="24"/>
        </w:rPr>
        <w:t>.</w:t>
      </w:r>
      <w:r w:rsidRPr="00CD66C6">
        <w:rPr>
          <w:rFonts w:cs="Arial"/>
          <w:b/>
          <w:sz w:val="24"/>
        </w:rPr>
        <w:t xml:space="preserve"> </w:t>
      </w:r>
      <w:r w:rsidRPr="00CD66C6">
        <w:rPr>
          <w:rFonts w:cs="Arial"/>
          <w:sz w:val="24"/>
        </w:rPr>
        <w:t xml:space="preserve">Fica alterado o Anexo V da </w:t>
      </w:r>
      <w:hyperlink r:id="rId15" w:history="1">
        <w:r w:rsidRPr="0005459A">
          <w:rPr>
            <w:rStyle w:val="Hyperlink"/>
            <w:rFonts w:cs="Arial"/>
            <w:color w:val="0000FF"/>
            <w:sz w:val="24"/>
          </w:rPr>
          <w:t>Instrução Normativa nº 82/2012</w:t>
        </w:r>
      </w:hyperlink>
      <w:r w:rsidRPr="00CD66C6">
        <w:rPr>
          <w:rFonts w:cs="Arial"/>
          <w:sz w:val="24"/>
        </w:rPr>
        <w:t>, conforme quadro em anexo.</w:t>
      </w:r>
    </w:p>
    <w:p w14:paraId="48424615" w14:textId="77777777" w:rsidR="00BD4CB2" w:rsidRPr="00CD66C6" w:rsidRDefault="00BD4CB2" w:rsidP="00ED0689">
      <w:pPr>
        <w:pStyle w:val="ArtigosOrdinais"/>
        <w:ind w:firstLine="1134"/>
        <w:rPr>
          <w:rFonts w:cs="Arial"/>
          <w:sz w:val="24"/>
        </w:rPr>
      </w:pPr>
      <w:r w:rsidRPr="00CD66C6">
        <w:rPr>
          <w:rFonts w:cs="Arial"/>
          <w:b/>
          <w:sz w:val="24"/>
        </w:rPr>
        <w:t>Art. 18</w:t>
      </w:r>
      <w:r>
        <w:rPr>
          <w:rFonts w:cs="Arial"/>
          <w:b/>
          <w:sz w:val="24"/>
        </w:rPr>
        <w:t>.</w:t>
      </w:r>
      <w:r w:rsidRPr="00CD66C6">
        <w:rPr>
          <w:rFonts w:cs="Arial"/>
          <w:sz w:val="24"/>
        </w:rPr>
        <w:t xml:space="preserve"> Esta Instrução Normativa entra em vigor na data de sua publicação.</w:t>
      </w:r>
    </w:p>
    <w:p w14:paraId="31875FD5" w14:textId="77777777" w:rsidR="00BD4CB2" w:rsidRDefault="00BD4CB2" w:rsidP="00ED0689">
      <w:pPr>
        <w:pStyle w:val="ArtigosOrdinais"/>
        <w:spacing w:before="360"/>
        <w:jc w:val="center"/>
        <w:rPr>
          <w:sz w:val="24"/>
        </w:rPr>
      </w:pPr>
      <w:r w:rsidRPr="00CD66C6">
        <w:rPr>
          <w:sz w:val="24"/>
        </w:rPr>
        <w:t xml:space="preserve">Curitiba, </w:t>
      </w:r>
      <w:r w:rsidR="007A6ED1">
        <w:rPr>
          <w:sz w:val="24"/>
        </w:rPr>
        <w:t xml:space="preserve">19 </w:t>
      </w:r>
      <w:r w:rsidRPr="00CD66C6">
        <w:rPr>
          <w:sz w:val="24"/>
        </w:rPr>
        <w:t xml:space="preserve">de </w:t>
      </w:r>
      <w:r w:rsidR="007A6ED1">
        <w:rPr>
          <w:sz w:val="24"/>
        </w:rPr>
        <w:t>fevereiro</w:t>
      </w:r>
      <w:r w:rsidRPr="00CD66C6">
        <w:rPr>
          <w:sz w:val="24"/>
        </w:rPr>
        <w:t xml:space="preserve"> de </w:t>
      </w:r>
      <w:r w:rsidR="00D34733">
        <w:rPr>
          <w:sz w:val="24"/>
        </w:rPr>
        <w:t>202</w:t>
      </w:r>
      <w:r w:rsidR="007A6ED1">
        <w:rPr>
          <w:sz w:val="24"/>
        </w:rPr>
        <w:t>1</w:t>
      </w:r>
      <w:r>
        <w:rPr>
          <w:sz w:val="24"/>
        </w:rPr>
        <w:t>.</w:t>
      </w:r>
    </w:p>
    <w:p w14:paraId="46118FEF" w14:textId="77777777" w:rsidR="0005459A" w:rsidRPr="00CD66C6" w:rsidRDefault="0005459A" w:rsidP="0005459A">
      <w:pPr>
        <w:pStyle w:val="ArtigosOrdinais"/>
        <w:jc w:val="center"/>
        <w:rPr>
          <w:rFonts w:cs="Arial"/>
          <w:sz w:val="24"/>
        </w:rPr>
      </w:pPr>
    </w:p>
    <w:p w14:paraId="31743DCE" w14:textId="77777777" w:rsidR="007A6ED1" w:rsidRPr="007A6ED1" w:rsidRDefault="007A6ED1" w:rsidP="007A6ED1">
      <w:pPr>
        <w:spacing w:before="360" w:after="0" w:line="240" w:lineRule="auto"/>
        <w:jc w:val="center"/>
        <w:rPr>
          <w:rFonts w:ascii="Arial" w:hAnsi="Arial" w:cs="Arial"/>
          <w:color w:val="808080"/>
          <w:sz w:val="24"/>
          <w:lang w:eastAsia="pt-BR"/>
        </w:rPr>
      </w:pPr>
      <w:r w:rsidRPr="007A6ED1">
        <w:rPr>
          <w:rFonts w:ascii="Arial" w:hAnsi="Arial" w:cs="Arial"/>
          <w:color w:val="808080"/>
          <w:sz w:val="24"/>
        </w:rPr>
        <w:t>- assinatura digital -</w:t>
      </w:r>
    </w:p>
    <w:p w14:paraId="5373CFFE" w14:textId="77777777" w:rsidR="007A6ED1" w:rsidRPr="007A6ED1" w:rsidRDefault="007A6ED1" w:rsidP="007A6ED1">
      <w:pPr>
        <w:spacing w:before="120" w:after="0" w:line="240" w:lineRule="auto"/>
        <w:jc w:val="center"/>
        <w:rPr>
          <w:rFonts w:ascii="Arial" w:hAnsi="Arial" w:cs="Arial"/>
          <w:b/>
          <w:sz w:val="24"/>
        </w:rPr>
      </w:pPr>
      <w:bookmarkStart w:id="18" w:name="_Hlk536444639"/>
      <w:r w:rsidRPr="007A6ED1">
        <w:rPr>
          <w:rFonts w:ascii="Arial" w:hAnsi="Arial" w:cs="Arial"/>
          <w:sz w:val="24"/>
        </w:rPr>
        <w:t>Conselheiro</w:t>
      </w:r>
      <w:r w:rsidRPr="007A6ED1">
        <w:rPr>
          <w:rFonts w:ascii="Arial" w:hAnsi="Arial" w:cs="Arial"/>
          <w:b/>
          <w:sz w:val="24"/>
        </w:rPr>
        <w:t xml:space="preserve"> </w:t>
      </w:r>
      <w:bookmarkEnd w:id="18"/>
      <w:r w:rsidRPr="007A6ED1">
        <w:rPr>
          <w:rFonts w:ascii="Arial" w:hAnsi="Arial" w:cs="Arial"/>
          <w:b/>
          <w:sz w:val="24"/>
        </w:rPr>
        <w:t>FABIO DE SOUZA CAMARGO</w:t>
      </w:r>
    </w:p>
    <w:p w14:paraId="1CFF1A0B" w14:textId="77777777" w:rsidR="007A6ED1" w:rsidRPr="007A6ED1" w:rsidRDefault="007A6ED1" w:rsidP="007A6ED1">
      <w:pPr>
        <w:pStyle w:val="ArtigosOrdinais"/>
        <w:tabs>
          <w:tab w:val="clear" w:pos="1260"/>
          <w:tab w:val="clear" w:pos="1440"/>
          <w:tab w:val="clear" w:pos="1620"/>
          <w:tab w:val="clear" w:pos="1800"/>
          <w:tab w:val="clear" w:pos="1980"/>
        </w:tabs>
        <w:spacing w:before="0"/>
        <w:jc w:val="center"/>
        <w:rPr>
          <w:rFonts w:cs="Arial"/>
          <w:sz w:val="24"/>
          <w:szCs w:val="22"/>
        </w:rPr>
      </w:pPr>
      <w:r w:rsidRPr="007A6ED1">
        <w:rPr>
          <w:rFonts w:cs="Arial"/>
          <w:sz w:val="24"/>
          <w:szCs w:val="22"/>
        </w:rPr>
        <w:t>Presidente</w:t>
      </w:r>
    </w:p>
    <w:p w14:paraId="0196D883" w14:textId="77777777" w:rsidR="007A6ED1" w:rsidRDefault="007A6ED1" w:rsidP="007A6ED1">
      <w:pPr>
        <w:pStyle w:val="ArtigosOrdinais"/>
        <w:tabs>
          <w:tab w:val="clear" w:pos="1260"/>
          <w:tab w:val="clear" w:pos="1440"/>
          <w:tab w:val="clear" w:pos="1620"/>
          <w:tab w:val="clear" w:pos="1800"/>
          <w:tab w:val="clear" w:pos="1980"/>
        </w:tabs>
        <w:rPr>
          <w:rFonts w:cs="Arial"/>
          <w:sz w:val="24"/>
          <w:szCs w:val="22"/>
        </w:rPr>
      </w:pPr>
    </w:p>
    <w:p w14:paraId="12FCDC21" w14:textId="77777777" w:rsidR="00BD4CB2" w:rsidRPr="0048715C" w:rsidRDefault="00BD4CB2" w:rsidP="00544868">
      <w:pPr>
        <w:pStyle w:val="ArtigosOrdinais"/>
        <w:tabs>
          <w:tab w:val="clear" w:pos="1260"/>
          <w:tab w:val="clear" w:pos="1440"/>
          <w:tab w:val="clear" w:pos="1620"/>
          <w:tab w:val="clear" w:pos="1800"/>
          <w:tab w:val="clear" w:pos="1980"/>
        </w:tabs>
        <w:jc w:val="center"/>
        <w:rPr>
          <w:rFonts w:cs="Arial"/>
          <w:b/>
          <w:iCs/>
          <w:sz w:val="28"/>
          <w:szCs w:val="28"/>
        </w:rPr>
      </w:pPr>
      <w:r w:rsidRPr="00CD66C6">
        <w:rPr>
          <w:rFonts w:cs="Arial"/>
          <w:sz w:val="24"/>
        </w:rPr>
        <w:br w:type="page"/>
      </w:r>
      <w:r w:rsidRPr="0048715C">
        <w:rPr>
          <w:rFonts w:cs="Arial"/>
          <w:b/>
          <w:iCs/>
          <w:sz w:val="28"/>
          <w:szCs w:val="28"/>
        </w:rPr>
        <w:lastRenderedPageBreak/>
        <w:t>ANEXO I</w:t>
      </w:r>
    </w:p>
    <w:p w14:paraId="09959CDC" w14:textId="77777777" w:rsidR="00BD4CB2" w:rsidRPr="00CD66C6" w:rsidRDefault="00BD4CB2" w:rsidP="00BD4CB2">
      <w:pPr>
        <w:pStyle w:val="Ttulo6"/>
        <w:numPr>
          <w:ilvl w:val="0"/>
          <w:numId w:val="0"/>
        </w:numPr>
        <w:spacing w:before="120"/>
        <w:ind w:right="74"/>
        <w:rPr>
          <w:rFonts w:ascii="Arial" w:hAnsi="Arial" w:cs="Arial"/>
          <w:b/>
          <w:i w:val="0"/>
          <w:color w:val="auto"/>
          <w:sz w:val="28"/>
          <w:szCs w:val="28"/>
        </w:rPr>
      </w:pPr>
      <w:r w:rsidRPr="00CD66C6">
        <w:rPr>
          <w:rFonts w:ascii="Arial" w:hAnsi="Arial" w:cs="Arial"/>
          <w:b/>
          <w:i w:val="0"/>
          <w:color w:val="auto"/>
          <w:sz w:val="28"/>
          <w:szCs w:val="28"/>
        </w:rPr>
        <w:t>TABELA DE ASSUNTOS DE PROCESSOS</w:t>
      </w:r>
    </w:p>
    <w:p w14:paraId="4BAF4BBF"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1EF9B9D7" w14:textId="77777777" w:rsidR="00BD4CB2" w:rsidRPr="0048715C" w:rsidRDefault="00BD4CB2" w:rsidP="00BD4CB2">
      <w:pPr>
        <w:spacing w:before="120" w:after="120"/>
        <w:rPr>
          <w:rFonts w:ascii="Arial" w:hAnsi="Arial" w:cs="Arial"/>
          <w:sz w:val="24"/>
          <w:szCs w:val="24"/>
        </w:rPr>
      </w:pPr>
      <w:r w:rsidRPr="0048715C">
        <w:rPr>
          <w:rFonts w:ascii="Arial" w:hAnsi="Arial" w:cs="Arial"/>
          <w:b/>
          <w:sz w:val="24"/>
          <w:szCs w:val="24"/>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BD4CB2" w:rsidRPr="00CD66C6" w14:paraId="47BE2A74" w14:textId="77777777" w:rsidTr="002D79B1">
        <w:trPr>
          <w:jc w:val="center"/>
        </w:trPr>
        <w:tc>
          <w:tcPr>
            <w:tcW w:w="493" w:type="dxa"/>
            <w:shd w:val="clear" w:color="auto" w:fill="DDD9C3"/>
          </w:tcPr>
          <w:p w14:paraId="6D5B27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Nº</w:t>
            </w:r>
          </w:p>
        </w:tc>
        <w:tc>
          <w:tcPr>
            <w:tcW w:w="5397" w:type="dxa"/>
            <w:shd w:val="clear" w:color="auto" w:fill="DDD9C3"/>
          </w:tcPr>
          <w:p w14:paraId="5D1A58FF"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ASSUNTO</w:t>
            </w:r>
          </w:p>
        </w:tc>
        <w:tc>
          <w:tcPr>
            <w:tcW w:w="3337" w:type="dxa"/>
            <w:shd w:val="clear" w:color="auto" w:fill="DDD9C3"/>
          </w:tcPr>
          <w:p w14:paraId="56D5161D" w14:textId="77777777" w:rsidR="00BD4CB2" w:rsidRPr="00CD66C6" w:rsidRDefault="00BD4CB2" w:rsidP="002D79B1">
            <w:pPr>
              <w:spacing w:before="120" w:after="120"/>
              <w:jc w:val="center"/>
              <w:rPr>
                <w:rFonts w:ascii="Arial" w:hAnsi="Arial" w:cs="Arial"/>
                <w:b/>
                <w:sz w:val="20"/>
                <w:szCs w:val="20"/>
              </w:rPr>
            </w:pPr>
            <w:r w:rsidRPr="00CD66C6">
              <w:rPr>
                <w:rFonts w:ascii="Arial" w:hAnsi="Arial" w:cs="Arial"/>
                <w:b/>
                <w:sz w:val="20"/>
                <w:szCs w:val="20"/>
              </w:rPr>
              <w:t>SUBASSUNTO</w:t>
            </w:r>
          </w:p>
        </w:tc>
      </w:tr>
      <w:tr w:rsidR="00BD4CB2" w:rsidRPr="00CD66C6" w14:paraId="686DF6EC" w14:textId="77777777" w:rsidTr="002D79B1">
        <w:trPr>
          <w:jc w:val="center"/>
        </w:trPr>
        <w:tc>
          <w:tcPr>
            <w:tcW w:w="493" w:type="dxa"/>
          </w:tcPr>
          <w:p w14:paraId="656F8EC3" w14:textId="77777777" w:rsidR="00BD4CB2" w:rsidRPr="00CD66C6" w:rsidRDefault="00BD4CB2" w:rsidP="002D79B1">
            <w:pPr>
              <w:rPr>
                <w:rFonts w:ascii="Arial" w:hAnsi="Arial" w:cs="Arial"/>
                <w:b/>
                <w:sz w:val="20"/>
                <w:szCs w:val="20"/>
              </w:rPr>
            </w:pPr>
            <w:r w:rsidRPr="00CD66C6">
              <w:rPr>
                <w:rFonts w:ascii="Arial" w:hAnsi="Arial" w:cs="Arial"/>
                <w:b/>
                <w:sz w:val="20"/>
                <w:szCs w:val="20"/>
              </w:rPr>
              <w:t>22</w:t>
            </w:r>
          </w:p>
        </w:tc>
        <w:tc>
          <w:tcPr>
            <w:tcW w:w="5397" w:type="dxa"/>
          </w:tcPr>
          <w:p w14:paraId="03C4BAE4" w14:textId="77777777" w:rsidR="00BD4CB2" w:rsidRPr="00CD66C6" w:rsidRDefault="00BD4CB2" w:rsidP="002D79B1">
            <w:pPr>
              <w:rPr>
                <w:rFonts w:ascii="Arial" w:hAnsi="Arial" w:cs="Arial"/>
                <w:bCs/>
                <w:sz w:val="20"/>
                <w:szCs w:val="20"/>
              </w:rPr>
            </w:pPr>
            <w:r w:rsidRPr="00CD66C6">
              <w:rPr>
                <w:rFonts w:ascii="Arial" w:hAnsi="Arial" w:cs="Arial"/>
                <w:bCs/>
                <w:sz w:val="20"/>
                <w:szCs w:val="20"/>
              </w:rPr>
              <w:t>PRESTAÇÃO DE CONTAS DE EXTINÇÃO DE ENTIDADE</w:t>
            </w:r>
          </w:p>
        </w:tc>
        <w:tc>
          <w:tcPr>
            <w:tcW w:w="3337" w:type="dxa"/>
          </w:tcPr>
          <w:p w14:paraId="2D426D75" w14:textId="77777777" w:rsidR="00BD4CB2" w:rsidRPr="00CD66C6" w:rsidRDefault="00BD4CB2" w:rsidP="002D79B1">
            <w:pPr>
              <w:rPr>
                <w:rFonts w:ascii="Arial" w:hAnsi="Arial" w:cs="Arial"/>
                <w:bCs/>
                <w:sz w:val="20"/>
                <w:szCs w:val="20"/>
              </w:rPr>
            </w:pPr>
          </w:p>
        </w:tc>
      </w:tr>
    </w:tbl>
    <w:p w14:paraId="5DA69845" w14:textId="77777777" w:rsidR="00BD4CB2" w:rsidRPr="00CD66C6" w:rsidRDefault="00BD4CB2" w:rsidP="00BD4CB2">
      <w:pPr>
        <w:spacing w:before="120"/>
        <w:jc w:val="center"/>
        <w:rPr>
          <w:rFonts w:ascii="Arial" w:hAnsi="Arial" w:cs="Arial"/>
          <w:b/>
          <w:sz w:val="28"/>
          <w:szCs w:val="32"/>
        </w:rPr>
      </w:pPr>
      <w:r w:rsidRPr="00CD66C6">
        <w:rPr>
          <w:rFonts w:ascii="Arial" w:hAnsi="Arial" w:cs="Arial"/>
          <w:b/>
          <w:sz w:val="28"/>
          <w:szCs w:val="32"/>
        </w:rPr>
        <w:t>ANEXO V</w:t>
      </w:r>
    </w:p>
    <w:p w14:paraId="5B2C756B" w14:textId="77777777" w:rsidR="00BD4CB2" w:rsidRPr="0048715C" w:rsidRDefault="00BD4CB2" w:rsidP="0048715C">
      <w:pPr>
        <w:jc w:val="center"/>
        <w:rPr>
          <w:rFonts w:ascii="Arial" w:hAnsi="Arial" w:cs="Arial"/>
          <w:b/>
          <w:bCs/>
          <w:sz w:val="28"/>
          <w:szCs w:val="28"/>
        </w:rPr>
      </w:pPr>
      <w:r w:rsidRPr="0048715C">
        <w:rPr>
          <w:rFonts w:ascii="Arial" w:hAnsi="Arial" w:cs="Arial"/>
          <w:b/>
          <w:bCs/>
          <w:sz w:val="28"/>
          <w:szCs w:val="28"/>
        </w:rPr>
        <w:t>QUADRO DE CONCEITOS DOS PROCESSOS</w:t>
      </w:r>
    </w:p>
    <w:p w14:paraId="53A1685B" w14:textId="77777777" w:rsidR="00BD4CB2" w:rsidRPr="0048715C" w:rsidRDefault="00BD4CB2" w:rsidP="00BD4CB2">
      <w:pPr>
        <w:spacing w:before="120"/>
        <w:jc w:val="center"/>
        <w:rPr>
          <w:rFonts w:ascii="Arial" w:hAnsi="Arial" w:cs="Arial"/>
          <w:b/>
          <w:sz w:val="24"/>
          <w:szCs w:val="24"/>
        </w:rPr>
      </w:pPr>
      <w:r w:rsidRPr="0048715C">
        <w:rPr>
          <w:rFonts w:ascii="Arial" w:hAnsi="Arial" w:cs="Arial"/>
          <w:b/>
          <w:sz w:val="24"/>
          <w:szCs w:val="24"/>
        </w:rPr>
        <w:t>- Assuntos de Instauração Externa -</w:t>
      </w:r>
    </w:p>
    <w:p w14:paraId="722D46C5" w14:textId="77777777" w:rsidR="00BD4CB2" w:rsidRPr="00CD66C6" w:rsidRDefault="00BD4CB2" w:rsidP="00BD4CB2">
      <w:pPr>
        <w:pStyle w:val="Assunto"/>
        <w:numPr>
          <w:ilvl w:val="0"/>
          <w:numId w:val="0"/>
        </w:numPr>
        <w:rPr>
          <w:b w:val="0"/>
          <w:sz w:val="24"/>
        </w:rPr>
      </w:pPr>
      <w:r w:rsidRPr="00CD66C6">
        <w:rPr>
          <w:sz w:val="24"/>
        </w:rPr>
        <w:t>22.</w:t>
      </w:r>
      <w:r w:rsidRPr="00CD66C6">
        <w:rPr>
          <w:b w:val="0"/>
          <w:sz w:val="24"/>
        </w:rPr>
        <w:t xml:space="preserve"> PRESTAÇÃO DE CONTAS DE EXTINÇÃO DE ENTIDADE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74"/>
      </w:tblGrid>
      <w:tr w:rsidR="00BD4CB2" w:rsidRPr="00CD66C6" w14:paraId="41BD8A96" w14:textId="77777777" w:rsidTr="002D79B1">
        <w:tc>
          <w:tcPr>
            <w:tcW w:w="9356" w:type="dxa"/>
          </w:tcPr>
          <w:p w14:paraId="4E00D9F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Conceito: </w:t>
            </w:r>
            <w:r w:rsidRPr="00CD66C6">
              <w:rPr>
                <w:rFonts w:ascii="Arial" w:hAnsi="Arial" w:cs="Arial"/>
              </w:rPr>
              <w:t>expediente instaurado por pessoa jurídica da Administração Pública Direta ou Indireta Estadual ou Municipal, serviços sociais autônomos, consórcios intermunicipais, para fins de julgamento de prestações de contas quando a pessoa jurídica tiver sido privatizada ou extinta em decorrência de incorporação, cisão total ou fusão.</w:t>
            </w:r>
          </w:p>
          <w:p w14:paraId="11B7CACE" w14:textId="77777777" w:rsidR="00BD4CB2" w:rsidRPr="00CD66C6" w:rsidRDefault="00BD4CB2" w:rsidP="002D79B1">
            <w:pPr>
              <w:spacing w:before="60" w:after="60"/>
              <w:jc w:val="both"/>
              <w:rPr>
                <w:rFonts w:ascii="Arial" w:hAnsi="Arial" w:cs="Arial"/>
              </w:rPr>
            </w:pPr>
            <w:r w:rsidRPr="00CD66C6">
              <w:rPr>
                <w:rFonts w:ascii="Arial" w:hAnsi="Arial" w:cs="Arial"/>
                <w:b/>
              </w:rPr>
              <w:t xml:space="preserve">Iniciativa da instauração do processo: </w:t>
            </w:r>
            <w:r w:rsidRPr="00CD66C6">
              <w:rPr>
                <w:rFonts w:ascii="Arial" w:hAnsi="Arial" w:cs="Arial"/>
              </w:rPr>
              <w:t>pessoa jurídica da Administração Pública Direta ou Indireta Estadual ou Municipal, serviços sociais autônomos e consórcios intermunicipais.</w:t>
            </w:r>
          </w:p>
          <w:p w14:paraId="52EBF908" w14:textId="77777777" w:rsidR="00BD4CB2" w:rsidRPr="00CD66C6" w:rsidRDefault="00BD4CB2" w:rsidP="002D79B1">
            <w:pPr>
              <w:spacing w:before="60" w:after="60"/>
              <w:jc w:val="both"/>
              <w:rPr>
                <w:rFonts w:ascii="Arial Unicode MS" w:eastAsia="Arial Unicode MS" w:hAnsi="Arial Unicode MS" w:cs="Arial Unicode MS"/>
                <w:strike/>
              </w:rPr>
            </w:pPr>
            <w:r w:rsidRPr="00CD66C6">
              <w:rPr>
                <w:rFonts w:ascii="Arial" w:hAnsi="Arial" w:cs="Arial"/>
                <w:b/>
              </w:rPr>
              <w:t xml:space="preserve">Dispositivos legais: </w:t>
            </w:r>
            <w:r w:rsidRPr="00CD66C6">
              <w:rPr>
                <w:rFonts w:ascii="Arial" w:hAnsi="Arial" w:cs="Arial"/>
              </w:rPr>
              <w:t>arts. 218 e 219 do Regimento Interno.</w:t>
            </w:r>
          </w:p>
        </w:tc>
      </w:tr>
      <w:bookmarkEnd w:id="0"/>
      <w:bookmarkEnd w:id="1"/>
    </w:tbl>
    <w:p w14:paraId="1F7A7ECD" w14:textId="77777777" w:rsidR="00BD4CB2" w:rsidRPr="00EE3266" w:rsidRDefault="00BD4CB2" w:rsidP="00BD4CB2">
      <w:pPr>
        <w:spacing w:before="120"/>
        <w:jc w:val="center"/>
        <w:rPr>
          <w:rFonts w:ascii="Arial" w:hAnsi="Arial" w:cs="Arial"/>
        </w:rPr>
      </w:pPr>
    </w:p>
    <w:sectPr w:rsidR="00BD4CB2" w:rsidRPr="00EE3266" w:rsidSect="00040D66">
      <w:headerReference w:type="default" r:id="rId16"/>
      <w:footerReference w:type="even" r:id="rId17"/>
      <w:footerReference w:type="default" r:id="rId18"/>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761F" w14:textId="77777777" w:rsidR="00810E62" w:rsidRDefault="00810E62">
      <w:pPr>
        <w:spacing w:after="0" w:line="240" w:lineRule="auto"/>
      </w:pPr>
      <w:r>
        <w:separator/>
      </w:r>
    </w:p>
  </w:endnote>
  <w:endnote w:type="continuationSeparator" w:id="0">
    <w:p w14:paraId="22EE5190" w14:textId="77777777" w:rsidR="00810E62" w:rsidRDefault="0081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5464" w14:textId="77777777" w:rsidR="002D79B1" w:rsidRDefault="002D79B1" w:rsidP="002D79B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587763" w14:textId="77777777" w:rsidR="002D79B1" w:rsidRDefault="002D79B1" w:rsidP="002D79B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C585" w14:textId="77777777" w:rsidR="002D79B1" w:rsidRDefault="002D79B1" w:rsidP="002D79B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3DF0" w14:textId="77777777" w:rsidR="00810E62" w:rsidRDefault="00810E62">
      <w:pPr>
        <w:spacing w:after="0" w:line="240" w:lineRule="auto"/>
      </w:pPr>
      <w:r>
        <w:separator/>
      </w:r>
    </w:p>
  </w:footnote>
  <w:footnote w:type="continuationSeparator" w:id="0">
    <w:p w14:paraId="18C25A2D" w14:textId="77777777" w:rsidR="00810E62" w:rsidRDefault="00810E62">
      <w:pPr>
        <w:spacing w:after="0" w:line="240" w:lineRule="auto"/>
      </w:pPr>
      <w:r>
        <w:continuationSeparator/>
      </w:r>
    </w:p>
  </w:footnote>
  <w:footnote w:id="1">
    <w:p w14:paraId="7C249983" w14:textId="77777777" w:rsidR="002D5517" w:rsidRPr="003C09D9" w:rsidRDefault="00B03F23" w:rsidP="002D5517">
      <w:pPr>
        <w:pStyle w:val="Textodenotaderodap"/>
        <w:spacing w:after="0" w:line="240" w:lineRule="auto"/>
        <w:contextualSpacing/>
        <w:rPr>
          <w:rFonts w:ascii="Arial" w:hAnsi="Arial" w:cs="Arial"/>
        </w:rPr>
      </w:pPr>
      <w:r w:rsidRPr="00537464">
        <w:rPr>
          <w:rStyle w:val="Hyperlink"/>
          <w:color w:val="auto"/>
          <w:u w:val="none"/>
        </w:rPr>
        <w:footnoteRef/>
      </w:r>
      <w:r w:rsidRPr="00537464">
        <w:t xml:space="preserve"> </w:t>
      </w:r>
      <w:r w:rsidR="002D5517" w:rsidRPr="003C09D9">
        <w:rPr>
          <w:rFonts w:ascii="Arial" w:hAnsi="Arial" w:cs="Arial"/>
          <w:b/>
        </w:rPr>
        <w:t>Notas da Biblioteca:</w:t>
      </w:r>
    </w:p>
    <w:p w14:paraId="2322427C" w14:textId="27DBF704" w:rsidR="002D5517" w:rsidRPr="00537464" w:rsidRDefault="002D5517" w:rsidP="00537464">
      <w:pPr>
        <w:pStyle w:val="PargrafodaLista"/>
        <w:widowControl/>
        <w:numPr>
          <w:ilvl w:val="0"/>
          <w:numId w:val="3"/>
        </w:numPr>
        <w:autoSpaceDE/>
        <w:autoSpaceDN/>
        <w:spacing w:before="0"/>
        <w:ind w:left="426" w:hanging="284"/>
        <w:contextualSpacing/>
        <w:jc w:val="both"/>
        <w:rPr>
          <w:rFonts w:ascii="Arial" w:hAnsi="Arial" w:cs="Arial"/>
          <w:color w:val="0000FF"/>
          <w:sz w:val="20"/>
          <w:szCs w:val="20"/>
          <w:u w:val="single"/>
        </w:rPr>
      </w:pPr>
      <w:r w:rsidRPr="00537464">
        <w:rPr>
          <w:rFonts w:ascii="Arial" w:hAnsi="Arial" w:cs="Arial"/>
          <w:bCs/>
          <w:sz w:val="20"/>
          <w:szCs w:val="20"/>
        </w:rPr>
        <w:t>Este texto não substitui o publicado no periódico</w:t>
      </w:r>
      <w:r w:rsidRPr="00537464">
        <w:rPr>
          <w:rFonts w:ascii="Arial" w:hAnsi="Arial" w:cs="Arial"/>
          <w:bCs/>
          <w:color w:val="0000FF"/>
          <w:sz w:val="20"/>
          <w:szCs w:val="20"/>
        </w:rPr>
        <w:t xml:space="preserve">: </w:t>
      </w:r>
      <w:hyperlink r:id="rId1" w:history="1">
        <w:r w:rsidR="00633B11" w:rsidRPr="00537464">
          <w:rPr>
            <w:rStyle w:val="Hyperlink"/>
            <w:rFonts w:ascii="Arial" w:hAnsi="Arial" w:cs="Arial"/>
            <w:b/>
            <w:bCs/>
            <w:color w:val="0000FF"/>
            <w:sz w:val="20"/>
            <w:szCs w:val="20"/>
          </w:rPr>
          <w:t>Diário Eletrônico do Tribunal de Contas do Estado do Paraná</w:t>
        </w:r>
        <w:r w:rsidR="00633B11" w:rsidRPr="00537464">
          <w:rPr>
            <w:rStyle w:val="Hyperlink"/>
            <w:rFonts w:ascii="Arial" w:hAnsi="Arial" w:cs="Arial"/>
            <w:color w:val="0000FF"/>
            <w:sz w:val="20"/>
            <w:szCs w:val="20"/>
          </w:rPr>
          <w:t>, Curitiba, PR, n. 2484, 19 fev. 2021, p. 94-96</w:t>
        </w:r>
      </w:hyperlink>
      <w:r w:rsidR="00633B11" w:rsidRPr="00537464">
        <w:rPr>
          <w:rFonts w:ascii="Arial" w:hAnsi="Arial" w:cs="Arial"/>
          <w:color w:val="0000FF"/>
          <w:sz w:val="20"/>
          <w:szCs w:val="20"/>
        </w:rPr>
        <w:t>.</w:t>
      </w:r>
    </w:p>
    <w:p w14:paraId="7AA5A2A5" w14:textId="0D25AB5F" w:rsidR="00537464" w:rsidRPr="00537464" w:rsidRDefault="006A312D" w:rsidP="00537464">
      <w:pPr>
        <w:pStyle w:val="Corpodetexto"/>
        <w:numPr>
          <w:ilvl w:val="0"/>
          <w:numId w:val="3"/>
        </w:numPr>
        <w:ind w:left="426" w:hanging="284"/>
        <w:rPr>
          <w:rStyle w:val="Hyperlink"/>
          <w:rFonts w:ascii="Arial" w:hAnsi="Arial" w:cs="Arial"/>
          <w:color w:val="0000FF"/>
          <w:sz w:val="20"/>
          <w:u w:val="none"/>
        </w:rPr>
      </w:pPr>
      <w:r w:rsidRPr="00537464">
        <w:rPr>
          <w:rFonts w:ascii="Arial" w:hAnsi="Arial" w:cs="Arial"/>
          <w:sz w:val="20"/>
        </w:rPr>
        <w:t xml:space="preserve">Processo n. 580339/20 – </w:t>
      </w:r>
      <w:hyperlink r:id="rId2" w:history="1">
        <w:r w:rsidRPr="00537464">
          <w:rPr>
            <w:rStyle w:val="Hyperlink"/>
            <w:rFonts w:ascii="Arial" w:hAnsi="Arial" w:cs="Arial"/>
            <w:color w:val="0000FF"/>
            <w:sz w:val="20"/>
          </w:rPr>
          <w:t>Acórdão n. 68/2021 – Tribunal Pleno</w:t>
        </w:r>
      </w:hyperlink>
      <w:r w:rsidR="00537464" w:rsidRPr="00537464">
        <w:rPr>
          <w:rStyle w:val="Hyperlink"/>
          <w:rFonts w:ascii="Arial" w:hAnsi="Arial" w:cs="Arial"/>
          <w:color w:val="0000FF"/>
          <w:sz w:val="20"/>
        </w:rPr>
        <w:t>.</w:t>
      </w:r>
    </w:p>
    <w:p w14:paraId="2F523855" w14:textId="792AD120" w:rsidR="00176126" w:rsidRPr="00537464" w:rsidRDefault="00176126" w:rsidP="00537464">
      <w:pPr>
        <w:pStyle w:val="Corpodetexto"/>
        <w:numPr>
          <w:ilvl w:val="0"/>
          <w:numId w:val="3"/>
        </w:numPr>
        <w:ind w:left="426" w:hanging="284"/>
        <w:rPr>
          <w:rFonts w:ascii="Arial" w:hAnsi="Arial" w:cs="Arial"/>
          <w:sz w:val="20"/>
        </w:rPr>
      </w:pPr>
      <w:r w:rsidRPr="00537464">
        <w:rPr>
          <w:rFonts w:ascii="Arial" w:hAnsi="Arial" w:cs="Arial"/>
          <w:b/>
          <w:bCs/>
          <w:sz w:val="20"/>
        </w:rPr>
        <w:t>Altera:</w:t>
      </w:r>
      <w:r w:rsidRPr="00537464">
        <w:rPr>
          <w:rFonts w:ascii="Arial" w:hAnsi="Arial" w:cs="Arial"/>
          <w:sz w:val="20"/>
        </w:rPr>
        <w:t xml:space="preserve"> </w:t>
      </w:r>
      <w:hyperlink r:id="rId3" w:history="1">
        <w:r w:rsidRPr="00537464">
          <w:rPr>
            <w:rStyle w:val="Hyperlink"/>
            <w:rFonts w:ascii="Arial" w:hAnsi="Arial" w:cs="Arial"/>
            <w:color w:val="0000FF"/>
            <w:sz w:val="20"/>
          </w:rPr>
          <w:t>Instrução Normativa n. 82, de 20 de dezembro de 2012</w:t>
        </w:r>
      </w:hyperlink>
      <w:r w:rsidRPr="00537464">
        <w:rPr>
          <w:rFonts w:ascii="Arial" w:hAnsi="Arial" w:cs="Arial"/>
          <w:color w:val="0000FF"/>
          <w:sz w:val="20"/>
        </w:rPr>
        <w:t>.</w:t>
      </w:r>
    </w:p>
    <w:p w14:paraId="1BFF61A8" w14:textId="59EBC5C0" w:rsidR="00176126" w:rsidRPr="00537464" w:rsidRDefault="00BB3999" w:rsidP="00537464">
      <w:pPr>
        <w:numPr>
          <w:ilvl w:val="0"/>
          <w:numId w:val="3"/>
        </w:numPr>
        <w:spacing w:after="0" w:line="240" w:lineRule="auto"/>
        <w:ind w:left="426" w:hanging="284"/>
        <w:jc w:val="both"/>
        <w:rPr>
          <w:rStyle w:val="Hyperlink"/>
          <w:rFonts w:ascii="Arial" w:hAnsi="Arial" w:cs="Arial"/>
          <w:sz w:val="20"/>
          <w:szCs w:val="20"/>
        </w:rPr>
      </w:pPr>
      <w:r w:rsidRPr="00537464">
        <w:rPr>
          <w:rFonts w:ascii="Arial" w:hAnsi="Arial" w:cs="Arial"/>
          <w:b/>
          <w:bCs/>
          <w:color w:val="0000FF"/>
          <w:sz w:val="20"/>
          <w:szCs w:val="20"/>
        </w:rPr>
        <w:t>Alterada</w:t>
      </w:r>
      <w:r w:rsidRPr="00537464">
        <w:rPr>
          <w:rFonts w:ascii="Arial" w:hAnsi="Arial" w:cs="Arial"/>
          <w:sz w:val="20"/>
          <w:szCs w:val="20"/>
        </w:rPr>
        <w:t xml:space="preserve"> por: </w:t>
      </w:r>
      <w:hyperlink r:id="rId4" w:history="1">
        <w:r w:rsidRPr="00537464">
          <w:rPr>
            <w:rStyle w:val="Hyperlink"/>
            <w:rFonts w:ascii="Arial" w:hAnsi="Arial" w:cs="Arial"/>
            <w:color w:val="0000FF"/>
            <w:sz w:val="20"/>
            <w:szCs w:val="20"/>
          </w:rPr>
          <w:t>Instrução Normativa n. 163, de 22 de setembro de 2021</w:t>
        </w:r>
      </w:hyperlink>
      <w:r w:rsidRPr="00537464">
        <w:rPr>
          <w:rFonts w:ascii="Arial" w:hAnsi="Arial" w:cs="Arial"/>
          <w:color w:val="0000FF"/>
          <w:sz w:val="20"/>
          <w:szCs w:val="20"/>
        </w:rPr>
        <w:t>.</w:t>
      </w:r>
    </w:p>
    <w:p w14:paraId="3985D813" w14:textId="77777777" w:rsidR="002D5517" w:rsidRPr="00537464" w:rsidRDefault="002D5517" w:rsidP="00537464">
      <w:pPr>
        <w:numPr>
          <w:ilvl w:val="0"/>
          <w:numId w:val="3"/>
        </w:numPr>
        <w:spacing w:after="0" w:line="240" w:lineRule="auto"/>
        <w:ind w:left="426" w:hanging="284"/>
        <w:rPr>
          <w:rFonts w:ascii="Arial" w:hAnsi="Arial" w:cs="Arial"/>
          <w:b/>
          <w:bCs/>
          <w:sz w:val="20"/>
          <w:szCs w:val="20"/>
        </w:rPr>
      </w:pPr>
      <w:r w:rsidRPr="00537464">
        <w:rPr>
          <w:rFonts w:ascii="Arial" w:hAnsi="Arial" w:cs="Arial"/>
          <w:b/>
          <w:bCs/>
          <w:sz w:val="20"/>
          <w:szCs w:val="20"/>
        </w:rPr>
        <w:t>Ver também:</w:t>
      </w:r>
    </w:p>
    <w:p w14:paraId="5EBF2F3C" w14:textId="77777777" w:rsidR="002D5517" w:rsidRPr="00537464" w:rsidRDefault="002D5517" w:rsidP="00537464">
      <w:pPr>
        <w:spacing w:after="0"/>
        <w:ind w:left="426"/>
        <w:rPr>
          <w:rFonts w:ascii="Arial" w:hAnsi="Arial" w:cs="Arial"/>
          <w:color w:val="0000FF"/>
          <w:sz w:val="20"/>
          <w:szCs w:val="20"/>
        </w:rPr>
      </w:pPr>
      <w:hyperlink r:id="rId5" w:history="1">
        <w:r w:rsidRPr="00537464">
          <w:rPr>
            <w:rStyle w:val="Hyperlink"/>
            <w:rFonts w:ascii="Arial" w:hAnsi="Arial" w:cs="Arial"/>
            <w:color w:val="0000FF"/>
            <w:sz w:val="20"/>
            <w:szCs w:val="20"/>
          </w:rPr>
          <w:t>Instrução Normativa n. 62, de 15 de dezembro de 2011</w:t>
        </w:r>
      </w:hyperlink>
      <w:r w:rsidRPr="00537464">
        <w:rPr>
          <w:rFonts w:ascii="Arial" w:hAnsi="Arial" w:cs="Arial"/>
          <w:color w:val="0000FF"/>
          <w:sz w:val="20"/>
          <w:szCs w:val="20"/>
        </w:rPr>
        <w:t>.</w:t>
      </w:r>
    </w:p>
    <w:p w14:paraId="1721E6A3" w14:textId="678404EF" w:rsidR="00B03F23" w:rsidRDefault="002D5517" w:rsidP="00537464">
      <w:pPr>
        <w:pStyle w:val="Textodenotaderodap"/>
        <w:spacing w:after="0"/>
        <w:ind w:left="426"/>
      </w:pPr>
      <w:hyperlink r:id="rId6" w:history="1">
        <w:r w:rsidRPr="00537464">
          <w:rPr>
            <w:rStyle w:val="Hyperlink"/>
            <w:rFonts w:ascii="Arial" w:hAnsi="Arial" w:cs="Arial"/>
            <w:color w:val="0000FF"/>
          </w:rPr>
          <w:t>Instrução de Serviço n. 27, de 3 de outubro de 2011</w:t>
        </w:r>
      </w:hyperlink>
      <w:r w:rsidRPr="00537464">
        <w:rPr>
          <w:rFonts w:ascii="Arial" w:hAnsi="Arial" w:cs="Arial"/>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61A" w14:textId="77777777" w:rsidR="002D79B1" w:rsidRDefault="00BD4CB2" w:rsidP="008400B2">
    <w:pPr>
      <w:pStyle w:val="Cabealho"/>
      <w:spacing w:before="240" w:after="480"/>
      <w:ind w:left="1134"/>
      <w:jc w:val="center"/>
      <w:rPr>
        <w:rFonts w:ascii="Arial" w:hAnsi="Arial" w:cs="Arial"/>
        <w:b/>
        <w:sz w:val="28"/>
        <w:szCs w:val="28"/>
      </w:rPr>
    </w:pPr>
    <w:r w:rsidRPr="00040D66">
      <w:rPr>
        <w:noProof/>
        <w:sz w:val="28"/>
        <w:szCs w:val="28"/>
      </w:rPr>
      <w:pict w14:anchorId="05AA8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Descrição: logo TC colorido - medio" style="position:absolute;left:0;text-align:left;margin-left:2.8pt;margin-top:-6.1pt;width:47.7pt;height:56.1pt;z-index:251657728;visibility:visible">
          <v:imagedata r:id="rId1" o:title=" logo TC colorido - medio"/>
          <w10:wrap type="square"/>
        </v:shape>
      </w:pict>
    </w:r>
    <w:r w:rsidR="002D79B1" w:rsidRPr="00040D66">
      <w:rPr>
        <w:rFonts w:ascii="Arial" w:hAnsi="Arial" w:cs="Arial"/>
        <w:b/>
        <w:sz w:val="28"/>
        <w:szCs w:val="28"/>
      </w:rPr>
      <w:t>TRIBUNAL DE CONTAS DO ESTADO DO PARANÁ</w:t>
    </w:r>
  </w:p>
  <w:p w14:paraId="39682717" w14:textId="77777777" w:rsidR="00F41292" w:rsidRPr="00040D66" w:rsidRDefault="00F41292" w:rsidP="00F41292">
    <w:pPr>
      <w:pStyle w:val="Cabealho"/>
      <w:spacing w:before="120" w:after="120"/>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cs="Times New Roman" w:hint="default"/>
        <w:sz w:val="22"/>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61D49"/>
    <w:multiLevelType w:val="hybridMultilevel"/>
    <w:tmpl w:val="E0721D9E"/>
    <w:lvl w:ilvl="0" w:tplc="AB56AE54">
      <w:start w:val="1"/>
      <w:numFmt w:val="lowerLetter"/>
      <w:lvlText w:val="%1)"/>
      <w:lvlJc w:val="left"/>
      <w:pPr>
        <w:ind w:left="720" w:hanging="360"/>
      </w:pPr>
      <w:rPr>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733191291">
    <w:abstractNumId w:val="0"/>
    <w:lvlOverride w:ilvl="0">
      <w:startOverride w:val="1"/>
    </w:lvlOverride>
    <w:lvlOverride w:ilvl="1"/>
    <w:lvlOverride w:ilvl="2"/>
    <w:lvlOverride w:ilvl="3"/>
    <w:lvlOverride w:ilvl="4"/>
    <w:lvlOverride w:ilvl="5"/>
    <w:lvlOverride w:ilvl="6"/>
    <w:lvlOverride w:ilvl="7"/>
    <w:lvlOverride w:ilvl="8"/>
  </w:num>
  <w:num w:numId="2" w16cid:durableId="1220827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28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425"/>
  <w:characterSpacingControl w:val="doNotCompress"/>
  <w:hdrShapeDefaults>
    <o:shapedefaults v:ext="edit" spidmax="3074"/>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CB2"/>
    <w:rsid w:val="00021F8C"/>
    <w:rsid w:val="000360C7"/>
    <w:rsid w:val="00040C7E"/>
    <w:rsid w:val="00040D66"/>
    <w:rsid w:val="0005312A"/>
    <w:rsid w:val="0005459A"/>
    <w:rsid w:val="000F0ECA"/>
    <w:rsid w:val="00176126"/>
    <w:rsid w:val="00206C20"/>
    <w:rsid w:val="00247EE6"/>
    <w:rsid w:val="00282A65"/>
    <w:rsid w:val="002A221C"/>
    <w:rsid w:val="002D5517"/>
    <w:rsid w:val="002D79B1"/>
    <w:rsid w:val="002F4CA0"/>
    <w:rsid w:val="0034320A"/>
    <w:rsid w:val="003972FB"/>
    <w:rsid w:val="003D41DA"/>
    <w:rsid w:val="003F476B"/>
    <w:rsid w:val="004662B6"/>
    <w:rsid w:val="0048715C"/>
    <w:rsid w:val="00525F65"/>
    <w:rsid w:val="00537464"/>
    <w:rsid w:val="00541A6E"/>
    <w:rsid w:val="00544868"/>
    <w:rsid w:val="0058137A"/>
    <w:rsid w:val="005D49B0"/>
    <w:rsid w:val="0062116B"/>
    <w:rsid w:val="00633B11"/>
    <w:rsid w:val="00677AAC"/>
    <w:rsid w:val="006A262F"/>
    <w:rsid w:val="006A312D"/>
    <w:rsid w:val="007A6ED1"/>
    <w:rsid w:val="007C6CD7"/>
    <w:rsid w:val="007E0463"/>
    <w:rsid w:val="00810E62"/>
    <w:rsid w:val="00830342"/>
    <w:rsid w:val="008400B2"/>
    <w:rsid w:val="008F28B2"/>
    <w:rsid w:val="00A42B6B"/>
    <w:rsid w:val="00A43A0D"/>
    <w:rsid w:val="00A725F9"/>
    <w:rsid w:val="00AD0CD3"/>
    <w:rsid w:val="00AD787F"/>
    <w:rsid w:val="00B03F23"/>
    <w:rsid w:val="00BB3999"/>
    <w:rsid w:val="00BC11E3"/>
    <w:rsid w:val="00BD4CB2"/>
    <w:rsid w:val="00C05CB7"/>
    <w:rsid w:val="00C74C21"/>
    <w:rsid w:val="00CB062D"/>
    <w:rsid w:val="00D34733"/>
    <w:rsid w:val="00D47370"/>
    <w:rsid w:val="00DE4325"/>
    <w:rsid w:val="00DF33A6"/>
    <w:rsid w:val="00DF7555"/>
    <w:rsid w:val="00E82FB9"/>
    <w:rsid w:val="00ED0689"/>
    <w:rsid w:val="00ED43D9"/>
    <w:rsid w:val="00F41292"/>
    <w:rsid w:val="00F445E8"/>
    <w:rsid w:val="00F53360"/>
    <w:rsid w:val="00FA0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28D6A0"/>
  <w15:chartTrackingRefBased/>
  <w15:docId w15:val="{561D3E0B-28B6-419F-8424-B8133170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BD4CB2"/>
    <w:pPr>
      <w:keepNext/>
      <w:numPr>
        <w:numId w:val="2"/>
      </w:numPr>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D4CB2"/>
    <w:pPr>
      <w:keepNext/>
      <w:numPr>
        <w:ilvl w:val="1"/>
        <w:numId w:val="2"/>
      </w:numPr>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D4CB2"/>
    <w:pPr>
      <w:keepNext/>
      <w:numPr>
        <w:ilvl w:val="2"/>
        <w:numId w:val="2"/>
      </w:numPr>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D4CB2"/>
    <w:pPr>
      <w:keepNext/>
      <w:numPr>
        <w:ilvl w:val="3"/>
        <w:numId w:val="2"/>
      </w:numPr>
      <w:tabs>
        <w:tab w:val="left" w:pos="4680"/>
      </w:tabs>
      <w:spacing w:after="0" w:line="240" w:lineRule="auto"/>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D4CB2"/>
    <w:pPr>
      <w:keepNext/>
      <w:numPr>
        <w:ilvl w:val="4"/>
        <w:numId w:val="2"/>
      </w:numPr>
      <w:spacing w:after="0" w:line="240" w:lineRule="auto"/>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D4CB2"/>
    <w:pPr>
      <w:keepNext/>
      <w:numPr>
        <w:ilvl w:val="5"/>
        <w:numId w:val="2"/>
      </w:numPr>
      <w:spacing w:after="0" w:line="240" w:lineRule="auto"/>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D4CB2"/>
    <w:pPr>
      <w:keepNext/>
      <w:numPr>
        <w:ilvl w:val="6"/>
        <w:numId w:val="2"/>
      </w:numPr>
      <w:spacing w:after="0" w:line="240" w:lineRule="auto"/>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D4CB2"/>
    <w:pPr>
      <w:keepNext/>
      <w:numPr>
        <w:ilvl w:val="7"/>
        <w:numId w:val="2"/>
      </w:numPr>
      <w:spacing w:after="0" w:line="240" w:lineRule="auto"/>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D4CB2"/>
    <w:pPr>
      <w:keepNext/>
      <w:numPr>
        <w:ilvl w:val="8"/>
        <w:numId w:val="2"/>
      </w:numPr>
      <w:spacing w:after="0" w:line="240" w:lineRule="auto"/>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D4CB2"/>
    <w:rPr>
      <w:rFonts w:ascii="Times New Roman" w:eastAsia="Times New Roman" w:hAnsi="Times New Roman"/>
      <w:smallCaps/>
      <w:sz w:val="26"/>
      <w:szCs w:val="24"/>
    </w:rPr>
  </w:style>
  <w:style w:type="character" w:customStyle="1" w:styleId="Ttulo2Char">
    <w:name w:val="Título 2 Char"/>
    <w:link w:val="Ttulo2"/>
    <w:rsid w:val="00BD4CB2"/>
    <w:rPr>
      <w:rFonts w:ascii="Times New Roman" w:eastAsia="Times New Roman" w:hAnsi="Times New Roman"/>
      <w:smallCaps/>
      <w:sz w:val="24"/>
      <w:szCs w:val="24"/>
    </w:rPr>
  </w:style>
  <w:style w:type="character" w:customStyle="1" w:styleId="Ttulo3Char">
    <w:name w:val="Título 3 Char"/>
    <w:link w:val="Ttulo3"/>
    <w:rsid w:val="00BD4CB2"/>
    <w:rPr>
      <w:rFonts w:ascii="Times New Roman" w:eastAsia="Times New Roman" w:hAnsi="Times New Roman"/>
      <w:i/>
      <w:sz w:val="24"/>
      <w:szCs w:val="24"/>
    </w:rPr>
  </w:style>
  <w:style w:type="character" w:customStyle="1" w:styleId="Ttulo4Char">
    <w:name w:val="Título 4 Char"/>
    <w:link w:val="Ttulo4"/>
    <w:rsid w:val="00BD4CB2"/>
    <w:rPr>
      <w:rFonts w:ascii="Times New Roman" w:eastAsia="Times New Roman" w:hAnsi="Times New Roman"/>
      <w:i/>
      <w:sz w:val="22"/>
      <w:szCs w:val="24"/>
    </w:rPr>
  </w:style>
  <w:style w:type="character" w:customStyle="1" w:styleId="Ttulo5Char">
    <w:name w:val="Título 5 Char"/>
    <w:link w:val="Ttulo5"/>
    <w:rsid w:val="00BD4CB2"/>
    <w:rPr>
      <w:rFonts w:ascii="Times New Roman" w:eastAsia="Times New Roman" w:hAnsi="Times New Roman"/>
      <w:i/>
      <w:sz w:val="22"/>
      <w:szCs w:val="24"/>
    </w:rPr>
  </w:style>
  <w:style w:type="character" w:customStyle="1" w:styleId="Ttulo6Char">
    <w:name w:val="Título 6 Char"/>
    <w:link w:val="Ttulo6"/>
    <w:rsid w:val="00BD4CB2"/>
    <w:rPr>
      <w:rFonts w:ascii="Times New Roman" w:eastAsia="Times New Roman" w:hAnsi="Times New Roman"/>
      <w:i/>
      <w:color w:val="FF0000"/>
      <w:sz w:val="22"/>
      <w:szCs w:val="24"/>
    </w:rPr>
  </w:style>
  <w:style w:type="character" w:customStyle="1" w:styleId="Ttulo7Char">
    <w:name w:val="Título 7 Char"/>
    <w:link w:val="Ttulo7"/>
    <w:rsid w:val="00BD4CB2"/>
    <w:rPr>
      <w:rFonts w:ascii="Times New Roman" w:eastAsia="Times New Roman" w:hAnsi="Times New Roman"/>
      <w:i/>
      <w:color w:val="FF0000"/>
      <w:sz w:val="22"/>
      <w:szCs w:val="24"/>
    </w:rPr>
  </w:style>
  <w:style w:type="character" w:customStyle="1" w:styleId="Ttulo8Char">
    <w:name w:val="Título 8 Char"/>
    <w:link w:val="Ttulo8"/>
    <w:rsid w:val="00BD4CB2"/>
    <w:rPr>
      <w:rFonts w:ascii="Times New Roman" w:eastAsia="Times New Roman" w:hAnsi="Times New Roman"/>
      <w:i/>
      <w:color w:val="FF0000"/>
      <w:sz w:val="22"/>
      <w:szCs w:val="24"/>
    </w:rPr>
  </w:style>
  <w:style w:type="character" w:customStyle="1" w:styleId="Ttulo9Char">
    <w:name w:val="Título 9 Char"/>
    <w:link w:val="Ttulo9"/>
    <w:rsid w:val="00BD4CB2"/>
    <w:rPr>
      <w:rFonts w:ascii="Times New Roman" w:eastAsia="Times New Roman" w:hAnsi="Times New Roman"/>
      <w:i/>
      <w:color w:val="FF0000"/>
      <w:sz w:val="22"/>
      <w:szCs w:val="24"/>
    </w:rPr>
  </w:style>
  <w:style w:type="paragraph" w:styleId="Rodap">
    <w:name w:val="footer"/>
    <w:basedOn w:val="Normal"/>
    <w:link w:val="RodapChar"/>
    <w:uiPriority w:val="99"/>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D4CB2"/>
    <w:rPr>
      <w:rFonts w:ascii="Times New Roman" w:eastAsia="Times New Roman" w:hAnsi="Times New Roman"/>
      <w:sz w:val="24"/>
      <w:szCs w:val="24"/>
    </w:rPr>
  </w:style>
  <w:style w:type="character" w:styleId="Nmerodepgina">
    <w:name w:val="page number"/>
    <w:rsid w:val="00BD4CB2"/>
  </w:style>
  <w:style w:type="paragraph" w:styleId="Cabealho">
    <w:name w:val="header"/>
    <w:basedOn w:val="Normal"/>
    <w:link w:val="CabealhoChar"/>
    <w:rsid w:val="00BD4CB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rsid w:val="00BD4CB2"/>
    <w:rPr>
      <w:rFonts w:ascii="Times New Roman" w:eastAsia="Times New Roman" w:hAnsi="Times New Roman"/>
      <w:sz w:val="24"/>
      <w:szCs w:val="24"/>
    </w:rPr>
  </w:style>
  <w:style w:type="paragraph" w:customStyle="1" w:styleId="Ementa">
    <w:name w:val="Ementa"/>
    <w:basedOn w:val="Normal"/>
    <w:rsid w:val="00BD4CB2"/>
    <w:pPr>
      <w:spacing w:before="240" w:after="240" w:line="240" w:lineRule="auto"/>
      <w:ind w:left="4253"/>
      <w:jc w:val="both"/>
    </w:pPr>
    <w:rPr>
      <w:rFonts w:ascii="Arial" w:eastAsia="Times New Roman" w:hAnsi="Arial"/>
      <w:bCs/>
      <w:szCs w:val="24"/>
      <w:lang w:eastAsia="pt-BR"/>
    </w:rPr>
  </w:style>
  <w:style w:type="paragraph" w:customStyle="1" w:styleId="Texto">
    <w:name w:val="Texto"/>
    <w:basedOn w:val="Normal"/>
    <w:rsid w:val="00BD4CB2"/>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ArtigosOrdinais">
    <w:name w:val="ArtigosOrdinais"/>
    <w:basedOn w:val="Normal"/>
    <w:rsid w:val="00BD4CB2"/>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Assunto">
    <w:name w:val="Assunto"/>
    <w:basedOn w:val="Normal"/>
    <w:rsid w:val="00BD4CB2"/>
    <w:pPr>
      <w:keepNext/>
      <w:numPr>
        <w:numId w:val="1"/>
      </w:numPr>
      <w:spacing w:before="240" w:after="120" w:line="240" w:lineRule="auto"/>
    </w:pPr>
    <w:rPr>
      <w:rFonts w:ascii="Arial" w:eastAsia="Times New Roman" w:hAnsi="Arial" w:cs="Arial"/>
      <w:b/>
      <w:bCs/>
      <w:szCs w:val="24"/>
      <w:lang w:eastAsia="pt-BR"/>
    </w:rPr>
  </w:style>
  <w:style w:type="paragraph" w:customStyle="1" w:styleId="Assina">
    <w:name w:val="Assina"/>
    <w:basedOn w:val="Normal"/>
    <w:rsid w:val="00BD4CB2"/>
    <w:pPr>
      <w:autoSpaceDE w:val="0"/>
      <w:autoSpaceDN w:val="0"/>
      <w:spacing w:before="60" w:after="60" w:line="360" w:lineRule="auto"/>
      <w:jc w:val="center"/>
    </w:pPr>
    <w:rPr>
      <w:rFonts w:ascii="Times New Roman" w:eastAsia="Times New Roman" w:hAnsi="Times New Roman"/>
      <w:sz w:val="24"/>
      <w:szCs w:val="20"/>
      <w:lang w:eastAsia="pt-BR"/>
    </w:rPr>
  </w:style>
  <w:style w:type="paragraph" w:styleId="CabealhodoSumrio">
    <w:name w:val="TOC Heading"/>
    <w:basedOn w:val="Ttulo1"/>
    <w:next w:val="Normal"/>
    <w:uiPriority w:val="39"/>
    <w:unhideWhenUsed/>
    <w:qFormat/>
    <w:rsid w:val="0048715C"/>
    <w:pPr>
      <w:keepLines/>
      <w:numPr>
        <w:numId w:val="0"/>
      </w:numPr>
      <w:spacing w:before="240" w:line="259" w:lineRule="auto"/>
      <w:jc w:val="left"/>
      <w:outlineLvl w:val="9"/>
    </w:pPr>
    <w:rPr>
      <w:rFonts w:ascii="Calibri Light" w:hAnsi="Calibri Light"/>
      <w:smallCaps w:val="0"/>
      <w:color w:val="2F5496"/>
      <w:sz w:val="32"/>
      <w:szCs w:val="32"/>
    </w:rPr>
  </w:style>
  <w:style w:type="paragraph" w:styleId="Sumrio1">
    <w:name w:val="toc 1"/>
    <w:basedOn w:val="Normal"/>
    <w:next w:val="Normal"/>
    <w:autoRedefine/>
    <w:uiPriority w:val="39"/>
    <w:unhideWhenUsed/>
    <w:rsid w:val="00040C7E"/>
    <w:pPr>
      <w:tabs>
        <w:tab w:val="right" w:leader="dot" w:pos="9061"/>
      </w:tabs>
      <w:jc w:val="both"/>
    </w:pPr>
    <w:rPr>
      <w:rFonts w:ascii="Arial" w:hAnsi="Arial" w:cs="Arial"/>
      <w:b/>
      <w:bCs/>
      <w:noProof/>
    </w:rPr>
  </w:style>
  <w:style w:type="character" w:styleId="Hyperlink">
    <w:name w:val="Hyperlink"/>
    <w:uiPriority w:val="99"/>
    <w:unhideWhenUsed/>
    <w:rsid w:val="0048715C"/>
    <w:rPr>
      <w:color w:val="0563C1"/>
      <w:u w:val="single"/>
    </w:rPr>
  </w:style>
  <w:style w:type="paragraph" w:styleId="Textodenotaderodap">
    <w:name w:val="footnote text"/>
    <w:basedOn w:val="Normal"/>
    <w:link w:val="TextodenotaderodapChar"/>
    <w:unhideWhenUsed/>
    <w:rsid w:val="00B03F23"/>
    <w:rPr>
      <w:sz w:val="20"/>
      <w:szCs w:val="20"/>
    </w:rPr>
  </w:style>
  <w:style w:type="character" w:customStyle="1" w:styleId="TextodenotaderodapChar">
    <w:name w:val="Texto de nota de rodapé Char"/>
    <w:basedOn w:val="Fontepargpadro"/>
    <w:link w:val="Textodenotaderodap"/>
    <w:rsid w:val="00B03F23"/>
    <w:rPr>
      <w:lang w:eastAsia="en-US"/>
    </w:rPr>
  </w:style>
  <w:style w:type="character" w:styleId="Refdenotaderodap">
    <w:name w:val="footnote reference"/>
    <w:basedOn w:val="Fontepargpadro"/>
    <w:uiPriority w:val="99"/>
    <w:semiHidden/>
    <w:unhideWhenUsed/>
    <w:rsid w:val="00B03F23"/>
    <w:rPr>
      <w:vertAlign w:val="superscript"/>
    </w:rPr>
  </w:style>
  <w:style w:type="paragraph" w:customStyle="1" w:styleId="c-1">
    <w:name w:val="c-1"/>
    <w:basedOn w:val="Normal"/>
    <w:link w:val="c-1Char"/>
    <w:rsid w:val="002D5517"/>
    <w:pPr>
      <w:spacing w:before="120" w:after="120" w:line="360" w:lineRule="atLeast"/>
      <w:ind w:left="567"/>
      <w:jc w:val="both"/>
    </w:pPr>
    <w:rPr>
      <w:rFonts w:ascii="Arial" w:eastAsia="Times New Roman" w:hAnsi="Arial"/>
      <w:szCs w:val="20"/>
      <w:lang w:eastAsia="pt-BR"/>
    </w:rPr>
  </w:style>
  <w:style w:type="character" w:customStyle="1" w:styleId="c-1Char">
    <w:name w:val="c-1 Char"/>
    <w:link w:val="c-1"/>
    <w:locked/>
    <w:rsid w:val="002D5517"/>
    <w:rPr>
      <w:rFonts w:ascii="Arial" w:eastAsia="Times New Roman" w:hAnsi="Arial"/>
      <w:sz w:val="22"/>
    </w:rPr>
  </w:style>
  <w:style w:type="paragraph" w:styleId="PargrafodaLista">
    <w:name w:val="List Paragraph"/>
    <w:basedOn w:val="Normal"/>
    <w:uiPriority w:val="34"/>
    <w:qFormat/>
    <w:rsid w:val="002D5517"/>
    <w:pPr>
      <w:widowControl w:val="0"/>
      <w:autoSpaceDE w:val="0"/>
      <w:autoSpaceDN w:val="0"/>
      <w:spacing w:before="120" w:after="0" w:line="240" w:lineRule="auto"/>
      <w:ind w:left="950" w:hanging="425"/>
    </w:pPr>
    <w:rPr>
      <w:rFonts w:ascii="Arial MT" w:eastAsia="Arial MT" w:hAnsi="Arial MT" w:cs="Arial MT"/>
      <w:lang w:val="pt-PT"/>
    </w:rPr>
  </w:style>
  <w:style w:type="paragraph" w:styleId="Corpodetexto">
    <w:name w:val="Body Text"/>
    <w:basedOn w:val="Normal"/>
    <w:link w:val="CorpodetextoChar"/>
    <w:rsid w:val="00176126"/>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176126"/>
    <w:rPr>
      <w:rFonts w:ascii="Times New Roman" w:eastAsia="Times New Roman" w:hAnsi="Times New Roman"/>
      <w:sz w:val="28"/>
    </w:rPr>
  </w:style>
  <w:style w:type="character" w:styleId="MenoPendente">
    <w:name w:val="Unresolved Mention"/>
    <w:basedOn w:val="Fontepargpadro"/>
    <w:uiPriority w:val="99"/>
    <w:semiHidden/>
    <w:unhideWhenUsed/>
    <w:rsid w:val="005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82-de-20-de-dezembro-de-2012/237592/area/10" TargetMode="External"/><Relationship Id="rId13" Type="http://schemas.openxmlformats.org/officeDocument/2006/relationships/hyperlink" Target="https://www1.tce.pr.gov.br/conteudo/instrucao-normativa-n-163-de-22-de-setembro-de-2021/337689/area/24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instrucao-normativa-n-163-de-22-de-setembro-de-2021/337689/area/2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de-servico-n-27-de-3-de-outubro-de-2011/1294/area/10" TargetMode="External"/><Relationship Id="rId5" Type="http://schemas.openxmlformats.org/officeDocument/2006/relationships/webSettings" Target="webSettings.xml"/><Relationship Id="rId15" Type="http://schemas.openxmlformats.org/officeDocument/2006/relationships/hyperlink" Target="http://www1.tce.pr.gov.br/conteudo/instrucao-normativa-n-82-de-20-de-dezembro-de-2012/237592/area/10" TargetMode="External"/><Relationship Id="rId10" Type="http://schemas.openxmlformats.org/officeDocument/2006/relationships/hyperlink" Target="http://www1.tce.pr.gov.br/conteudo/instrucao-normativa-n-62-de-15-de-dezembro-de-2011/237411/area/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21/2/pdf/00354371.pdf" TargetMode="External"/><Relationship Id="rId14" Type="http://schemas.openxmlformats.org/officeDocument/2006/relationships/hyperlink" Target="http://www1.tce.pr.gov.br/conteudo/instrucao-normativa-n-82-de-20-de-dezembro-de-2012/237592/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2-de-20-de-dezembro-de-2012/237592/area/10" TargetMode="External"/><Relationship Id="rId2" Type="http://schemas.openxmlformats.org/officeDocument/2006/relationships/hyperlink" Target="https://www1.tce.pr.gov.br/multimidia/2021/2/pdf/00354371.pdf" TargetMode="External"/><Relationship Id="rId1" Type="http://schemas.openxmlformats.org/officeDocument/2006/relationships/hyperlink" Target="https://www1.tce.pr.gov.br/multimidia/2021/2/pdf/00354504.pdf" TargetMode="External"/><Relationship Id="rId6" Type="http://schemas.openxmlformats.org/officeDocument/2006/relationships/hyperlink" Target="http://www1.tce.pr.gov.br/conteudo/instrucao-de-servico-n-27-de-3-de-outubro-de-2011/1294/area/10" TargetMode="External"/><Relationship Id="rId5" Type="http://schemas.openxmlformats.org/officeDocument/2006/relationships/hyperlink" Target="http://www1.tce.pr.gov.br/conteudo/instrucao-normativa-n-62-de-15-de-dezembro-de-2011/237411/area/10" TargetMode="External"/><Relationship Id="rId4" Type="http://schemas.openxmlformats.org/officeDocument/2006/relationships/hyperlink" Target="https://www1.tce.pr.gov.br/conteudo/instrucao-normativa-n-163-de-22-de-setembro-de-2021/337689/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D433-2FB5-40A9-8428-1E660DA6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2555</Words>
  <Characters>13798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16321</CharactersWithSpaces>
  <SharedDoc>false</SharedDoc>
  <HLinks>
    <vt:vector size="84" baseType="variant">
      <vt:variant>
        <vt:i4>1835064</vt:i4>
      </vt:variant>
      <vt:variant>
        <vt:i4>80</vt:i4>
      </vt:variant>
      <vt:variant>
        <vt:i4>0</vt:i4>
      </vt:variant>
      <vt:variant>
        <vt:i4>5</vt:i4>
      </vt:variant>
      <vt:variant>
        <vt:lpwstr/>
      </vt:variant>
      <vt:variant>
        <vt:lpwstr>_Toc54867128</vt:lpwstr>
      </vt:variant>
      <vt:variant>
        <vt:i4>1245240</vt:i4>
      </vt:variant>
      <vt:variant>
        <vt:i4>74</vt:i4>
      </vt:variant>
      <vt:variant>
        <vt:i4>0</vt:i4>
      </vt:variant>
      <vt:variant>
        <vt:i4>5</vt:i4>
      </vt:variant>
      <vt:variant>
        <vt:lpwstr/>
      </vt:variant>
      <vt:variant>
        <vt:lpwstr>_Toc54867127</vt:lpwstr>
      </vt:variant>
      <vt:variant>
        <vt:i4>1179704</vt:i4>
      </vt:variant>
      <vt:variant>
        <vt:i4>68</vt:i4>
      </vt:variant>
      <vt:variant>
        <vt:i4>0</vt:i4>
      </vt:variant>
      <vt:variant>
        <vt:i4>5</vt:i4>
      </vt:variant>
      <vt:variant>
        <vt:lpwstr/>
      </vt:variant>
      <vt:variant>
        <vt:lpwstr>_Toc54867126</vt:lpwstr>
      </vt:variant>
      <vt:variant>
        <vt:i4>1114168</vt:i4>
      </vt:variant>
      <vt:variant>
        <vt:i4>62</vt:i4>
      </vt:variant>
      <vt:variant>
        <vt:i4>0</vt:i4>
      </vt:variant>
      <vt:variant>
        <vt:i4>5</vt:i4>
      </vt:variant>
      <vt:variant>
        <vt:lpwstr/>
      </vt:variant>
      <vt:variant>
        <vt:lpwstr>_Toc54867125</vt:lpwstr>
      </vt:variant>
      <vt:variant>
        <vt:i4>1048632</vt:i4>
      </vt:variant>
      <vt:variant>
        <vt:i4>56</vt:i4>
      </vt:variant>
      <vt:variant>
        <vt:i4>0</vt:i4>
      </vt:variant>
      <vt:variant>
        <vt:i4>5</vt:i4>
      </vt:variant>
      <vt:variant>
        <vt:lpwstr/>
      </vt:variant>
      <vt:variant>
        <vt:lpwstr>_Toc54867124</vt:lpwstr>
      </vt:variant>
      <vt:variant>
        <vt:i4>1507384</vt:i4>
      </vt:variant>
      <vt:variant>
        <vt:i4>50</vt:i4>
      </vt:variant>
      <vt:variant>
        <vt:i4>0</vt:i4>
      </vt:variant>
      <vt:variant>
        <vt:i4>5</vt:i4>
      </vt:variant>
      <vt:variant>
        <vt:lpwstr/>
      </vt:variant>
      <vt:variant>
        <vt:lpwstr>_Toc54867123</vt:lpwstr>
      </vt:variant>
      <vt:variant>
        <vt:i4>1441848</vt:i4>
      </vt:variant>
      <vt:variant>
        <vt:i4>44</vt:i4>
      </vt:variant>
      <vt:variant>
        <vt:i4>0</vt:i4>
      </vt:variant>
      <vt:variant>
        <vt:i4>5</vt:i4>
      </vt:variant>
      <vt:variant>
        <vt:lpwstr/>
      </vt:variant>
      <vt:variant>
        <vt:lpwstr>_Toc54867122</vt:lpwstr>
      </vt:variant>
      <vt:variant>
        <vt:i4>1376312</vt:i4>
      </vt:variant>
      <vt:variant>
        <vt:i4>38</vt:i4>
      </vt:variant>
      <vt:variant>
        <vt:i4>0</vt:i4>
      </vt:variant>
      <vt:variant>
        <vt:i4>5</vt:i4>
      </vt:variant>
      <vt:variant>
        <vt:lpwstr/>
      </vt:variant>
      <vt:variant>
        <vt:lpwstr>_Toc54867121</vt:lpwstr>
      </vt:variant>
      <vt:variant>
        <vt:i4>1310776</vt:i4>
      </vt:variant>
      <vt:variant>
        <vt:i4>32</vt:i4>
      </vt:variant>
      <vt:variant>
        <vt:i4>0</vt:i4>
      </vt:variant>
      <vt:variant>
        <vt:i4>5</vt:i4>
      </vt:variant>
      <vt:variant>
        <vt:lpwstr/>
      </vt:variant>
      <vt:variant>
        <vt:lpwstr>_Toc54867120</vt:lpwstr>
      </vt:variant>
      <vt:variant>
        <vt:i4>1900603</vt:i4>
      </vt:variant>
      <vt:variant>
        <vt:i4>26</vt:i4>
      </vt:variant>
      <vt:variant>
        <vt:i4>0</vt:i4>
      </vt:variant>
      <vt:variant>
        <vt:i4>5</vt:i4>
      </vt:variant>
      <vt:variant>
        <vt:lpwstr/>
      </vt:variant>
      <vt:variant>
        <vt:lpwstr>_Toc54867119</vt:lpwstr>
      </vt:variant>
      <vt:variant>
        <vt:i4>1835067</vt:i4>
      </vt:variant>
      <vt:variant>
        <vt:i4>20</vt:i4>
      </vt:variant>
      <vt:variant>
        <vt:i4>0</vt:i4>
      </vt:variant>
      <vt:variant>
        <vt:i4>5</vt:i4>
      </vt:variant>
      <vt:variant>
        <vt:lpwstr/>
      </vt:variant>
      <vt:variant>
        <vt:lpwstr>_Toc54867118</vt:lpwstr>
      </vt:variant>
      <vt:variant>
        <vt:i4>1245243</vt:i4>
      </vt:variant>
      <vt:variant>
        <vt:i4>14</vt:i4>
      </vt:variant>
      <vt:variant>
        <vt:i4>0</vt:i4>
      </vt:variant>
      <vt:variant>
        <vt:i4>5</vt:i4>
      </vt:variant>
      <vt:variant>
        <vt:lpwstr/>
      </vt:variant>
      <vt:variant>
        <vt:lpwstr>_Toc54867117</vt:lpwstr>
      </vt:variant>
      <vt:variant>
        <vt:i4>1179707</vt:i4>
      </vt:variant>
      <vt:variant>
        <vt:i4>8</vt:i4>
      </vt:variant>
      <vt:variant>
        <vt:i4>0</vt:i4>
      </vt:variant>
      <vt:variant>
        <vt:i4>5</vt:i4>
      </vt:variant>
      <vt:variant>
        <vt:lpwstr/>
      </vt:variant>
      <vt:variant>
        <vt:lpwstr>_Toc54867116</vt:lpwstr>
      </vt:variant>
      <vt:variant>
        <vt:i4>1114171</vt:i4>
      </vt:variant>
      <vt:variant>
        <vt:i4>2</vt:i4>
      </vt:variant>
      <vt:variant>
        <vt:i4>0</vt:i4>
      </vt:variant>
      <vt:variant>
        <vt:i4>5</vt:i4>
      </vt:variant>
      <vt:variant>
        <vt:lpwstr/>
      </vt:variant>
      <vt:variant>
        <vt:lpwstr>_Toc54867115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da Cruz Buzato</dc:creator>
  <cp:keywords/>
  <dc:description/>
  <cp:lastModifiedBy>Yarusya</cp:lastModifiedBy>
  <cp:revision>4</cp:revision>
  <dcterms:created xsi:type="dcterms:W3CDTF">2022-06-28T18:22:00Z</dcterms:created>
  <dcterms:modified xsi:type="dcterms:W3CDTF">2022-06-28T18:23:00Z</dcterms:modified>
</cp:coreProperties>
</file>