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2202" w14:textId="77777777" w:rsidR="003D5109" w:rsidRDefault="003D5109" w:rsidP="003D5109">
      <w:pPr>
        <w:pStyle w:val="Corpodetexto"/>
        <w:spacing w:before="240"/>
        <w:jc w:val="center"/>
        <w:rPr>
          <w:rFonts w:ascii="Arial" w:hAnsi="Arial" w:cs="Arial"/>
          <w:b/>
          <w:sz w:val="28"/>
          <w:szCs w:val="28"/>
        </w:rPr>
      </w:pPr>
      <w:r w:rsidRPr="006A4ED3">
        <w:rPr>
          <w:rFonts w:ascii="Arial" w:hAnsi="Arial" w:cs="Arial"/>
          <w:b/>
          <w:sz w:val="28"/>
          <w:szCs w:val="28"/>
        </w:rPr>
        <w:t xml:space="preserve">INSTRUÇÃO </w:t>
      </w:r>
      <w:r>
        <w:rPr>
          <w:rFonts w:ascii="Arial" w:hAnsi="Arial" w:cs="Arial"/>
          <w:b/>
          <w:sz w:val="28"/>
          <w:szCs w:val="28"/>
        </w:rPr>
        <w:t xml:space="preserve">NORMATIVA </w:t>
      </w:r>
      <w:r w:rsidRPr="000A1B86">
        <w:rPr>
          <w:rFonts w:ascii="Arial" w:hAnsi="Arial" w:cs="Arial"/>
          <w:b/>
          <w:sz w:val="28"/>
          <w:szCs w:val="28"/>
        </w:rPr>
        <w:t xml:space="preserve">Nº </w:t>
      </w:r>
      <w:r>
        <w:rPr>
          <w:rFonts w:ascii="Arial" w:hAnsi="Arial" w:cs="Arial"/>
          <w:b/>
          <w:sz w:val="28"/>
          <w:szCs w:val="28"/>
        </w:rPr>
        <w:t>1</w:t>
      </w:r>
      <w:r w:rsidRPr="000A1B86">
        <w:rPr>
          <w:rFonts w:ascii="Arial" w:hAnsi="Arial" w:cs="Arial"/>
          <w:b/>
          <w:sz w:val="28"/>
          <w:szCs w:val="28"/>
        </w:rPr>
        <w:t>/</w:t>
      </w:r>
      <w:r>
        <w:rPr>
          <w:rFonts w:ascii="Arial" w:hAnsi="Arial" w:cs="Arial"/>
          <w:b/>
          <w:sz w:val="28"/>
          <w:szCs w:val="28"/>
        </w:rPr>
        <w:t>2006</w:t>
      </w:r>
      <w:r w:rsidRPr="00BA2525">
        <w:rPr>
          <w:rStyle w:val="Refdenotaderodap"/>
          <w:rFonts w:ascii="Arial" w:hAnsi="Arial" w:cs="Arial"/>
          <w:b/>
          <w:sz w:val="28"/>
          <w:szCs w:val="28"/>
        </w:rPr>
        <w:footnoteReference w:customMarkFollows="1" w:id="1"/>
        <w:sym w:font="Symbol" w:char="F02A"/>
      </w:r>
    </w:p>
    <w:p w14:paraId="3789EFB4" w14:textId="77777777" w:rsidR="003D5109" w:rsidRPr="00876B25" w:rsidRDefault="003D5109" w:rsidP="005863C8">
      <w:pPr>
        <w:pStyle w:val="Ementa"/>
        <w:spacing w:before="360" w:after="360"/>
        <w:ind w:left="4536"/>
        <w:rPr>
          <w:rFonts w:cs="Arial"/>
          <w:i/>
          <w:szCs w:val="22"/>
        </w:rPr>
      </w:pPr>
      <w:r w:rsidRPr="00876B25">
        <w:rPr>
          <w:rFonts w:cs="Arial"/>
          <w:i/>
          <w:szCs w:val="22"/>
        </w:rPr>
        <w:t>Dispõe sobre critérios contábeis e técnicos resultantes da adoção da Portaria nº 447, de 13 de setembro de 2002, da Secretaria do Tesouro Nacional e estabelece outras providências para encerramento de balanço de 2005.</w:t>
      </w:r>
    </w:p>
    <w:p w14:paraId="41BDB0A5" w14:textId="0382F04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b/>
          <w:sz w:val="24"/>
          <w:szCs w:val="24"/>
          <w:lang w:eastAsia="pt-BR"/>
        </w:rPr>
        <w:t>Art. 1º</w:t>
      </w:r>
      <w:r w:rsidRPr="00D7671A">
        <w:rPr>
          <w:rFonts w:ascii="Arial" w:eastAsia="Times New Roman" w:hAnsi="Arial"/>
          <w:sz w:val="24"/>
          <w:szCs w:val="24"/>
          <w:lang w:eastAsia="pt-BR"/>
        </w:rPr>
        <w:t xml:space="preserve"> Considerada a determinação contida no inciso I do artigo 35 da </w:t>
      </w:r>
      <w:r w:rsidRPr="00294205">
        <w:rPr>
          <w:rFonts w:ascii="Arial" w:eastAsia="Times New Roman" w:hAnsi="Arial"/>
          <w:sz w:val="24"/>
          <w:szCs w:val="24"/>
          <w:lang w:eastAsia="pt-BR"/>
        </w:rPr>
        <w:t>Lei nº 4.320/67</w:t>
      </w:r>
      <w:r w:rsidRPr="00D7671A">
        <w:rPr>
          <w:rFonts w:ascii="Arial" w:eastAsia="Times New Roman" w:hAnsi="Arial"/>
          <w:sz w:val="24"/>
          <w:szCs w:val="24"/>
          <w:lang w:eastAsia="pt-BR"/>
        </w:rPr>
        <w:t>, segundo a qual pertencem ao exercício financeiro as receitas nele arrecadadas, para o encerramento contábil do exercício de 2005, ficam estabelecidas as regras constantes desta Instrução, relativamente à escrituração de Restos a Receber e Restos a Receber de Interferências Financeiras.</w:t>
      </w:r>
    </w:p>
    <w:p w14:paraId="252E8522"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b/>
          <w:sz w:val="24"/>
          <w:szCs w:val="24"/>
          <w:lang w:eastAsia="pt-BR"/>
        </w:rPr>
        <w:t>Art. 2º</w:t>
      </w:r>
      <w:r w:rsidRPr="00D7671A">
        <w:rPr>
          <w:rFonts w:ascii="Arial" w:eastAsia="Times New Roman" w:hAnsi="Arial"/>
          <w:sz w:val="24"/>
          <w:szCs w:val="24"/>
          <w:lang w:eastAsia="pt-BR"/>
        </w:rPr>
        <w:t xml:space="preserve"> Considerada sob a ótica macroorçamentária a arrecadação ocorrida e perfeitamente acabada, dentro do exercício de 2005, de receitas cuja titularidade pertence aos Municípios, em que o Órgão arrecadador atua como agente centralizador e redistribuidor, os municípios contabilizarão como receitas do orçamento de 2005 as parcelas que venham a ser financeiramente entregues a estes no mês janeiro de 2006.</w:t>
      </w:r>
    </w:p>
    <w:p w14:paraId="04B61F01"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Parágrafo único. Representa exemplo de Restos a Receber, a arrecadação ocorrida no orçamento de 2005 dos seguintes fundos de participação, com cotas pertencentes aos municípios: </w:t>
      </w:r>
    </w:p>
    <w:p w14:paraId="59D01EF0" w14:textId="77777777" w:rsidR="00D7671A" w:rsidRPr="00D7671A" w:rsidRDefault="00D7671A" w:rsidP="00CA1893">
      <w:pPr>
        <w:numPr>
          <w:ilvl w:val="0"/>
          <w:numId w:val="2"/>
        </w:numPr>
        <w:tabs>
          <w:tab w:val="left" w:pos="1418"/>
        </w:tabs>
        <w:spacing w:before="120" w:after="0" w:line="240" w:lineRule="auto"/>
        <w:ind w:hanging="720"/>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do ICMS; </w:t>
      </w:r>
    </w:p>
    <w:p w14:paraId="203FB229" w14:textId="77777777" w:rsidR="00D7671A" w:rsidRPr="00D7671A" w:rsidRDefault="00D7671A" w:rsidP="00CA1893">
      <w:pPr>
        <w:numPr>
          <w:ilvl w:val="0"/>
          <w:numId w:val="2"/>
        </w:numPr>
        <w:tabs>
          <w:tab w:val="left" w:pos="1418"/>
          <w:tab w:val="left" w:pos="1560"/>
        </w:tabs>
        <w:spacing w:before="120" w:after="0" w:line="240" w:lineRule="auto"/>
        <w:ind w:hanging="720"/>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FPM e </w:t>
      </w:r>
    </w:p>
    <w:p w14:paraId="46A2819F" w14:textId="77777777" w:rsidR="00D7671A" w:rsidRPr="00D7671A" w:rsidRDefault="00D7671A" w:rsidP="00CA1893">
      <w:pPr>
        <w:numPr>
          <w:ilvl w:val="0"/>
          <w:numId w:val="2"/>
        </w:numPr>
        <w:tabs>
          <w:tab w:val="left" w:pos="1418"/>
        </w:tabs>
        <w:spacing w:before="120" w:after="0" w:line="240" w:lineRule="auto"/>
        <w:ind w:hanging="720"/>
        <w:jc w:val="both"/>
        <w:rPr>
          <w:rFonts w:ascii="Arial" w:eastAsia="Times New Roman" w:hAnsi="Arial"/>
          <w:sz w:val="24"/>
          <w:szCs w:val="24"/>
          <w:lang w:eastAsia="pt-BR"/>
        </w:rPr>
      </w:pPr>
      <w:r w:rsidRPr="00D7671A">
        <w:rPr>
          <w:rFonts w:ascii="Arial" w:eastAsia="Times New Roman" w:hAnsi="Arial"/>
          <w:sz w:val="24"/>
          <w:szCs w:val="24"/>
          <w:lang w:eastAsia="pt-BR"/>
        </w:rPr>
        <w:t>Transferências de Recursos do FUNDEF.</w:t>
      </w:r>
    </w:p>
    <w:p w14:paraId="6353897A" w14:textId="6415EF48"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b/>
          <w:sz w:val="24"/>
          <w:szCs w:val="24"/>
          <w:lang w:eastAsia="pt-BR"/>
        </w:rPr>
        <w:t>Art. 3º</w:t>
      </w:r>
      <w:r w:rsidRPr="00D7671A">
        <w:rPr>
          <w:rFonts w:ascii="Arial" w:eastAsia="Times New Roman" w:hAnsi="Arial"/>
          <w:sz w:val="24"/>
          <w:szCs w:val="24"/>
          <w:lang w:eastAsia="pt-BR"/>
        </w:rPr>
        <w:t xml:space="preserve"> A escrituração contábil dos eventos respectivos aos Restos a Receber deverá ser efetivada nas contas apropriadas do Plano de Contas Único dos Municípios, observando-se o roteiro exemplificativo apresentado na </w:t>
      </w:r>
      <w:r w:rsidRPr="00294205">
        <w:rPr>
          <w:rFonts w:ascii="Arial" w:eastAsia="Times New Roman" w:hAnsi="Arial"/>
          <w:sz w:val="24"/>
          <w:szCs w:val="24"/>
          <w:lang w:eastAsia="pt-BR"/>
        </w:rPr>
        <w:t>Portaria STN nº 447/2002</w:t>
      </w:r>
      <w:r w:rsidRPr="00D7671A">
        <w:rPr>
          <w:rFonts w:ascii="Arial" w:eastAsia="Times New Roman" w:hAnsi="Arial"/>
          <w:sz w:val="24"/>
          <w:szCs w:val="24"/>
          <w:lang w:eastAsia="pt-BR"/>
        </w:rPr>
        <w:t>.</w:t>
      </w:r>
    </w:p>
    <w:p w14:paraId="16CDE98F" w14:textId="61444959"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 1º No aspecto do controle orçamentário de fontes de recursos, a classificação dos empenhos de despesas realizadas com superávit financeiro proveniente de receitas de Restos a Receber apontará como Grupo de Fontes de Recursos os códigos de fontes para “Exercícios Anteriores,” da tabela 2, do item 11.4, do Manual da Receita Pública, aprovado pela </w:t>
      </w:r>
      <w:r w:rsidRPr="00F1447C">
        <w:rPr>
          <w:rFonts w:ascii="Arial" w:eastAsia="Times New Roman" w:hAnsi="Arial"/>
          <w:sz w:val="24"/>
          <w:szCs w:val="24"/>
          <w:lang w:eastAsia="pt-BR"/>
        </w:rPr>
        <w:t>Portaria nº 303, de 28 de abril de 2005</w:t>
      </w:r>
      <w:r w:rsidRPr="00D7671A">
        <w:rPr>
          <w:rFonts w:ascii="Arial" w:eastAsia="Times New Roman" w:hAnsi="Arial"/>
          <w:sz w:val="24"/>
          <w:szCs w:val="24"/>
          <w:lang w:eastAsia="pt-BR"/>
        </w:rPr>
        <w:t>, da Secretaria do Tesouro Nacional.</w:t>
      </w:r>
    </w:p>
    <w:p w14:paraId="7485DD6D" w14:textId="1497984B"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 2º Os registros pertinentes aos Restos a Receber de receitas com vinculação ao Fundo de Manutenção e Desenvolvimento do Ensino Fundamental e de Valorização do Magistério – FUNDEF deverão ser escrituradas em estrita </w:t>
      </w:r>
      <w:r w:rsidRPr="00D7671A">
        <w:rPr>
          <w:rFonts w:ascii="Arial" w:eastAsia="Times New Roman" w:hAnsi="Arial"/>
          <w:sz w:val="24"/>
          <w:szCs w:val="24"/>
          <w:lang w:eastAsia="pt-BR"/>
        </w:rPr>
        <w:lastRenderedPageBreak/>
        <w:t xml:space="preserve">observância dos procedimentos contábeis uniformizados pela </w:t>
      </w:r>
      <w:r w:rsidRPr="00F1447C">
        <w:rPr>
          <w:rFonts w:ascii="Arial" w:eastAsia="Times New Roman" w:hAnsi="Arial"/>
          <w:sz w:val="24"/>
          <w:szCs w:val="24"/>
          <w:lang w:eastAsia="pt-BR"/>
        </w:rPr>
        <w:t>Portaria nº 328, de 27 de agosto de 2001</w:t>
      </w:r>
      <w:r w:rsidRPr="00D7671A">
        <w:rPr>
          <w:rFonts w:ascii="Arial" w:eastAsia="Times New Roman" w:hAnsi="Arial"/>
          <w:sz w:val="24"/>
          <w:szCs w:val="24"/>
          <w:lang w:eastAsia="pt-BR"/>
        </w:rPr>
        <w:t>, da Secretaria do Tesouro Nacional.</w:t>
      </w:r>
    </w:p>
    <w:p w14:paraId="4E8C8D91"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3º Para efeito de verificação da consistência entre os códigos de fonte financeira e orçamentária, as receitas inscritas em Restos a Receber deverão ter registros concomitantes nos sistemas financeiros e de compensação, neste utilizando-se a Conta de Relacionamento dos Restos a Receber.</w:t>
      </w:r>
    </w:p>
    <w:p w14:paraId="011FCDF8"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b/>
          <w:sz w:val="24"/>
          <w:szCs w:val="24"/>
          <w:lang w:eastAsia="pt-BR"/>
        </w:rPr>
        <w:t>Art. 4º</w:t>
      </w:r>
      <w:r w:rsidRPr="00D7671A">
        <w:rPr>
          <w:rFonts w:ascii="Arial" w:eastAsia="Times New Roman" w:hAnsi="Arial"/>
          <w:sz w:val="24"/>
          <w:szCs w:val="24"/>
          <w:lang w:eastAsia="pt-BR"/>
        </w:rPr>
        <w:t xml:space="preserve"> Para efeito da verificação da obediência ao comando constitucional, as parcelas de receitas de Restos a Receber com destinação vinculada às áreas de educação e saúde, poderão ser aplicadas até 31 de março do exercício de 2006, nos moldes de previsões regulamentares, do Tribunal de Contas do Paraná, observadas as seguintes providências:</w:t>
      </w:r>
    </w:p>
    <w:p w14:paraId="3C2D51D9" w14:textId="7F686AFD"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I - </w:t>
      </w:r>
      <w:r w:rsidRPr="00D7671A">
        <w:rPr>
          <w:rFonts w:ascii="Arial" w:eastAsia="Times New Roman" w:hAnsi="Arial"/>
          <w:sz w:val="24"/>
          <w:szCs w:val="24"/>
          <w:lang w:eastAsia="pt-BR"/>
        </w:rPr>
        <w:tab/>
        <w:t xml:space="preserve">Para a utilização no pagamento de empenhos do orçamento de 2006, deverá ser providenciada a substituição do grupo de fonte de arrecadação do exercício para superávit financeiro, na forma de autorização legislativa, prevista na Lei Orçamentária ou mediante ato legislativo próprio, conforme o art. 43, I, da </w:t>
      </w:r>
      <w:r w:rsidR="00F63493" w:rsidRPr="00F1447C">
        <w:rPr>
          <w:rFonts w:ascii="Arial" w:eastAsia="Times New Roman" w:hAnsi="Arial"/>
          <w:sz w:val="24"/>
          <w:szCs w:val="24"/>
          <w:lang w:eastAsia="pt-BR"/>
        </w:rPr>
        <w:t>Lei nº 4.320/67</w:t>
      </w:r>
      <w:r w:rsidRPr="00D7671A">
        <w:rPr>
          <w:rFonts w:ascii="Arial" w:eastAsia="Times New Roman" w:hAnsi="Arial"/>
          <w:sz w:val="24"/>
          <w:szCs w:val="24"/>
          <w:lang w:eastAsia="pt-BR"/>
        </w:rPr>
        <w:t>.</w:t>
      </w:r>
    </w:p>
    <w:p w14:paraId="31A9D8DC"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II - </w:t>
      </w:r>
      <w:r w:rsidRPr="00D7671A">
        <w:rPr>
          <w:rFonts w:ascii="Arial" w:eastAsia="Times New Roman" w:hAnsi="Arial"/>
          <w:sz w:val="24"/>
          <w:szCs w:val="24"/>
          <w:lang w:eastAsia="pt-BR"/>
        </w:rPr>
        <w:tab/>
        <w:t xml:space="preserve">No caso de aplicação dos Restos a Receber em programas ou atividades não previstas no orçamento do exercício de 2006, deverá ser criado crédito adicional especial para inclusão, sob a fonte de superávit financeiro; e </w:t>
      </w:r>
    </w:p>
    <w:p w14:paraId="5BF14BDC" w14:textId="3D4AABBC"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III - </w:t>
      </w:r>
      <w:r w:rsidRPr="00D7671A">
        <w:rPr>
          <w:rFonts w:ascii="Arial" w:eastAsia="Times New Roman" w:hAnsi="Arial"/>
          <w:sz w:val="24"/>
          <w:szCs w:val="24"/>
          <w:lang w:eastAsia="pt-BR"/>
        </w:rPr>
        <w:tab/>
        <w:t xml:space="preserve">Incluir na programação financeira e no cronograma de execução mensal de desembolso, prescritos pelo artigo 8º da </w:t>
      </w:r>
      <w:r w:rsidRPr="00F1447C">
        <w:rPr>
          <w:rFonts w:ascii="Arial" w:eastAsia="Times New Roman" w:hAnsi="Arial"/>
          <w:sz w:val="24"/>
          <w:szCs w:val="24"/>
          <w:lang w:eastAsia="pt-BR"/>
        </w:rPr>
        <w:t>Lei Complementar nº 101/2000</w:t>
      </w:r>
      <w:r w:rsidRPr="00D7671A">
        <w:rPr>
          <w:rFonts w:ascii="Arial" w:eastAsia="Times New Roman" w:hAnsi="Arial"/>
          <w:sz w:val="24"/>
          <w:szCs w:val="24"/>
          <w:lang w:eastAsia="pt-BR"/>
        </w:rPr>
        <w:t>.</w:t>
      </w:r>
    </w:p>
    <w:p w14:paraId="52F80BE4"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1º Em quaisquer das hipóteses adotadas, os valores não serão considerados nos índices de aplicação do exercício de 2006, em razão do princípio da anualidade.</w:t>
      </w:r>
    </w:p>
    <w:p w14:paraId="10ED02EC"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2º Em termos unicamente demonstrativos, e exclusivamente para fins de verificação da habilitação à obtenção da certidão liberatória com base nos dados do Sistema de Informações Municipais – Acompanhamento Mensal (SIM/AM), do primeiro bimestre de 2006, serão consideradas nos índices de aplicação em educação e saúde as diferenças ocasionadas pelo registro de Restos a Receber, de que trata esta Instrução.</w:t>
      </w:r>
    </w:p>
    <w:p w14:paraId="6F95CA15"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xml:space="preserve">§ 3º Para a emissão da certidão liberatória com base na exigível entrega dos dados do Sistema de Informações Municipais – Acompanhamento Mensal (SIM/AM) do segundo bimestre de 2006 e seguintes, será obrigatória a regularização das parcelas de Restos a Receber vinculadas às áreas de educação e saúde, consoante este artigo </w:t>
      </w:r>
    </w:p>
    <w:p w14:paraId="60768A3A"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4º Os prazos para a remessa dos dados bimestrais do exercício, ao Sistema de Informações Municipais – Acompanhamento Mensal (SIM/AM), do Tribunal de Contas do Paraná, serão fixados na Instrução Normativa que definir a Agenda de Obrigações para o ano de 2006.</w:t>
      </w:r>
    </w:p>
    <w:p w14:paraId="3EA1C3FD"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5º</w:t>
      </w:r>
      <w:r w:rsidRPr="00D7671A">
        <w:rPr>
          <w:rFonts w:ascii="Arial" w:eastAsia="Times New Roman" w:hAnsi="Arial"/>
          <w:sz w:val="24"/>
          <w:szCs w:val="24"/>
          <w:lang w:eastAsia="pt-BR"/>
        </w:rPr>
        <w:t xml:space="preserve"> Para fins de certificações e de conclusões de prestações de contas anuais serão adotados os índices de aplicação em saúde e educação </w:t>
      </w:r>
      <w:r w:rsidRPr="00D7671A">
        <w:rPr>
          <w:rFonts w:ascii="Arial" w:eastAsia="Times New Roman" w:hAnsi="Arial"/>
          <w:sz w:val="24"/>
          <w:szCs w:val="24"/>
          <w:lang w:eastAsia="pt-BR"/>
        </w:rPr>
        <w:lastRenderedPageBreak/>
        <w:t>gerados pelas bases consolidadas transmitidas ao Sistema de Informações Municipais – Acompanhamento Mensal.</w:t>
      </w:r>
    </w:p>
    <w:p w14:paraId="5EE8907C"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Parágrafo único. Tendo em vista que os índices são levantados com base em elementos consolidados, as posições fornecidas às contabilidades pelo sistema de captação se destinam à simples conferência, valendo para o efeito descrito no caput deste artigo o disponibilizado na seção própria da página do Tribunal de Contas do Paraná na internet.</w:t>
      </w:r>
    </w:p>
    <w:p w14:paraId="1AFBBB24"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6º</w:t>
      </w:r>
      <w:r w:rsidRPr="00D7671A">
        <w:rPr>
          <w:rFonts w:ascii="Arial" w:eastAsia="Times New Roman" w:hAnsi="Arial"/>
          <w:sz w:val="24"/>
          <w:szCs w:val="24"/>
          <w:lang w:eastAsia="pt-BR"/>
        </w:rPr>
        <w:t xml:space="preserve"> O Balanço Patrimonial do exercício de 2005 deverá conter, no sistema financeiro, nas contas adequadas a essas finalidades, do Plano de Contas Único dos Municípios, integrante do SIM/AM, sob a responsabilidade dos Ordenadores respectivos, as despesas deixadas de empenhar e as interferências financeiras deixadas de repassar no exercício.</w:t>
      </w:r>
    </w:p>
    <w:p w14:paraId="4647229A"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1º Para efeito do disposto neste artigo, independe se a obrigação foi deixada de empenhar por simples omissão ou por indisponibilidade de dotação orçamentária.</w:t>
      </w:r>
    </w:p>
    <w:p w14:paraId="32075593"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2º A alocação no orçamento de 2006, das despesas deixadas de empenhar em 2005, será efetuada em atividade específica, atendendo-se às seguintes condições:</w:t>
      </w:r>
    </w:p>
    <w:p w14:paraId="5E6AA3E5" w14:textId="77777777" w:rsidR="00D7671A" w:rsidRPr="00D7671A" w:rsidRDefault="00D7671A" w:rsidP="00CA1893">
      <w:pPr>
        <w:numPr>
          <w:ilvl w:val="0"/>
          <w:numId w:val="3"/>
        </w:numPr>
        <w:spacing w:before="120" w:after="0" w:line="240" w:lineRule="auto"/>
        <w:ind w:left="0" w:firstLine="1123"/>
        <w:jc w:val="both"/>
        <w:rPr>
          <w:rFonts w:ascii="Arial" w:eastAsia="Times New Roman" w:hAnsi="Arial"/>
          <w:sz w:val="24"/>
          <w:szCs w:val="24"/>
          <w:lang w:eastAsia="pt-BR"/>
        </w:rPr>
      </w:pPr>
      <w:r w:rsidRPr="00D7671A">
        <w:rPr>
          <w:rFonts w:ascii="Arial" w:eastAsia="Times New Roman" w:hAnsi="Arial"/>
          <w:sz w:val="24"/>
          <w:szCs w:val="24"/>
          <w:lang w:eastAsia="pt-BR"/>
        </w:rPr>
        <w:t>A atividade será incluída mediante crédito orçamentário especial, devendo ser identificada pelo código 899 e denominada “Despesas do Exercício Anterior”.</w:t>
      </w:r>
    </w:p>
    <w:p w14:paraId="3C1E6A93" w14:textId="4FBA9885" w:rsidR="00D7671A" w:rsidRPr="006A64D3" w:rsidRDefault="00D7671A" w:rsidP="00CA1893">
      <w:pPr>
        <w:numPr>
          <w:ilvl w:val="0"/>
          <w:numId w:val="3"/>
        </w:numPr>
        <w:spacing w:before="120" w:after="0" w:line="240" w:lineRule="auto"/>
        <w:ind w:left="0" w:firstLine="1134"/>
        <w:jc w:val="both"/>
        <w:rPr>
          <w:rFonts w:ascii="Arial" w:eastAsia="Times New Roman" w:hAnsi="Arial"/>
          <w:sz w:val="24"/>
          <w:szCs w:val="24"/>
          <w:lang w:eastAsia="pt-BR"/>
        </w:rPr>
      </w:pPr>
      <w:r w:rsidRPr="006A64D3">
        <w:rPr>
          <w:rFonts w:ascii="Arial" w:eastAsia="Times New Roman" w:hAnsi="Arial"/>
          <w:sz w:val="24"/>
          <w:szCs w:val="24"/>
          <w:lang w:eastAsia="pt-BR"/>
        </w:rPr>
        <w:t xml:space="preserve">A despesa deverá ser registrada no elemento sintético de Despesas de Exercícios Anteriores, acrescida, no nível analítico, do desdobramento correspondente ao elemento pertinente ao objeto do gasto, nos termos do artigo 37 da </w:t>
      </w:r>
      <w:r w:rsidRPr="00F1447C">
        <w:rPr>
          <w:rFonts w:ascii="Arial" w:eastAsia="Times New Roman" w:hAnsi="Arial"/>
          <w:sz w:val="24"/>
          <w:szCs w:val="24"/>
          <w:lang w:eastAsia="pt-BR"/>
        </w:rPr>
        <w:t>Lei nº 4.320/64</w:t>
      </w:r>
      <w:r w:rsidRPr="006A64D3">
        <w:rPr>
          <w:rFonts w:ascii="Arial" w:eastAsia="Times New Roman" w:hAnsi="Arial"/>
          <w:sz w:val="24"/>
          <w:szCs w:val="24"/>
          <w:lang w:eastAsia="pt-BR"/>
        </w:rPr>
        <w:t xml:space="preserve"> e </w:t>
      </w:r>
      <w:r w:rsidRPr="00F1447C">
        <w:rPr>
          <w:rFonts w:ascii="Arial" w:eastAsia="Times New Roman" w:hAnsi="Arial"/>
          <w:sz w:val="24"/>
          <w:szCs w:val="24"/>
          <w:lang w:eastAsia="pt-BR"/>
        </w:rPr>
        <w:t>Portaria STN nº 163/2001</w:t>
      </w:r>
      <w:r w:rsidRPr="006A64D3">
        <w:rPr>
          <w:rFonts w:ascii="Arial" w:eastAsia="Times New Roman" w:hAnsi="Arial"/>
          <w:sz w:val="24"/>
          <w:szCs w:val="24"/>
          <w:lang w:eastAsia="pt-BR"/>
        </w:rPr>
        <w:t>.</w:t>
      </w:r>
    </w:p>
    <w:p w14:paraId="75EB4FD5"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7º</w:t>
      </w:r>
      <w:r w:rsidRPr="00D7671A">
        <w:rPr>
          <w:rFonts w:ascii="Arial" w:eastAsia="Times New Roman" w:hAnsi="Arial"/>
          <w:sz w:val="24"/>
          <w:szCs w:val="24"/>
          <w:lang w:eastAsia="pt-BR"/>
        </w:rPr>
        <w:t xml:space="preserve"> O Balanço Patrimonial do exercício de 2005 deverá conter, no sistema financeiro, nas contas adequadas a essas finalidades, do Plano de Contas Único dos Municípios, integrante do SIM/AM, sob a responsabilidade dos Ordenadores respectivos, os valores de diferenças não identificadas representados nas conciliações dos saldos de contas correntes bancárias ou caixa.</w:t>
      </w:r>
    </w:p>
    <w:p w14:paraId="5F6294B0"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Parágrafo único. A origem de cada pendência deverá ser apurada e as responsabilidades remanescentes questionadas no foro cabível, devendo as</w:t>
      </w:r>
      <w:r w:rsidR="00AE2DF4">
        <w:rPr>
          <w:rFonts w:ascii="Arial" w:eastAsia="Times New Roman" w:hAnsi="Arial"/>
          <w:sz w:val="24"/>
          <w:szCs w:val="24"/>
          <w:lang w:eastAsia="pt-BR"/>
        </w:rPr>
        <w:t xml:space="preserve"> </w:t>
      </w:r>
      <w:r w:rsidRPr="00D7671A">
        <w:rPr>
          <w:rFonts w:ascii="Arial" w:eastAsia="Times New Roman" w:hAnsi="Arial"/>
          <w:sz w:val="24"/>
          <w:szCs w:val="24"/>
          <w:lang w:eastAsia="pt-BR"/>
        </w:rPr>
        <w:t>providências adotadas para a regularização ser comprovadas na prestação de contas do exercício subseqüente.</w:t>
      </w:r>
    </w:p>
    <w:p w14:paraId="63EF1CF2" w14:textId="2E6DBF9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8º</w:t>
      </w:r>
      <w:r w:rsidRPr="00D7671A">
        <w:rPr>
          <w:rFonts w:ascii="Arial" w:eastAsia="Times New Roman" w:hAnsi="Arial"/>
          <w:sz w:val="24"/>
          <w:szCs w:val="24"/>
          <w:lang w:eastAsia="pt-BR"/>
        </w:rPr>
        <w:t xml:space="preserve"> Os Restos a Receber de que tratam a presente Instrução Normativa comporão a Receita Corrente Líquida do exercício de 2005, bem assim os limites para a despesa total com pessoal, fixada na </w:t>
      </w:r>
      <w:r w:rsidRPr="00F1447C">
        <w:rPr>
          <w:rFonts w:ascii="Arial" w:eastAsia="Times New Roman" w:hAnsi="Arial"/>
          <w:sz w:val="24"/>
          <w:szCs w:val="24"/>
          <w:lang w:eastAsia="pt-BR"/>
        </w:rPr>
        <w:t>Lei Complementar nº 101/2000</w:t>
      </w:r>
      <w:r w:rsidRPr="00D7671A">
        <w:rPr>
          <w:rFonts w:ascii="Arial" w:eastAsia="Times New Roman" w:hAnsi="Arial"/>
          <w:sz w:val="24"/>
          <w:szCs w:val="24"/>
          <w:lang w:eastAsia="pt-BR"/>
        </w:rPr>
        <w:t xml:space="preserve">, e também a base para fins de despesas do Poder Legislativo Municipal, estabelecidas nos artigos 29, VII e 29-A da </w:t>
      </w:r>
      <w:r w:rsidRPr="00F1447C">
        <w:rPr>
          <w:rFonts w:ascii="Arial" w:eastAsia="Times New Roman" w:hAnsi="Arial"/>
          <w:sz w:val="24"/>
          <w:szCs w:val="24"/>
          <w:lang w:eastAsia="pt-BR"/>
        </w:rPr>
        <w:t>Constituição Federal</w:t>
      </w:r>
      <w:r w:rsidRPr="00D7671A">
        <w:rPr>
          <w:rFonts w:ascii="Arial" w:eastAsia="Times New Roman" w:hAnsi="Arial"/>
          <w:sz w:val="24"/>
          <w:szCs w:val="24"/>
          <w:lang w:eastAsia="pt-BR"/>
        </w:rPr>
        <w:t xml:space="preserve">. </w:t>
      </w:r>
    </w:p>
    <w:p w14:paraId="6736572A" w14:textId="36B682F1"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9º</w:t>
      </w:r>
      <w:r w:rsidRPr="00D7671A">
        <w:rPr>
          <w:rFonts w:ascii="Arial" w:eastAsia="Times New Roman" w:hAnsi="Arial"/>
          <w:sz w:val="24"/>
          <w:szCs w:val="24"/>
          <w:lang w:eastAsia="pt-BR"/>
        </w:rPr>
        <w:t xml:space="preserve"> Considerados os objetivos fixados pela </w:t>
      </w:r>
      <w:r w:rsidRPr="00F1447C">
        <w:rPr>
          <w:rFonts w:ascii="Arial" w:eastAsia="Times New Roman" w:hAnsi="Arial"/>
          <w:sz w:val="24"/>
          <w:szCs w:val="24"/>
          <w:lang w:eastAsia="pt-BR"/>
        </w:rPr>
        <w:t xml:space="preserve">Portaria </w:t>
      </w:r>
      <w:r w:rsidR="006A64D3" w:rsidRPr="00F1447C">
        <w:rPr>
          <w:rFonts w:ascii="Arial" w:eastAsia="Times New Roman" w:hAnsi="Arial"/>
          <w:sz w:val="24"/>
          <w:szCs w:val="24"/>
          <w:lang w:eastAsia="pt-BR"/>
        </w:rPr>
        <w:t>nº</w:t>
      </w:r>
      <w:r w:rsidRPr="00F1447C">
        <w:rPr>
          <w:rFonts w:ascii="Arial" w:eastAsia="Times New Roman" w:hAnsi="Arial"/>
          <w:sz w:val="24"/>
          <w:szCs w:val="24"/>
          <w:lang w:eastAsia="pt-BR"/>
        </w:rPr>
        <w:t xml:space="preserve"> 447 de 13 de setembro de 2002</w:t>
      </w:r>
      <w:r w:rsidRPr="00D7671A">
        <w:rPr>
          <w:rFonts w:ascii="Arial" w:eastAsia="Times New Roman" w:hAnsi="Arial"/>
          <w:sz w:val="24"/>
          <w:szCs w:val="24"/>
          <w:lang w:eastAsia="pt-BR"/>
        </w:rPr>
        <w:t xml:space="preserve">, da Secretaria do Tesouro Nacional, derivados da necessidade de compatibilização do registro das receitas e despesas orçamentárias, para fins de consolidação das contas públicas exigida na Lei de </w:t>
      </w:r>
      <w:r w:rsidRPr="00D7671A">
        <w:rPr>
          <w:rFonts w:ascii="Arial" w:eastAsia="Times New Roman" w:hAnsi="Arial"/>
          <w:sz w:val="24"/>
          <w:szCs w:val="24"/>
          <w:lang w:eastAsia="pt-BR"/>
        </w:rPr>
        <w:lastRenderedPageBreak/>
        <w:t>Responsabilidade Fiscal, as normas desta Instrução são de observância obrigatória por todos os Municípios.</w:t>
      </w:r>
    </w:p>
    <w:p w14:paraId="2ABACBA3"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1º No contexto de Município considera os Poderes Executivos e, no que couber, as respectivas entidades de administração indireta, abrangendo os Fundos cuja contabilidade é descentralizada, os Fundos Previdenciários, as Fundações de Direito Público Interno e as Autarquias Municipais.</w:t>
      </w:r>
    </w:p>
    <w:p w14:paraId="5B22FCD6"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D7671A">
        <w:rPr>
          <w:rFonts w:ascii="Arial" w:eastAsia="Times New Roman" w:hAnsi="Arial"/>
          <w:sz w:val="24"/>
          <w:szCs w:val="24"/>
          <w:lang w:eastAsia="pt-BR"/>
        </w:rPr>
        <w:t>§ 2º Aos Poderes Legislativos Municipais aplicam-se a parte correspondente aos Restos a Receber de Interferências Financeiras e Responsáveis por Despesas Não Empenhadas.</w:t>
      </w:r>
    </w:p>
    <w:p w14:paraId="684A88AA" w14:textId="77777777"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10.</w:t>
      </w:r>
      <w:r w:rsidRPr="00D7671A">
        <w:rPr>
          <w:rFonts w:ascii="Arial" w:eastAsia="Times New Roman" w:hAnsi="Arial"/>
          <w:sz w:val="24"/>
          <w:szCs w:val="24"/>
          <w:lang w:eastAsia="pt-BR"/>
        </w:rPr>
        <w:t xml:space="preserve"> Para fins de plena evidenciação, a contabilização dos Restos a Receber e das despesas deixadas de empenhar pela gestão anterior depende de processo composto por documentos hábeis e cabais, evidenciadores da efetividade da arrecadação no exercício de 2005 e do cumprimento do estágio da liquidação da despesa, respectivamente.</w:t>
      </w:r>
    </w:p>
    <w:p w14:paraId="0E69C351" w14:textId="176A8FF2" w:rsidR="00D7671A" w:rsidRP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11.</w:t>
      </w:r>
      <w:r w:rsidRPr="00D7671A">
        <w:rPr>
          <w:rFonts w:ascii="Arial" w:eastAsia="Times New Roman" w:hAnsi="Arial"/>
          <w:sz w:val="24"/>
          <w:szCs w:val="24"/>
          <w:lang w:eastAsia="pt-BR"/>
        </w:rPr>
        <w:t xml:space="preserve"> Tendo em vista o caráter permanente da norma emanada da </w:t>
      </w:r>
      <w:r w:rsidRPr="00F1447C">
        <w:rPr>
          <w:rFonts w:ascii="Arial" w:eastAsia="Times New Roman" w:hAnsi="Arial"/>
          <w:sz w:val="24"/>
          <w:szCs w:val="24"/>
          <w:lang w:eastAsia="pt-BR"/>
        </w:rPr>
        <w:t>Portaria STN nº 447/2002</w:t>
      </w:r>
      <w:r w:rsidRPr="00D7671A">
        <w:rPr>
          <w:rFonts w:ascii="Arial" w:eastAsia="Times New Roman" w:hAnsi="Arial"/>
          <w:sz w:val="24"/>
          <w:szCs w:val="24"/>
          <w:lang w:eastAsia="pt-BR"/>
        </w:rPr>
        <w:t>, esta deverá ser adotada de modo sistemático nos encerramentos contábeis anuais, como ocorrido a partir do exercício financeiro de 2004.</w:t>
      </w:r>
    </w:p>
    <w:p w14:paraId="0A76C0F0" w14:textId="77777777" w:rsidR="00D7671A" w:rsidRDefault="00D7671A" w:rsidP="00CA1893">
      <w:pPr>
        <w:spacing w:before="120" w:after="0" w:line="240" w:lineRule="auto"/>
        <w:ind w:firstLine="1134"/>
        <w:jc w:val="both"/>
        <w:rPr>
          <w:rFonts w:ascii="Arial" w:eastAsia="Times New Roman" w:hAnsi="Arial"/>
          <w:sz w:val="24"/>
          <w:szCs w:val="24"/>
          <w:lang w:eastAsia="pt-BR"/>
        </w:rPr>
      </w:pPr>
      <w:r w:rsidRPr="00AE2DF4">
        <w:rPr>
          <w:rFonts w:ascii="Arial" w:eastAsia="Times New Roman" w:hAnsi="Arial"/>
          <w:b/>
          <w:sz w:val="24"/>
          <w:szCs w:val="24"/>
          <w:lang w:eastAsia="pt-BR"/>
        </w:rPr>
        <w:t>Art. 12.</w:t>
      </w:r>
      <w:r w:rsidRPr="00D7671A">
        <w:rPr>
          <w:rFonts w:ascii="Arial" w:eastAsia="Times New Roman" w:hAnsi="Arial"/>
          <w:sz w:val="24"/>
          <w:szCs w:val="24"/>
          <w:lang w:eastAsia="pt-BR"/>
        </w:rPr>
        <w:t xml:space="preserve"> Esta Instrução Normativa entra em vigor nesta data, ficando a publicação no Órgão de Atos Oficiais do Tribunal de Contas do Paraná reservada para depois que ocorrer o preenchimento dos requisitos determinados no Regimento Interno, relativos ao referendum do Colegiado Pleno.</w:t>
      </w:r>
    </w:p>
    <w:p w14:paraId="08D467BF" w14:textId="77777777" w:rsidR="006A64D3" w:rsidRPr="00D7671A" w:rsidRDefault="006A64D3" w:rsidP="00D7671A">
      <w:pPr>
        <w:spacing w:before="120" w:after="0" w:line="240" w:lineRule="auto"/>
        <w:ind w:firstLine="1134"/>
        <w:jc w:val="both"/>
        <w:rPr>
          <w:rFonts w:ascii="Arial" w:eastAsia="Times New Roman" w:hAnsi="Arial"/>
          <w:sz w:val="24"/>
          <w:szCs w:val="24"/>
          <w:lang w:eastAsia="pt-BR"/>
        </w:rPr>
      </w:pPr>
    </w:p>
    <w:p w14:paraId="579CB279" w14:textId="77777777" w:rsidR="00D7671A" w:rsidRDefault="00D7671A" w:rsidP="00CA1893">
      <w:pPr>
        <w:spacing w:before="120"/>
        <w:jc w:val="center"/>
        <w:rPr>
          <w:rFonts w:ascii="Arial" w:eastAsia="Times New Roman" w:hAnsi="Arial"/>
          <w:sz w:val="24"/>
          <w:szCs w:val="24"/>
          <w:lang w:eastAsia="pt-BR"/>
        </w:rPr>
      </w:pPr>
      <w:r w:rsidRPr="00D7671A">
        <w:rPr>
          <w:rFonts w:ascii="Arial" w:eastAsia="Times New Roman" w:hAnsi="Arial"/>
          <w:sz w:val="24"/>
          <w:szCs w:val="24"/>
          <w:lang w:eastAsia="pt-BR"/>
        </w:rPr>
        <w:t>Cumpra-se.</w:t>
      </w:r>
    </w:p>
    <w:p w14:paraId="5725E903" w14:textId="77777777" w:rsidR="00D7671A" w:rsidRDefault="00D7671A" w:rsidP="00CA1893">
      <w:pPr>
        <w:spacing w:before="120"/>
        <w:jc w:val="center"/>
        <w:rPr>
          <w:rFonts w:ascii="Arial" w:eastAsia="Times New Roman" w:hAnsi="Arial"/>
          <w:sz w:val="24"/>
          <w:szCs w:val="24"/>
          <w:lang w:eastAsia="pt-BR"/>
        </w:rPr>
      </w:pPr>
      <w:r w:rsidRPr="00D7671A">
        <w:rPr>
          <w:rFonts w:ascii="Arial" w:eastAsia="Times New Roman" w:hAnsi="Arial"/>
          <w:sz w:val="24"/>
          <w:szCs w:val="24"/>
          <w:lang w:eastAsia="pt-BR"/>
        </w:rPr>
        <w:t>Curitiba, em 17 de janeiro de 2006.</w:t>
      </w:r>
    </w:p>
    <w:p w14:paraId="6468FA18" w14:textId="77777777" w:rsidR="00AE2DF4" w:rsidRDefault="00AE2DF4" w:rsidP="00CA1893">
      <w:pPr>
        <w:spacing w:before="120"/>
        <w:ind w:firstLine="1134"/>
        <w:jc w:val="center"/>
        <w:rPr>
          <w:rFonts w:ascii="Arial" w:eastAsia="Times New Roman" w:hAnsi="Arial"/>
          <w:sz w:val="24"/>
          <w:szCs w:val="24"/>
          <w:lang w:eastAsia="pt-BR"/>
        </w:rPr>
      </w:pPr>
    </w:p>
    <w:p w14:paraId="2A4F5B0A" w14:textId="77777777" w:rsidR="00AE2DF4" w:rsidRPr="00876B25" w:rsidRDefault="00AE2DF4" w:rsidP="00CA1893">
      <w:pPr>
        <w:spacing w:before="120"/>
        <w:ind w:firstLine="1134"/>
        <w:jc w:val="center"/>
        <w:rPr>
          <w:rFonts w:ascii="Arial" w:eastAsia="Times New Roman" w:hAnsi="Arial"/>
          <w:b/>
          <w:bCs/>
          <w:sz w:val="24"/>
          <w:szCs w:val="24"/>
          <w:lang w:eastAsia="pt-BR"/>
        </w:rPr>
      </w:pPr>
    </w:p>
    <w:p w14:paraId="41644CD3" w14:textId="77777777" w:rsidR="00D7671A" w:rsidRPr="00876B25" w:rsidRDefault="00D7671A" w:rsidP="00CA1893">
      <w:pPr>
        <w:spacing w:before="120"/>
        <w:jc w:val="center"/>
        <w:rPr>
          <w:rFonts w:ascii="Arial" w:eastAsia="Times New Roman" w:hAnsi="Arial"/>
          <w:b/>
          <w:bCs/>
          <w:sz w:val="24"/>
          <w:szCs w:val="24"/>
          <w:lang w:eastAsia="pt-BR"/>
        </w:rPr>
      </w:pPr>
      <w:r w:rsidRPr="00876B25">
        <w:rPr>
          <w:rFonts w:ascii="Arial" w:eastAsia="Times New Roman" w:hAnsi="Arial"/>
          <w:b/>
          <w:bCs/>
          <w:sz w:val="24"/>
          <w:szCs w:val="24"/>
          <w:lang w:eastAsia="pt-BR"/>
        </w:rPr>
        <w:t>HEINZ GEORG HERWIG</w:t>
      </w:r>
    </w:p>
    <w:p w14:paraId="2A94473A" w14:textId="61DF6EDD" w:rsidR="003D5109" w:rsidRPr="003D5109" w:rsidRDefault="00D7671A" w:rsidP="00CA1893">
      <w:pPr>
        <w:spacing w:before="120"/>
        <w:jc w:val="center"/>
      </w:pPr>
      <w:r w:rsidRPr="00D7671A">
        <w:rPr>
          <w:rFonts w:ascii="Arial" w:eastAsia="Times New Roman" w:hAnsi="Arial"/>
          <w:sz w:val="24"/>
          <w:szCs w:val="24"/>
          <w:lang w:eastAsia="pt-BR"/>
        </w:rPr>
        <w:t>Presidente</w:t>
      </w:r>
    </w:p>
    <w:sectPr w:rsidR="003D5109" w:rsidRPr="003D5109" w:rsidSect="005C5BFA">
      <w:headerReference w:type="default" r:id="rId7"/>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5261" w14:textId="77777777" w:rsidR="007D3D85" w:rsidRDefault="007D3D85" w:rsidP="003D5109">
      <w:pPr>
        <w:spacing w:after="0" w:line="240" w:lineRule="auto"/>
      </w:pPr>
      <w:r>
        <w:separator/>
      </w:r>
    </w:p>
  </w:endnote>
  <w:endnote w:type="continuationSeparator" w:id="0">
    <w:p w14:paraId="01B28A37" w14:textId="77777777" w:rsidR="007D3D85" w:rsidRDefault="007D3D85" w:rsidP="003D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BCD3" w14:textId="77777777" w:rsidR="007D3D85" w:rsidRDefault="007D3D85" w:rsidP="003D5109">
      <w:pPr>
        <w:spacing w:after="0" w:line="240" w:lineRule="auto"/>
      </w:pPr>
      <w:r>
        <w:separator/>
      </w:r>
    </w:p>
  </w:footnote>
  <w:footnote w:type="continuationSeparator" w:id="0">
    <w:p w14:paraId="5F264A04" w14:textId="77777777" w:rsidR="007D3D85" w:rsidRDefault="007D3D85" w:rsidP="003D5109">
      <w:pPr>
        <w:spacing w:after="0" w:line="240" w:lineRule="auto"/>
      </w:pPr>
      <w:r>
        <w:continuationSeparator/>
      </w:r>
    </w:p>
  </w:footnote>
  <w:footnote w:id="1">
    <w:p w14:paraId="569AC488" w14:textId="77777777" w:rsidR="003D5109" w:rsidRPr="001F7238" w:rsidRDefault="003D5109" w:rsidP="003D5109">
      <w:pPr>
        <w:pStyle w:val="Textodenotaderodap"/>
        <w:rPr>
          <w:rFonts w:ascii="Arial" w:hAnsi="Arial" w:cs="Arial"/>
        </w:rPr>
      </w:pPr>
      <w:r w:rsidRPr="00BA2525">
        <w:rPr>
          <w:rStyle w:val="Refdenotaderodap"/>
        </w:rPr>
        <w:sym w:font="Symbol" w:char="F02A"/>
      </w:r>
      <w:r>
        <w:t xml:space="preserve"> </w:t>
      </w:r>
      <w:bookmarkStart w:id="0" w:name="_Hlk870416"/>
      <w:bookmarkStart w:id="1" w:name="_Hlk870966"/>
      <w:r w:rsidRPr="001F7238">
        <w:rPr>
          <w:rFonts w:ascii="Arial" w:hAnsi="Arial" w:cs="Arial"/>
          <w:b/>
        </w:rPr>
        <w:t>N</w:t>
      </w:r>
      <w:r>
        <w:rPr>
          <w:rFonts w:ascii="Arial" w:hAnsi="Arial" w:cs="Arial"/>
          <w:b/>
        </w:rPr>
        <w:t>ota</w:t>
      </w:r>
      <w:r w:rsidR="00CF150A">
        <w:rPr>
          <w:rFonts w:ascii="Arial" w:hAnsi="Arial" w:cs="Arial"/>
          <w:b/>
        </w:rPr>
        <w:t>s</w:t>
      </w:r>
      <w:r w:rsidRPr="001F7238">
        <w:rPr>
          <w:rFonts w:ascii="Arial" w:hAnsi="Arial" w:cs="Arial"/>
          <w:b/>
        </w:rPr>
        <w:t xml:space="preserve"> da Biblioteca:</w:t>
      </w:r>
    </w:p>
    <w:bookmarkEnd w:id="0"/>
    <w:bookmarkEnd w:id="1"/>
    <w:p w14:paraId="0A728B92" w14:textId="2CE0E96F" w:rsidR="00CF150A" w:rsidRPr="00AE2C88" w:rsidRDefault="00F1447C" w:rsidP="00CF150A">
      <w:pPr>
        <w:spacing w:after="0" w:line="240" w:lineRule="auto"/>
        <w:ind w:left="142" w:hanging="142"/>
        <w:rPr>
          <w:rFonts w:ascii="Arial" w:hAnsi="Arial" w:cs="Arial"/>
          <w:sz w:val="20"/>
          <w:szCs w:val="20"/>
        </w:rPr>
      </w:pPr>
      <w:r>
        <w:rPr>
          <w:rFonts w:ascii="Arial" w:hAnsi="Arial" w:cs="Arial"/>
          <w:sz w:val="18"/>
          <w:szCs w:val="18"/>
        </w:rPr>
        <w:t xml:space="preserve">  </w:t>
      </w:r>
      <w:r w:rsidR="00CF150A" w:rsidRPr="00C42DCA">
        <w:rPr>
          <w:rFonts w:ascii="Arial" w:hAnsi="Arial" w:cs="Arial"/>
          <w:sz w:val="18"/>
          <w:szCs w:val="18"/>
        </w:rPr>
        <w:t xml:space="preserve"> </w:t>
      </w:r>
      <w:r w:rsidR="00CF150A" w:rsidRPr="00AE2C88">
        <w:rPr>
          <w:rFonts w:ascii="Arial" w:hAnsi="Arial" w:cs="Arial"/>
          <w:sz w:val="20"/>
          <w:szCs w:val="20"/>
        </w:rPr>
        <w:t>Este texto não substitui o publicado no periódico</w:t>
      </w:r>
      <w:r w:rsidR="00580A36">
        <w:rPr>
          <w:rFonts w:ascii="Arial" w:hAnsi="Arial" w:cs="Arial"/>
          <w:sz w:val="20"/>
          <w:szCs w:val="20"/>
        </w:rPr>
        <w:t>:</w:t>
      </w:r>
      <w:r w:rsidR="00CF150A" w:rsidRPr="00AE2C88">
        <w:rPr>
          <w:rFonts w:ascii="Arial" w:hAnsi="Arial" w:cs="Arial"/>
          <w:sz w:val="20"/>
          <w:szCs w:val="20"/>
        </w:rPr>
        <w:t xml:space="preserve"> </w:t>
      </w:r>
      <w:hyperlink r:id="rId1" w:history="1">
        <w:r w:rsidR="00CF150A" w:rsidRPr="00AE2C88">
          <w:rPr>
            <w:rStyle w:val="Hyperlink"/>
            <w:rFonts w:cs="Arial"/>
            <w:b/>
            <w:bCs/>
            <w:sz w:val="20"/>
            <w:szCs w:val="20"/>
          </w:rPr>
          <w:t>Atos Oficiais do Tribunal de Contas do Estado do Paraná</w:t>
        </w:r>
        <w:r w:rsidR="00CF150A" w:rsidRPr="00AE2C88">
          <w:rPr>
            <w:rStyle w:val="Hyperlink"/>
            <w:rFonts w:cs="Arial"/>
            <w:bCs/>
            <w:sz w:val="20"/>
            <w:szCs w:val="20"/>
          </w:rPr>
          <w:t>,</w:t>
        </w:r>
        <w:r w:rsidR="00CF150A" w:rsidRPr="00AE2C88">
          <w:rPr>
            <w:rStyle w:val="Hyperlink"/>
            <w:rFonts w:cs="Arial"/>
            <w:sz w:val="20"/>
            <w:szCs w:val="20"/>
          </w:rPr>
          <w:t xml:space="preserve"> Curitiba, PR, n. 32, 20 jan. 2006, p. 35</w:t>
        </w:r>
      </w:hyperlink>
      <w:r w:rsidR="00CF150A" w:rsidRPr="00AE2C88">
        <w:rPr>
          <w:rFonts w:ascii="Arial" w:hAnsi="Arial" w:cs="Arial"/>
          <w:sz w:val="20"/>
          <w:szCs w:val="20"/>
        </w:rPr>
        <w:t>.</w:t>
      </w:r>
    </w:p>
    <w:p w14:paraId="4684ECB8" w14:textId="2F959F67" w:rsidR="003D5109" w:rsidRPr="003D5109" w:rsidRDefault="003D5109" w:rsidP="00CF150A">
      <w:pPr>
        <w:pStyle w:val="NormalWeb"/>
        <w:spacing w:before="0" w:beforeAutospacing="0" w:after="0" w:afterAutospacing="0"/>
        <w:ind w:left="142"/>
        <w:jc w:val="both"/>
        <w:textAlignment w:val="top"/>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D952" w14:textId="77777777" w:rsidR="00AE2DF4" w:rsidRPr="00C404BE" w:rsidRDefault="00984833" w:rsidP="00AE2DF4">
    <w:pPr>
      <w:pStyle w:val="Cabealho"/>
      <w:spacing w:before="360"/>
      <w:ind w:left="1134"/>
      <w:jc w:val="center"/>
      <w:rPr>
        <w:rFonts w:ascii="Arial" w:hAnsi="Arial" w:cs="Arial"/>
        <w:b/>
        <w:sz w:val="28"/>
        <w:szCs w:val="28"/>
      </w:rPr>
    </w:pPr>
    <w:r>
      <w:rPr>
        <w:noProof/>
      </w:rPr>
      <w:drawing>
        <wp:anchor distT="0" distB="0" distL="114300" distR="114300" simplePos="0" relativeHeight="251658240" behindDoc="0" locked="0" layoutInCell="1" allowOverlap="1" wp14:anchorId="51581071" wp14:editId="3A7BB19E">
          <wp:simplePos x="0" y="0"/>
          <wp:positionH relativeFrom="column">
            <wp:posOffset>35560</wp:posOffset>
          </wp:positionH>
          <wp:positionV relativeFrom="paragraph">
            <wp:posOffset>12700</wp:posOffset>
          </wp:positionV>
          <wp:extent cx="605790" cy="712470"/>
          <wp:effectExtent l="0" t="0" r="0" b="0"/>
          <wp:wrapSquare wrapText="bothSides"/>
          <wp:docPr id="1"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AE2DF4" w:rsidRPr="00C404BE">
      <w:rPr>
        <w:rFonts w:ascii="Arial" w:hAnsi="Arial" w:cs="Arial"/>
        <w:b/>
        <w:sz w:val="28"/>
        <w:szCs w:val="28"/>
      </w:rPr>
      <w:t>TRIBUNAL DE CONTAS DO ESTADO DO PARANÁ</w:t>
    </w:r>
  </w:p>
  <w:p w14:paraId="03E1188D" w14:textId="77777777" w:rsidR="00AE2DF4" w:rsidRDefault="00AE2DF4">
    <w:pPr>
      <w:pStyle w:val="Cabealho"/>
    </w:pPr>
  </w:p>
  <w:p w14:paraId="6D779324" w14:textId="77777777" w:rsidR="00AE2DF4" w:rsidRDefault="00AE2D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2055"/>
    <w:multiLevelType w:val="hybridMultilevel"/>
    <w:tmpl w:val="B41053A6"/>
    <w:lvl w:ilvl="0" w:tplc="6CBE2AD0">
      <w:start w:val="1"/>
      <w:numFmt w:val="lowerLetter"/>
      <w:lvlText w:val="%1)"/>
      <w:lvlJc w:val="left"/>
      <w:pPr>
        <w:ind w:left="1854" w:hanging="360"/>
      </w:pPr>
      <w:rPr>
        <w:rFonts w:ascii="Arial" w:hAnsi="Arial" w:hint="default"/>
        <w:i w:val="0"/>
        <w:iCs w:val="0"/>
        <w:sz w:val="24"/>
        <w:szCs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33D66919"/>
    <w:multiLevelType w:val="hybridMultilevel"/>
    <w:tmpl w:val="E0F4A396"/>
    <w:lvl w:ilvl="0" w:tplc="5D9A50AC">
      <w:start w:val="1"/>
      <w:numFmt w:val="lowerLetter"/>
      <w:lvlText w:val="%1)"/>
      <w:lvlJc w:val="left"/>
      <w:pPr>
        <w:ind w:left="1854" w:hanging="360"/>
      </w:pPr>
      <w:rPr>
        <w:rFonts w:ascii="Arial" w:hAnsi="Arial" w:hint="default"/>
        <w:b w:val="0"/>
        <w:i w:val="0"/>
        <w:iCs w:val="0"/>
        <w:sz w:val="22"/>
        <w:szCs w:val="22"/>
        <w:u w:val="none"/>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53F40F58"/>
    <w:multiLevelType w:val="hybridMultilevel"/>
    <w:tmpl w:val="9210F9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7506556">
    <w:abstractNumId w:val="2"/>
  </w:num>
  <w:num w:numId="2" w16cid:durableId="1487280032">
    <w:abstractNumId w:val="1"/>
  </w:num>
  <w:num w:numId="3" w16cid:durableId="52679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09"/>
    <w:rsid w:val="0015408B"/>
    <w:rsid w:val="00294205"/>
    <w:rsid w:val="002A7B3D"/>
    <w:rsid w:val="003C536B"/>
    <w:rsid w:val="003D5109"/>
    <w:rsid w:val="00580A36"/>
    <w:rsid w:val="005863C8"/>
    <w:rsid w:val="005907A7"/>
    <w:rsid w:val="005C5BFA"/>
    <w:rsid w:val="006A64D3"/>
    <w:rsid w:val="006F332A"/>
    <w:rsid w:val="007D3D85"/>
    <w:rsid w:val="00826124"/>
    <w:rsid w:val="00876B25"/>
    <w:rsid w:val="008C001E"/>
    <w:rsid w:val="008E0B02"/>
    <w:rsid w:val="00984833"/>
    <w:rsid w:val="009936F6"/>
    <w:rsid w:val="00AE2C88"/>
    <w:rsid w:val="00AE2DF4"/>
    <w:rsid w:val="00BD1E4A"/>
    <w:rsid w:val="00CA1893"/>
    <w:rsid w:val="00CF150A"/>
    <w:rsid w:val="00D7671A"/>
    <w:rsid w:val="00DB3D9B"/>
    <w:rsid w:val="00E53C45"/>
    <w:rsid w:val="00F1447C"/>
    <w:rsid w:val="00F63493"/>
    <w:rsid w:val="00F863C6"/>
    <w:rsid w:val="00FB4044"/>
    <w:rsid w:val="00FD47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43E64"/>
  <w15:chartTrackingRefBased/>
  <w15:docId w15:val="{FA2EB135-07CA-45C5-9ACE-E3E2D962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D5109"/>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3D5109"/>
    <w:rPr>
      <w:rFonts w:ascii="Times New Roman" w:eastAsia="Times New Roman" w:hAnsi="Times New Roman"/>
      <w:sz w:val="24"/>
      <w:szCs w:val="24"/>
    </w:rPr>
  </w:style>
  <w:style w:type="paragraph" w:styleId="Textodenotaderodap">
    <w:name w:val="footnote text"/>
    <w:basedOn w:val="Normal"/>
    <w:link w:val="TextodenotaderodapChar"/>
    <w:unhideWhenUsed/>
    <w:rsid w:val="003D5109"/>
    <w:pPr>
      <w:spacing w:after="0" w:line="240" w:lineRule="auto"/>
    </w:pPr>
    <w:rPr>
      <w:sz w:val="20"/>
      <w:szCs w:val="20"/>
    </w:rPr>
  </w:style>
  <w:style w:type="character" w:customStyle="1" w:styleId="TextodenotaderodapChar">
    <w:name w:val="Texto de nota de rodapé Char"/>
    <w:link w:val="Textodenotaderodap"/>
    <w:rsid w:val="003D5109"/>
    <w:rPr>
      <w:lang w:eastAsia="en-US"/>
    </w:rPr>
  </w:style>
  <w:style w:type="character" w:styleId="Refdenotaderodap">
    <w:name w:val="footnote reference"/>
    <w:unhideWhenUsed/>
    <w:rsid w:val="003D5109"/>
    <w:rPr>
      <w:vertAlign w:val="superscript"/>
    </w:rPr>
  </w:style>
  <w:style w:type="paragraph" w:styleId="Corpodetexto">
    <w:name w:val="Body Text"/>
    <w:basedOn w:val="Normal"/>
    <w:link w:val="CorpodetextoChar"/>
    <w:rsid w:val="003D5109"/>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rsid w:val="003D5109"/>
    <w:rPr>
      <w:rFonts w:ascii="Times New Roman" w:eastAsia="Times New Roman" w:hAnsi="Times New Roman"/>
      <w:sz w:val="24"/>
      <w:szCs w:val="24"/>
    </w:rPr>
  </w:style>
  <w:style w:type="character" w:styleId="Hyperlink">
    <w:name w:val="Hyperlink"/>
    <w:rsid w:val="003D5109"/>
    <w:rPr>
      <w:rFonts w:ascii="Arial" w:hAnsi="Arial"/>
      <w:color w:val="0000FF"/>
      <w:sz w:val="16"/>
      <w:u w:val="single"/>
    </w:rPr>
  </w:style>
  <w:style w:type="paragraph" w:styleId="NormalWeb">
    <w:name w:val="Normal (Web)"/>
    <w:basedOn w:val="Normal"/>
    <w:uiPriority w:val="99"/>
    <w:rsid w:val="003D5109"/>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3D5109"/>
    <w:rPr>
      <w:b/>
      <w:bCs/>
    </w:rPr>
  </w:style>
  <w:style w:type="paragraph" w:customStyle="1" w:styleId="Ementa">
    <w:name w:val="Ementa"/>
    <w:basedOn w:val="Normal"/>
    <w:rsid w:val="003D5109"/>
    <w:pPr>
      <w:spacing w:before="240" w:after="240" w:line="240" w:lineRule="auto"/>
      <w:ind w:left="4253"/>
      <w:jc w:val="both"/>
    </w:pPr>
    <w:rPr>
      <w:rFonts w:ascii="Arial" w:eastAsia="Times New Roman" w:hAnsi="Arial"/>
      <w:bCs/>
      <w:szCs w:val="24"/>
      <w:lang w:eastAsia="pt-BR"/>
    </w:rPr>
  </w:style>
  <w:style w:type="paragraph" w:customStyle="1" w:styleId="Texto">
    <w:name w:val="Texto"/>
    <w:basedOn w:val="Normal"/>
    <w:rsid w:val="003D5109"/>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ArtigosOrdinais">
    <w:name w:val="ArtigosOrdinais"/>
    <w:basedOn w:val="Normal"/>
    <w:rsid w:val="003D5109"/>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character" w:styleId="MenoPendente">
    <w:name w:val="Unresolved Mention"/>
    <w:uiPriority w:val="99"/>
    <w:semiHidden/>
    <w:unhideWhenUsed/>
    <w:rsid w:val="00D7671A"/>
    <w:rPr>
      <w:color w:val="605E5C"/>
      <w:shd w:val="clear" w:color="auto" w:fill="E1DFDD"/>
    </w:rPr>
  </w:style>
  <w:style w:type="paragraph" w:styleId="Rodap">
    <w:name w:val="footer"/>
    <w:basedOn w:val="Normal"/>
    <w:link w:val="RodapChar"/>
    <w:uiPriority w:val="99"/>
    <w:unhideWhenUsed/>
    <w:rsid w:val="00AE2DF4"/>
    <w:pPr>
      <w:tabs>
        <w:tab w:val="center" w:pos="4252"/>
        <w:tab w:val="right" w:pos="8504"/>
      </w:tabs>
    </w:pPr>
  </w:style>
  <w:style w:type="character" w:customStyle="1" w:styleId="RodapChar">
    <w:name w:val="Rodapé Char"/>
    <w:link w:val="Rodap"/>
    <w:uiPriority w:val="99"/>
    <w:rsid w:val="00AE2DF4"/>
    <w:rPr>
      <w:sz w:val="22"/>
      <w:szCs w:val="22"/>
      <w:lang w:eastAsia="en-US"/>
    </w:rPr>
  </w:style>
  <w:style w:type="character" w:customStyle="1" w:styleId="TtuloChar1">
    <w:name w:val="Título Char1"/>
    <w:uiPriority w:val="10"/>
    <w:rsid w:val="00CF150A"/>
    <w:rPr>
      <w:rFonts w:ascii="Cambria" w:eastAsia="Times New Roman" w:hAnsi="Cambria" w:cs="Times New Roman"/>
      <w:color w:val="17365D"/>
      <w:spacing w:val="5"/>
      <w:kern w:val="28"/>
      <w:sz w:val="52"/>
      <w:szCs w:val="52"/>
    </w:rPr>
  </w:style>
  <w:style w:type="character" w:styleId="nfase">
    <w:name w:val="Emphasis"/>
    <w:uiPriority w:val="20"/>
    <w:qFormat/>
    <w:rsid w:val="00CF150A"/>
    <w:rPr>
      <w:b/>
      <w:bCs/>
      <w:i w:val="0"/>
      <w:iCs w:val="0"/>
    </w:rPr>
  </w:style>
  <w:style w:type="character" w:styleId="HiperlinkVisitado">
    <w:name w:val="FollowedHyperlink"/>
    <w:basedOn w:val="Fontepargpadro"/>
    <w:uiPriority w:val="99"/>
    <w:semiHidden/>
    <w:unhideWhenUsed/>
    <w:rsid w:val="008C0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1.tce.pr.gov.br/multimidia/2006/1/pdf/0000057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1440</Words>
  <Characters>7776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cp:lastModifiedBy>
  <cp:revision>16</cp:revision>
  <dcterms:created xsi:type="dcterms:W3CDTF">2019-09-12T16:47:00Z</dcterms:created>
  <dcterms:modified xsi:type="dcterms:W3CDTF">2022-06-28T20:26:00Z</dcterms:modified>
</cp:coreProperties>
</file>