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62202" w14:textId="77777777" w:rsidR="003D5109" w:rsidRDefault="003D5109" w:rsidP="003D5109">
      <w:pPr>
        <w:pStyle w:val="Corpodetexto"/>
        <w:spacing w:before="240"/>
        <w:jc w:val="center"/>
        <w:rPr>
          <w:rFonts w:ascii="Arial" w:hAnsi="Arial" w:cs="Arial"/>
          <w:b/>
          <w:sz w:val="28"/>
          <w:szCs w:val="28"/>
        </w:rPr>
      </w:pPr>
      <w:r w:rsidRPr="006A4ED3">
        <w:rPr>
          <w:rFonts w:ascii="Arial" w:hAnsi="Arial" w:cs="Arial"/>
          <w:b/>
          <w:sz w:val="28"/>
          <w:szCs w:val="28"/>
        </w:rPr>
        <w:t xml:space="preserve">INSTRUÇÃO </w:t>
      </w:r>
      <w:r>
        <w:rPr>
          <w:rFonts w:ascii="Arial" w:hAnsi="Arial" w:cs="Arial"/>
          <w:b/>
          <w:sz w:val="28"/>
          <w:szCs w:val="28"/>
        </w:rPr>
        <w:t xml:space="preserve">NORMATIVA </w:t>
      </w:r>
      <w:r w:rsidRPr="000A1B86">
        <w:rPr>
          <w:rFonts w:ascii="Arial" w:hAnsi="Arial" w:cs="Arial"/>
          <w:b/>
          <w:sz w:val="28"/>
          <w:szCs w:val="28"/>
        </w:rPr>
        <w:t xml:space="preserve">Nº </w:t>
      </w:r>
      <w:r>
        <w:rPr>
          <w:rFonts w:ascii="Arial" w:hAnsi="Arial" w:cs="Arial"/>
          <w:b/>
          <w:sz w:val="28"/>
          <w:szCs w:val="28"/>
        </w:rPr>
        <w:t>1</w:t>
      </w:r>
      <w:r w:rsidRPr="000A1B86">
        <w:rPr>
          <w:rFonts w:ascii="Arial" w:hAnsi="Arial" w:cs="Arial"/>
          <w:b/>
          <w:sz w:val="28"/>
          <w:szCs w:val="28"/>
        </w:rPr>
        <w:t>/</w:t>
      </w:r>
      <w:r>
        <w:rPr>
          <w:rFonts w:ascii="Arial" w:hAnsi="Arial" w:cs="Arial"/>
          <w:b/>
          <w:sz w:val="28"/>
          <w:szCs w:val="28"/>
        </w:rPr>
        <w:t>2006</w:t>
      </w:r>
      <w:r w:rsidRPr="00BA2525">
        <w:rPr>
          <w:rStyle w:val="Refdenotaderodap"/>
          <w:rFonts w:ascii="Arial" w:hAnsi="Arial" w:cs="Arial"/>
          <w:b/>
          <w:sz w:val="28"/>
          <w:szCs w:val="28"/>
        </w:rPr>
        <w:footnoteReference w:customMarkFollows="1" w:id="1"/>
        <w:sym w:font="Symbol" w:char="F02A"/>
      </w:r>
    </w:p>
    <w:p w14:paraId="3789EFB4" w14:textId="77777777" w:rsidR="003D5109" w:rsidRPr="00876B25" w:rsidRDefault="003D5109" w:rsidP="005863C8">
      <w:pPr>
        <w:pStyle w:val="Ementa"/>
        <w:spacing w:before="360" w:after="360"/>
        <w:ind w:left="4536"/>
        <w:rPr>
          <w:rFonts w:cs="Arial"/>
          <w:i/>
          <w:szCs w:val="22"/>
        </w:rPr>
      </w:pPr>
      <w:r w:rsidRPr="00876B25">
        <w:rPr>
          <w:rFonts w:cs="Arial"/>
          <w:i/>
          <w:szCs w:val="22"/>
        </w:rPr>
        <w:t>Dispõe sobre critérios contábeis e técnicos resultantes da adoção da Portaria nº 447, de 13 de setembro de 2002, da Secretaria do Tesouro Nacional e estabelece outras providências para encerramento de balanço de 2005.</w:t>
      </w:r>
    </w:p>
    <w:p w14:paraId="41BDB0A5" w14:textId="0382F047"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D7671A">
        <w:rPr>
          <w:rFonts w:ascii="Arial" w:eastAsia="Times New Roman" w:hAnsi="Arial"/>
          <w:b/>
          <w:sz w:val="24"/>
          <w:szCs w:val="24"/>
          <w:lang w:eastAsia="pt-BR"/>
        </w:rPr>
        <w:t>Art. 1º</w:t>
      </w:r>
      <w:r w:rsidRPr="00D7671A">
        <w:rPr>
          <w:rFonts w:ascii="Arial" w:eastAsia="Times New Roman" w:hAnsi="Arial"/>
          <w:sz w:val="24"/>
          <w:szCs w:val="24"/>
          <w:lang w:eastAsia="pt-BR"/>
        </w:rPr>
        <w:t xml:space="preserve"> Considerada a determinação contida no inciso I do artigo 35 da </w:t>
      </w:r>
      <w:r w:rsidRPr="00294205">
        <w:rPr>
          <w:rFonts w:ascii="Arial" w:eastAsia="Times New Roman" w:hAnsi="Arial"/>
          <w:sz w:val="24"/>
          <w:szCs w:val="24"/>
          <w:lang w:eastAsia="pt-BR"/>
        </w:rPr>
        <w:t>Lei nº 4.320/67</w:t>
      </w:r>
      <w:r w:rsidRPr="00D7671A">
        <w:rPr>
          <w:rFonts w:ascii="Arial" w:eastAsia="Times New Roman" w:hAnsi="Arial"/>
          <w:sz w:val="24"/>
          <w:szCs w:val="24"/>
          <w:lang w:eastAsia="pt-BR"/>
        </w:rPr>
        <w:t>, segundo a qual pertencem ao exercício financeiro as receitas nele arrecadadas, para o encerramento contábil do exercício de 2005, ficam estabelecidas as regras constantes desta Instrução, relativamente à escrituração de Restos a Receber e Restos a Receber de Interferências Financeiras.</w:t>
      </w:r>
    </w:p>
    <w:p w14:paraId="252E8522" w14:textId="77777777"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D7671A">
        <w:rPr>
          <w:rFonts w:ascii="Arial" w:eastAsia="Times New Roman" w:hAnsi="Arial"/>
          <w:b/>
          <w:sz w:val="24"/>
          <w:szCs w:val="24"/>
          <w:lang w:eastAsia="pt-BR"/>
        </w:rPr>
        <w:t>Art. 2º</w:t>
      </w:r>
      <w:r w:rsidRPr="00D7671A">
        <w:rPr>
          <w:rFonts w:ascii="Arial" w:eastAsia="Times New Roman" w:hAnsi="Arial"/>
          <w:sz w:val="24"/>
          <w:szCs w:val="24"/>
          <w:lang w:eastAsia="pt-BR"/>
        </w:rPr>
        <w:t xml:space="preserve"> Considerada sob a ótica macroorçamentária a arrecadação ocorrida e perfeitamente acabada, dentro do exercício de 2005, de receitas cuja titularidade pertence aos Municípios, em que o Órgão arrecadador atua como agente centralizador e redistribuidor, os municípios contabilizarão como receitas do orçamento de 2005 as parcelas que venham a ser financeiramente entregues a estes no mês janeiro de 2006.</w:t>
      </w:r>
    </w:p>
    <w:p w14:paraId="04B61F01" w14:textId="77777777"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D7671A">
        <w:rPr>
          <w:rFonts w:ascii="Arial" w:eastAsia="Times New Roman" w:hAnsi="Arial"/>
          <w:sz w:val="24"/>
          <w:szCs w:val="24"/>
          <w:lang w:eastAsia="pt-BR"/>
        </w:rPr>
        <w:t xml:space="preserve">Parágrafo único. Representa exemplo de Restos a Receber, a arrecadação ocorrida no orçamento de 2005 dos seguintes fundos de participação, com cotas pertencentes aos municípios: </w:t>
      </w:r>
    </w:p>
    <w:p w14:paraId="59D01EF0" w14:textId="77777777" w:rsidR="00D7671A" w:rsidRPr="00D7671A" w:rsidRDefault="00D7671A" w:rsidP="00CA1893">
      <w:pPr>
        <w:numPr>
          <w:ilvl w:val="0"/>
          <w:numId w:val="2"/>
        </w:numPr>
        <w:tabs>
          <w:tab w:val="left" w:pos="1418"/>
        </w:tabs>
        <w:spacing w:before="120" w:after="0" w:line="240" w:lineRule="auto"/>
        <w:ind w:hanging="720"/>
        <w:jc w:val="both"/>
        <w:rPr>
          <w:rFonts w:ascii="Arial" w:eastAsia="Times New Roman" w:hAnsi="Arial"/>
          <w:sz w:val="24"/>
          <w:szCs w:val="24"/>
          <w:lang w:eastAsia="pt-BR"/>
        </w:rPr>
      </w:pPr>
      <w:r w:rsidRPr="00D7671A">
        <w:rPr>
          <w:rFonts w:ascii="Arial" w:eastAsia="Times New Roman" w:hAnsi="Arial"/>
          <w:sz w:val="24"/>
          <w:szCs w:val="24"/>
          <w:lang w:eastAsia="pt-BR"/>
        </w:rPr>
        <w:t xml:space="preserve">do ICMS; </w:t>
      </w:r>
    </w:p>
    <w:p w14:paraId="203FB229" w14:textId="77777777" w:rsidR="00D7671A" w:rsidRPr="00D7671A" w:rsidRDefault="00D7671A" w:rsidP="00CA1893">
      <w:pPr>
        <w:numPr>
          <w:ilvl w:val="0"/>
          <w:numId w:val="2"/>
        </w:numPr>
        <w:tabs>
          <w:tab w:val="left" w:pos="1418"/>
          <w:tab w:val="left" w:pos="1560"/>
        </w:tabs>
        <w:spacing w:before="120" w:after="0" w:line="240" w:lineRule="auto"/>
        <w:ind w:hanging="720"/>
        <w:jc w:val="both"/>
        <w:rPr>
          <w:rFonts w:ascii="Arial" w:eastAsia="Times New Roman" w:hAnsi="Arial"/>
          <w:sz w:val="24"/>
          <w:szCs w:val="24"/>
          <w:lang w:eastAsia="pt-BR"/>
        </w:rPr>
      </w:pPr>
      <w:r w:rsidRPr="00D7671A">
        <w:rPr>
          <w:rFonts w:ascii="Arial" w:eastAsia="Times New Roman" w:hAnsi="Arial"/>
          <w:sz w:val="24"/>
          <w:szCs w:val="24"/>
          <w:lang w:eastAsia="pt-BR"/>
        </w:rPr>
        <w:t xml:space="preserve">FPM e </w:t>
      </w:r>
    </w:p>
    <w:p w14:paraId="46A2819F" w14:textId="77777777" w:rsidR="00D7671A" w:rsidRPr="00D7671A" w:rsidRDefault="00D7671A" w:rsidP="00CA1893">
      <w:pPr>
        <w:numPr>
          <w:ilvl w:val="0"/>
          <w:numId w:val="2"/>
        </w:numPr>
        <w:tabs>
          <w:tab w:val="left" w:pos="1418"/>
        </w:tabs>
        <w:spacing w:before="120" w:after="0" w:line="240" w:lineRule="auto"/>
        <w:ind w:hanging="720"/>
        <w:jc w:val="both"/>
        <w:rPr>
          <w:rFonts w:ascii="Arial" w:eastAsia="Times New Roman" w:hAnsi="Arial"/>
          <w:sz w:val="24"/>
          <w:szCs w:val="24"/>
          <w:lang w:eastAsia="pt-BR"/>
        </w:rPr>
      </w:pPr>
      <w:r w:rsidRPr="00D7671A">
        <w:rPr>
          <w:rFonts w:ascii="Arial" w:eastAsia="Times New Roman" w:hAnsi="Arial"/>
          <w:sz w:val="24"/>
          <w:szCs w:val="24"/>
          <w:lang w:eastAsia="pt-BR"/>
        </w:rPr>
        <w:t>Transferências de Recursos do FUNDEF.</w:t>
      </w:r>
    </w:p>
    <w:p w14:paraId="6353897A" w14:textId="6415EF48"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D7671A">
        <w:rPr>
          <w:rFonts w:ascii="Arial" w:eastAsia="Times New Roman" w:hAnsi="Arial"/>
          <w:b/>
          <w:sz w:val="24"/>
          <w:szCs w:val="24"/>
          <w:lang w:eastAsia="pt-BR"/>
        </w:rPr>
        <w:t>Art. 3º</w:t>
      </w:r>
      <w:r w:rsidRPr="00D7671A">
        <w:rPr>
          <w:rFonts w:ascii="Arial" w:eastAsia="Times New Roman" w:hAnsi="Arial"/>
          <w:sz w:val="24"/>
          <w:szCs w:val="24"/>
          <w:lang w:eastAsia="pt-BR"/>
        </w:rPr>
        <w:t xml:space="preserve"> A escrituração contábil dos eventos respectivos aos Restos a Receber deverá ser efetivada nas contas apropriadas do Plano de Contas Único dos Municípios, observando-se o roteiro exemplificativo apresentado na </w:t>
      </w:r>
      <w:r w:rsidRPr="00294205">
        <w:rPr>
          <w:rFonts w:ascii="Arial" w:eastAsia="Times New Roman" w:hAnsi="Arial"/>
          <w:sz w:val="24"/>
          <w:szCs w:val="24"/>
          <w:lang w:eastAsia="pt-BR"/>
        </w:rPr>
        <w:t>Portaria STN nº 447/2002</w:t>
      </w:r>
      <w:r w:rsidRPr="00D7671A">
        <w:rPr>
          <w:rFonts w:ascii="Arial" w:eastAsia="Times New Roman" w:hAnsi="Arial"/>
          <w:sz w:val="24"/>
          <w:szCs w:val="24"/>
          <w:lang w:eastAsia="pt-BR"/>
        </w:rPr>
        <w:t>.</w:t>
      </w:r>
    </w:p>
    <w:p w14:paraId="16CDE98F" w14:textId="61444959"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D7671A">
        <w:rPr>
          <w:rFonts w:ascii="Arial" w:eastAsia="Times New Roman" w:hAnsi="Arial"/>
          <w:sz w:val="24"/>
          <w:szCs w:val="24"/>
          <w:lang w:eastAsia="pt-BR"/>
        </w:rPr>
        <w:t xml:space="preserve">§ 1º No aspecto do controle orçamentário de fontes de recursos, a classificação dos empenhos de despesas realizadas com superávit financeiro proveniente de receitas de Restos a Receber apontará como Grupo de Fontes de Recursos os códigos de fontes para “Exercícios Anteriores,” da tabela 2, do item 11.4, do Manual da Receita Pública, aprovado pela </w:t>
      </w:r>
      <w:r w:rsidRPr="00F1447C">
        <w:rPr>
          <w:rFonts w:ascii="Arial" w:eastAsia="Times New Roman" w:hAnsi="Arial"/>
          <w:sz w:val="24"/>
          <w:szCs w:val="24"/>
          <w:lang w:eastAsia="pt-BR"/>
        </w:rPr>
        <w:t>Portaria nº 303, de 28 de abril de 2005</w:t>
      </w:r>
      <w:r w:rsidRPr="00D7671A">
        <w:rPr>
          <w:rFonts w:ascii="Arial" w:eastAsia="Times New Roman" w:hAnsi="Arial"/>
          <w:sz w:val="24"/>
          <w:szCs w:val="24"/>
          <w:lang w:eastAsia="pt-BR"/>
        </w:rPr>
        <w:t>, da Secretaria do Tesouro Nacional.</w:t>
      </w:r>
    </w:p>
    <w:p w14:paraId="7485DD6D" w14:textId="1497984B"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D7671A">
        <w:rPr>
          <w:rFonts w:ascii="Arial" w:eastAsia="Times New Roman" w:hAnsi="Arial"/>
          <w:sz w:val="24"/>
          <w:szCs w:val="24"/>
          <w:lang w:eastAsia="pt-BR"/>
        </w:rPr>
        <w:t xml:space="preserve">§ 2º Os registros pertinentes aos Restos a Receber de receitas com vinculação ao Fundo de Manutenção e Desenvolvimento do Ensino Fundamental e de Valorização do Magistério – FUNDEF deverão ser escrituradas em estrita </w:t>
      </w:r>
      <w:r w:rsidRPr="00D7671A">
        <w:rPr>
          <w:rFonts w:ascii="Arial" w:eastAsia="Times New Roman" w:hAnsi="Arial"/>
          <w:sz w:val="24"/>
          <w:szCs w:val="24"/>
          <w:lang w:eastAsia="pt-BR"/>
        </w:rPr>
        <w:lastRenderedPageBreak/>
        <w:t xml:space="preserve">observância dos procedimentos contábeis uniformizados pela </w:t>
      </w:r>
      <w:r w:rsidRPr="00F1447C">
        <w:rPr>
          <w:rFonts w:ascii="Arial" w:eastAsia="Times New Roman" w:hAnsi="Arial"/>
          <w:sz w:val="24"/>
          <w:szCs w:val="24"/>
          <w:lang w:eastAsia="pt-BR"/>
        </w:rPr>
        <w:t>Portaria nº 328, de 27 de agosto de 2001</w:t>
      </w:r>
      <w:r w:rsidRPr="00D7671A">
        <w:rPr>
          <w:rFonts w:ascii="Arial" w:eastAsia="Times New Roman" w:hAnsi="Arial"/>
          <w:sz w:val="24"/>
          <w:szCs w:val="24"/>
          <w:lang w:eastAsia="pt-BR"/>
        </w:rPr>
        <w:t>, da Secretaria do Tesouro Nacional.</w:t>
      </w:r>
    </w:p>
    <w:p w14:paraId="4E8C8D91" w14:textId="77777777"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D7671A">
        <w:rPr>
          <w:rFonts w:ascii="Arial" w:eastAsia="Times New Roman" w:hAnsi="Arial"/>
          <w:sz w:val="24"/>
          <w:szCs w:val="24"/>
          <w:lang w:eastAsia="pt-BR"/>
        </w:rPr>
        <w:t>§ 3º Para efeito de verificação da consistência entre os códigos de fonte financeira e orçamentária, as receitas inscritas em Restos a Receber deverão ter registros concomitantes nos sistemas financeiros e de compensação, neste utilizando-se a Conta de Relacionamento dos Restos a Receber.</w:t>
      </w:r>
    </w:p>
    <w:p w14:paraId="011FCDF8" w14:textId="77777777"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D7671A">
        <w:rPr>
          <w:rFonts w:ascii="Arial" w:eastAsia="Times New Roman" w:hAnsi="Arial"/>
          <w:b/>
          <w:sz w:val="24"/>
          <w:szCs w:val="24"/>
          <w:lang w:eastAsia="pt-BR"/>
        </w:rPr>
        <w:t>Art. 4º</w:t>
      </w:r>
      <w:r w:rsidRPr="00D7671A">
        <w:rPr>
          <w:rFonts w:ascii="Arial" w:eastAsia="Times New Roman" w:hAnsi="Arial"/>
          <w:sz w:val="24"/>
          <w:szCs w:val="24"/>
          <w:lang w:eastAsia="pt-BR"/>
        </w:rPr>
        <w:t xml:space="preserve"> Para efeito da verificação da obediência ao comando constitucional, as parcelas de receitas de Restos a Receber com destinação vinculada às áreas de educação e saúde, poderão ser aplicadas até 31 de março do exercício de 2006, nos moldes de previsões regulamentares, do Tribunal de Contas do Paraná, observadas as seguintes providências:</w:t>
      </w:r>
    </w:p>
    <w:p w14:paraId="3C2D51D9" w14:textId="7F686AFD"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D7671A">
        <w:rPr>
          <w:rFonts w:ascii="Arial" w:eastAsia="Times New Roman" w:hAnsi="Arial"/>
          <w:sz w:val="24"/>
          <w:szCs w:val="24"/>
          <w:lang w:eastAsia="pt-BR"/>
        </w:rPr>
        <w:t xml:space="preserve">I - </w:t>
      </w:r>
      <w:r w:rsidRPr="00D7671A">
        <w:rPr>
          <w:rFonts w:ascii="Arial" w:eastAsia="Times New Roman" w:hAnsi="Arial"/>
          <w:sz w:val="24"/>
          <w:szCs w:val="24"/>
          <w:lang w:eastAsia="pt-BR"/>
        </w:rPr>
        <w:tab/>
        <w:t xml:space="preserve">Para a utilização no pagamento de empenhos do orçamento de 2006, deverá ser providenciada a substituição do grupo de fonte de arrecadação do exercício para superávit financeiro, na forma de autorização legislativa, prevista na Lei Orçamentária ou mediante ato legislativo próprio, conforme o art. 43, I, da </w:t>
      </w:r>
      <w:r w:rsidR="00F63493" w:rsidRPr="00F1447C">
        <w:rPr>
          <w:rFonts w:ascii="Arial" w:eastAsia="Times New Roman" w:hAnsi="Arial"/>
          <w:sz w:val="24"/>
          <w:szCs w:val="24"/>
          <w:lang w:eastAsia="pt-BR"/>
        </w:rPr>
        <w:t>Lei nº 4.320/67</w:t>
      </w:r>
      <w:r w:rsidRPr="00D7671A">
        <w:rPr>
          <w:rFonts w:ascii="Arial" w:eastAsia="Times New Roman" w:hAnsi="Arial"/>
          <w:sz w:val="24"/>
          <w:szCs w:val="24"/>
          <w:lang w:eastAsia="pt-BR"/>
        </w:rPr>
        <w:t>.</w:t>
      </w:r>
    </w:p>
    <w:p w14:paraId="31A9D8DC" w14:textId="77777777"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D7671A">
        <w:rPr>
          <w:rFonts w:ascii="Arial" w:eastAsia="Times New Roman" w:hAnsi="Arial"/>
          <w:sz w:val="24"/>
          <w:szCs w:val="24"/>
          <w:lang w:eastAsia="pt-BR"/>
        </w:rPr>
        <w:t xml:space="preserve">II - </w:t>
      </w:r>
      <w:r w:rsidRPr="00D7671A">
        <w:rPr>
          <w:rFonts w:ascii="Arial" w:eastAsia="Times New Roman" w:hAnsi="Arial"/>
          <w:sz w:val="24"/>
          <w:szCs w:val="24"/>
          <w:lang w:eastAsia="pt-BR"/>
        </w:rPr>
        <w:tab/>
        <w:t xml:space="preserve">No caso de aplicação dos Restos a Receber em programas ou atividades não previstas no orçamento do exercício de 2006, deverá ser criado crédito adicional especial para inclusão, sob a fonte de superávit financeiro; e </w:t>
      </w:r>
    </w:p>
    <w:p w14:paraId="5BF14BDC" w14:textId="3D4AABBC"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D7671A">
        <w:rPr>
          <w:rFonts w:ascii="Arial" w:eastAsia="Times New Roman" w:hAnsi="Arial"/>
          <w:sz w:val="24"/>
          <w:szCs w:val="24"/>
          <w:lang w:eastAsia="pt-BR"/>
        </w:rPr>
        <w:t xml:space="preserve">III - </w:t>
      </w:r>
      <w:r w:rsidRPr="00D7671A">
        <w:rPr>
          <w:rFonts w:ascii="Arial" w:eastAsia="Times New Roman" w:hAnsi="Arial"/>
          <w:sz w:val="24"/>
          <w:szCs w:val="24"/>
          <w:lang w:eastAsia="pt-BR"/>
        </w:rPr>
        <w:tab/>
        <w:t xml:space="preserve">Incluir na programação financeira e no cronograma de execução mensal de desembolso, prescritos pelo artigo 8º da </w:t>
      </w:r>
      <w:r w:rsidRPr="00F1447C">
        <w:rPr>
          <w:rFonts w:ascii="Arial" w:eastAsia="Times New Roman" w:hAnsi="Arial"/>
          <w:sz w:val="24"/>
          <w:szCs w:val="24"/>
          <w:lang w:eastAsia="pt-BR"/>
        </w:rPr>
        <w:t>Lei Complementar nº 101/2000</w:t>
      </w:r>
      <w:r w:rsidRPr="00D7671A">
        <w:rPr>
          <w:rFonts w:ascii="Arial" w:eastAsia="Times New Roman" w:hAnsi="Arial"/>
          <w:sz w:val="24"/>
          <w:szCs w:val="24"/>
          <w:lang w:eastAsia="pt-BR"/>
        </w:rPr>
        <w:t>.</w:t>
      </w:r>
    </w:p>
    <w:p w14:paraId="52F80BE4" w14:textId="77777777"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D7671A">
        <w:rPr>
          <w:rFonts w:ascii="Arial" w:eastAsia="Times New Roman" w:hAnsi="Arial"/>
          <w:sz w:val="24"/>
          <w:szCs w:val="24"/>
          <w:lang w:eastAsia="pt-BR"/>
        </w:rPr>
        <w:t>§ 1º Em quaisquer das hipóteses adotadas, os valores não serão considerados nos índices de aplicação do exercício de 2006, em razão do princípio da anualidade.</w:t>
      </w:r>
    </w:p>
    <w:p w14:paraId="10ED02EC" w14:textId="77777777"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D7671A">
        <w:rPr>
          <w:rFonts w:ascii="Arial" w:eastAsia="Times New Roman" w:hAnsi="Arial"/>
          <w:sz w:val="24"/>
          <w:szCs w:val="24"/>
          <w:lang w:eastAsia="pt-BR"/>
        </w:rPr>
        <w:t>§ 2º Em termos unicamente demonstrativos, e exclusivamente para fins de verificação da habilitação à obtenção da certidão liberatória com base nos dados do Sistema de Informações Municipais – Acompanhamento Mensal (SIM/AM), do primeiro bimestre de 2006, serão consideradas nos índices de aplicação em educação e saúde as diferenças ocasionadas pelo registro de Restos a Receber, de que trata esta Instrução.</w:t>
      </w:r>
    </w:p>
    <w:p w14:paraId="6F95CA15" w14:textId="77777777"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D7671A">
        <w:rPr>
          <w:rFonts w:ascii="Arial" w:eastAsia="Times New Roman" w:hAnsi="Arial"/>
          <w:sz w:val="24"/>
          <w:szCs w:val="24"/>
          <w:lang w:eastAsia="pt-BR"/>
        </w:rPr>
        <w:t xml:space="preserve">§ 3º Para a emissão da certidão liberatória com base na exigível entrega dos dados do Sistema de Informações Municipais – Acompanhamento Mensal (SIM/AM) do segundo bimestre de 2006 e seguintes, será obrigatória a regularização das parcelas de Restos a Receber vinculadas às áreas de educação e saúde, consoante este artigo </w:t>
      </w:r>
    </w:p>
    <w:p w14:paraId="60768A3A" w14:textId="77777777"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D7671A">
        <w:rPr>
          <w:rFonts w:ascii="Arial" w:eastAsia="Times New Roman" w:hAnsi="Arial"/>
          <w:sz w:val="24"/>
          <w:szCs w:val="24"/>
          <w:lang w:eastAsia="pt-BR"/>
        </w:rPr>
        <w:t>§ 4º Os prazos para a remessa dos dados bimestrais do exercício, ao Sistema de Informações Municipais – Acompanhamento Mensal (SIM/AM), do Tribunal de Contas do Paraná, serão fixados na Instrução Normativa que definir a Agenda de Obrigações para o ano de 2006.</w:t>
      </w:r>
    </w:p>
    <w:p w14:paraId="3EA1C3FD" w14:textId="77777777"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AE2DF4">
        <w:rPr>
          <w:rFonts w:ascii="Arial" w:eastAsia="Times New Roman" w:hAnsi="Arial"/>
          <w:b/>
          <w:sz w:val="24"/>
          <w:szCs w:val="24"/>
          <w:lang w:eastAsia="pt-BR"/>
        </w:rPr>
        <w:t>Art. 5º</w:t>
      </w:r>
      <w:r w:rsidRPr="00D7671A">
        <w:rPr>
          <w:rFonts w:ascii="Arial" w:eastAsia="Times New Roman" w:hAnsi="Arial"/>
          <w:sz w:val="24"/>
          <w:szCs w:val="24"/>
          <w:lang w:eastAsia="pt-BR"/>
        </w:rPr>
        <w:t xml:space="preserve"> Para fins de certificações e de conclusões de prestações de contas anuais serão adotados os índices de aplicação em saúde e educação </w:t>
      </w:r>
      <w:r w:rsidRPr="00D7671A">
        <w:rPr>
          <w:rFonts w:ascii="Arial" w:eastAsia="Times New Roman" w:hAnsi="Arial"/>
          <w:sz w:val="24"/>
          <w:szCs w:val="24"/>
          <w:lang w:eastAsia="pt-BR"/>
        </w:rPr>
        <w:lastRenderedPageBreak/>
        <w:t>gerados pelas bases consolidadas transmitidas ao Sistema de Informações Municipais – Acompanhamento Mensal.</w:t>
      </w:r>
    </w:p>
    <w:p w14:paraId="5EE8907C" w14:textId="77777777"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D7671A">
        <w:rPr>
          <w:rFonts w:ascii="Arial" w:eastAsia="Times New Roman" w:hAnsi="Arial"/>
          <w:sz w:val="24"/>
          <w:szCs w:val="24"/>
          <w:lang w:eastAsia="pt-BR"/>
        </w:rPr>
        <w:t>Parágrafo único. Tendo em vista que os índices são levantados com base em elementos consolidados, as posições fornecidas às contabilidades pelo sistema de captação se destinam à simples conferência, valendo para o efeito descrito no caput deste artigo o disponibilizado na seção própria da página do Tribunal de Contas do Paraná na internet.</w:t>
      </w:r>
    </w:p>
    <w:p w14:paraId="1AFBBB24" w14:textId="77777777"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AE2DF4">
        <w:rPr>
          <w:rFonts w:ascii="Arial" w:eastAsia="Times New Roman" w:hAnsi="Arial"/>
          <w:b/>
          <w:sz w:val="24"/>
          <w:szCs w:val="24"/>
          <w:lang w:eastAsia="pt-BR"/>
        </w:rPr>
        <w:t>Art. 6º</w:t>
      </w:r>
      <w:r w:rsidRPr="00D7671A">
        <w:rPr>
          <w:rFonts w:ascii="Arial" w:eastAsia="Times New Roman" w:hAnsi="Arial"/>
          <w:sz w:val="24"/>
          <w:szCs w:val="24"/>
          <w:lang w:eastAsia="pt-BR"/>
        </w:rPr>
        <w:t xml:space="preserve"> O Balanço Patrimonial do exercício de 2005 deverá conter, no sistema financeiro, nas contas adequadas a essas finalidades, do Plano de Contas Único dos Municípios, integrante do SIM/AM, sob a responsabilidade dos Ordenadores respectivos, as despesas deixadas de empenhar e as interferências financeiras deixadas de repassar no exercício.</w:t>
      </w:r>
    </w:p>
    <w:p w14:paraId="4647229A" w14:textId="77777777"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D7671A">
        <w:rPr>
          <w:rFonts w:ascii="Arial" w:eastAsia="Times New Roman" w:hAnsi="Arial"/>
          <w:sz w:val="24"/>
          <w:szCs w:val="24"/>
          <w:lang w:eastAsia="pt-BR"/>
        </w:rPr>
        <w:t>§ 1º Para efeito do disposto neste artigo, independe se a obrigação foi deixada de empenhar por simples omissão ou por indisponibilidade de dotação orçamentária.</w:t>
      </w:r>
    </w:p>
    <w:p w14:paraId="32075593" w14:textId="77777777"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D7671A">
        <w:rPr>
          <w:rFonts w:ascii="Arial" w:eastAsia="Times New Roman" w:hAnsi="Arial"/>
          <w:sz w:val="24"/>
          <w:szCs w:val="24"/>
          <w:lang w:eastAsia="pt-BR"/>
        </w:rPr>
        <w:t>§ 2º A alocação no orçamento de 2006, das despesas deixadas de empenhar em 2005, será efetuada em atividade específica, atendendo-se às seguintes condições:</w:t>
      </w:r>
    </w:p>
    <w:p w14:paraId="5E6AA3E5" w14:textId="77777777" w:rsidR="00D7671A" w:rsidRPr="00D7671A" w:rsidRDefault="00D7671A" w:rsidP="00CA1893">
      <w:pPr>
        <w:numPr>
          <w:ilvl w:val="0"/>
          <w:numId w:val="3"/>
        </w:numPr>
        <w:spacing w:before="120" w:after="0" w:line="240" w:lineRule="auto"/>
        <w:ind w:left="0" w:firstLine="1123"/>
        <w:jc w:val="both"/>
        <w:rPr>
          <w:rFonts w:ascii="Arial" w:eastAsia="Times New Roman" w:hAnsi="Arial"/>
          <w:sz w:val="24"/>
          <w:szCs w:val="24"/>
          <w:lang w:eastAsia="pt-BR"/>
        </w:rPr>
      </w:pPr>
      <w:r w:rsidRPr="00D7671A">
        <w:rPr>
          <w:rFonts w:ascii="Arial" w:eastAsia="Times New Roman" w:hAnsi="Arial"/>
          <w:sz w:val="24"/>
          <w:szCs w:val="24"/>
          <w:lang w:eastAsia="pt-BR"/>
        </w:rPr>
        <w:t>A atividade será incluída mediante crédito orçamentário especial, devendo ser identificada pelo código 899 e denominada “Despesas do Exercício Anterior”.</w:t>
      </w:r>
    </w:p>
    <w:p w14:paraId="3C1E6A93" w14:textId="4FBA9885" w:rsidR="00D7671A" w:rsidRPr="006A64D3" w:rsidRDefault="00D7671A" w:rsidP="00CA1893">
      <w:pPr>
        <w:numPr>
          <w:ilvl w:val="0"/>
          <w:numId w:val="3"/>
        </w:numPr>
        <w:spacing w:before="120" w:after="0" w:line="240" w:lineRule="auto"/>
        <w:ind w:left="0" w:firstLine="1134"/>
        <w:jc w:val="both"/>
        <w:rPr>
          <w:rFonts w:ascii="Arial" w:eastAsia="Times New Roman" w:hAnsi="Arial"/>
          <w:sz w:val="24"/>
          <w:szCs w:val="24"/>
          <w:lang w:eastAsia="pt-BR"/>
        </w:rPr>
      </w:pPr>
      <w:r w:rsidRPr="006A64D3">
        <w:rPr>
          <w:rFonts w:ascii="Arial" w:eastAsia="Times New Roman" w:hAnsi="Arial"/>
          <w:sz w:val="24"/>
          <w:szCs w:val="24"/>
          <w:lang w:eastAsia="pt-BR"/>
        </w:rPr>
        <w:t xml:space="preserve">A despesa deverá ser registrada no elemento sintético de Despesas de Exercícios Anteriores, acrescida, no nível analítico, do desdobramento correspondente ao elemento pertinente ao objeto do gasto, nos termos do artigo 37 da </w:t>
      </w:r>
      <w:r w:rsidRPr="00F1447C">
        <w:rPr>
          <w:rFonts w:ascii="Arial" w:eastAsia="Times New Roman" w:hAnsi="Arial"/>
          <w:sz w:val="24"/>
          <w:szCs w:val="24"/>
          <w:lang w:eastAsia="pt-BR"/>
        </w:rPr>
        <w:t>Lei nº 4.320/64</w:t>
      </w:r>
      <w:r w:rsidRPr="006A64D3">
        <w:rPr>
          <w:rFonts w:ascii="Arial" w:eastAsia="Times New Roman" w:hAnsi="Arial"/>
          <w:sz w:val="24"/>
          <w:szCs w:val="24"/>
          <w:lang w:eastAsia="pt-BR"/>
        </w:rPr>
        <w:t xml:space="preserve"> e </w:t>
      </w:r>
      <w:r w:rsidRPr="00F1447C">
        <w:rPr>
          <w:rFonts w:ascii="Arial" w:eastAsia="Times New Roman" w:hAnsi="Arial"/>
          <w:sz w:val="24"/>
          <w:szCs w:val="24"/>
          <w:lang w:eastAsia="pt-BR"/>
        </w:rPr>
        <w:t>Portaria STN nº 163/2001</w:t>
      </w:r>
      <w:r w:rsidRPr="006A64D3">
        <w:rPr>
          <w:rFonts w:ascii="Arial" w:eastAsia="Times New Roman" w:hAnsi="Arial"/>
          <w:sz w:val="24"/>
          <w:szCs w:val="24"/>
          <w:lang w:eastAsia="pt-BR"/>
        </w:rPr>
        <w:t>.</w:t>
      </w:r>
    </w:p>
    <w:p w14:paraId="75EB4FD5" w14:textId="77777777"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AE2DF4">
        <w:rPr>
          <w:rFonts w:ascii="Arial" w:eastAsia="Times New Roman" w:hAnsi="Arial"/>
          <w:b/>
          <w:sz w:val="24"/>
          <w:szCs w:val="24"/>
          <w:lang w:eastAsia="pt-BR"/>
        </w:rPr>
        <w:t>Art. 7º</w:t>
      </w:r>
      <w:r w:rsidRPr="00D7671A">
        <w:rPr>
          <w:rFonts w:ascii="Arial" w:eastAsia="Times New Roman" w:hAnsi="Arial"/>
          <w:sz w:val="24"/>
          <w:szCs w:val="24"/>
          <w:lang w:eastAsia="pt-BR"/>
        </w:rPr>
        <w:t xml:space="preserve"> O Balanço Patrimonial do exercício de 2005 deverá conter, no sistema financeiro, nas contas adequadas a essas finalidades, do Plano de Contas Único dos Municípios, integrante do SIM/AM, sob a responsabilidade dos Ordenadores respectivos, os valores de diferenças não identificadas representados nas conciliações dos saldos de contas correntes bancárias ou caixa.</w:t>
      </w:r>
    </w:p>
    <w:p w14:paraId="5F6294B0" w14:textId="77777777"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D7671A">
        <w:rPr>
          <w:rFonts w:ascii="Arial" w:eastAsia="Times New Roman" w:hAnsi="Arial"/>
          <w:sz w:val="24"/>
          <w:szCs w:val="24"/>
          <w:lang w:eastAsia="pt-BR"/>
        </w:rPr>
        <w:t>Parágrafo único. A origem de cada pendência deverá ser apurada e as responsabilidades remanescentes questionadas no foro cabível, devendo as</w:t>
      </w:r>
      <w:r w:rsidR="00AE2DF4">
        <w:rPr>
          <w:rFonts w:ascii="Arial" w:eastAsia="Times New Roman" w:hAnsi="Arial"/>
          <w:sz w:val="24"/>
          <w:szCs w:val="24"/>
          <w:lang w:eastAsia="pt-BR"/>
        </w:rPr>
        <w:t xml:space="preserve"> </w:t>
      </w:r>
      <w:r w:rsidRPr="00D7671A">
        <w:rPr>
          <w:rFonts w:ascii="Arial" w:eastAsia="Times New Roman" w:hAnsi="Arial"/>
          <w:sz w:val="24"/>
          <w:szCs w:val="24"/>
          <w:lang w:eastAsia="pt-BR"/>
        </w:rPr>
        <w:t>providências adotadas para a regularização ser comprovadas na prestação de contas do exercício subseqüente.</w:t>
      </w:r>
    </w:p>
    <w:p w14:paraId="63EF1CF2" w14:textId="2E6DBF97"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AE2DF4">
        <w:rPr>
          <w:rFonts w:ascii="Arial" w:eastAsia="Times New Roman" w:hAnsi="Arial"/>
          <w:b/>
          <w:sz w:val="24"/>
          <w:szCs w:val="24"/>
          <w:lang w:eastAsia="pt-BR"/>
        </w:rPr>
        <w:t>Art. 8º</w:t>
      </w:r>
      <w:r w:rsidRPr="00D7671A">
        <w:rPr>
          <w:rFonts w:ascii="Arial" w:eastAsia="Times New Roman" w:hAnsi="Arial"/>
          <w:sz w:val="24"/>
          <w:szCs w:val="24"/>
          <w:lang w:eastAsia="pt-BR"/>
        </w:rPr>
        <w:t xml:space="preserve"> Os Restos a Receber de que tratam a presente Instrução Normativa comporão a Receita Corrente Líquida do exercício de 2005, bem assim os limites para a despesa total com pessoal, fixada na </w:t>
      </w:r>
      <w:r w:rsidRPr="00F1447C">
        <w:rPr>
          <w:rFonts w:ascii="Arial" w:eastAsia="Times New Roman" w:hAnsi="Arial"/>
          <w:sz w:val="24"/>
          <w:szCs w:val="24"/>
          <w:lang w:eastAsia="pt-BR"/>
        </w:rPr>
        <w:t>Lei Complementar nº 101/2000</w:t>
      </w:r>
      <w:r w:rsidRPr="00D7671A">
        <w:rPr>
          <w:rFonts w:ascii="Arial" w:eastAsia="Times New Roman" w:hAnsi="Arial"/>
          <w:sz w:val="24"/>
          <w:szCs w:val="24"/>
          <w:lang w:eastAsia="pt-BR"/>
        </w:rPr>
        <w:t xml:space="preserve">, e também a base para fins de despesas do Poder Legislativo Municipal, estabelecidas nos artigos 29, VII e 29-A da </w:t>
      </w:r>
      <w:r w:rsidRPr="00F1447C">
        <w:rPr>
          <w:rFonts w:ascii="Arial" w:eastAsia="Times New Roman" w:hAnsi="Arial"/>
          <w:sz w:val="24"/>
          <w:szCs w:val="24"/>
          <w:lang w:eastAsia="pt-BR"/>
        </w:rPr>
        <w:t>Constituição Federal</w:t>
      </w:r>
      <w:r w:rsidRPr="00D7671A">
        <w:rPr>
          <w:rFonts w:ascii="Arial" w:eastAsia="Times New Roman" w:hAnsi="Arial"/>
          <w:sz w:val="24"/>
          <w:szCs w:val="24"/>
          <w:lang w:eastAsia="pt-BR"/>
        </w:rPr>
        <w:t xml:space="preserve">. </w:t>
      </w:r>
    </w:p>
    <w:p w14:paraId="6736572A" w14:textId="36B682F1"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AE2DF4">
        <w:rPr>
          <w:rFonts w:ascii="Arial" w:eastAsia="Times New Roman" w:hAnsi="Arial"/>
          <w:b/>
          <w:sz w:val="24"/>
          <w:szCs w:val="24"/>
          <w:lang w:eastAsia="pt-BR"/>
        </w:rPr>
        <w:t>Art. 9º</w:t>
      </w:r>
      <w:r w:rsidRPr="00D7671A">
        <w:rPr>
          <w:rFonts w:ascii="Arial" w:eastAsia="Times New Roman" w:hAnsi="Arial"/>
          <w:sz w:val="24"/>
          <w:szCs w:val="24"/>
          <w:lang w:eastAsia="pt-BR"/>
        </w:rPr>
        <w:t xml:space="preserve"> Considerados os objetivos fixados pela </w:t>
      </w:r>
      <w:r w:rsidRPr="00F1447C">
        <w:rPr>
          <w:rFonts w:ascii="Arial" w:eastAsia="Times New Roman" w:hAnsi="Arial"/>
          <w:sz w:val="24"/>
          <w:szCs w:val="24"/>
          <w:lang w:eastAsia="pt-BR"/>
        </w:rPr>
        <w:t xml:space="preserve">Portaria </w:t>
      </w:r>
      <w:r w:rsidR="006A64D3" w:rsidRPr="00F1447C">
        <w:rPr>
          <w:rFonts w:ascii="Arial" w:eastAsia="Times New Roman" w:hAnsi="Arial"/>
          <w:sz w:val="24"/>
          <w:szCs w:val="24"/>
          <w:lang w:eastAsia="pt-BR"/>
        </w:rPr>
        <w:t>nº</w:t>
      </w:r>
      <w:r w:rsidRPr="00F1447C">
        <w:rPr>
          <w:rFonts w:ascii="Arial" w:eastAsia="Times New Roman" w:hAnsi="Arial"/>
          <w:sz w:val="24"/>
          <w:szCs w:val="24"/>
          <w:lang w:eastAsia="pt-BR"/>
        </w:rPr>
        <w:t xml:space="preserve"> 447 de 13 de setembro de 2002</w:t>
      </w:r>
      <w:r w:rsidRPr="00D7671A">
        <w:rPr>
          <w:rFonts w:ascii="Arial" w:eastAsia="Times New Roman" w:hAnsi="Arial"/>
          <w:sz w:val="24"/>
          <w:szCs w:val="24"/>
          <w:lang w:eastAsia="pt-BR"/>
        </w:rPr>
        <w:t xml:space="preserve">, da Secretaria do Tesouro Nacional, derivados da necessidade de compatibilização do registro das receitas e despesas orçamentárias, para fins de consolidação das contas públicas exigida na Lei de </w:t>
      </w:r>
      <w:r w:rsidRPr="00D7671A">
        <w:rPr>
          <w:rFonts w:ascii="Arial" w:eastAsia="Times New Roman" w:hAnsi="Arial"/>
          <w:sz w:val="24"/>
          <w:szCs w:val="24"/>
          <w:lang w:eastAsia="pt-BR"/>
        </w:rPr>
        <w:lastRenderedPageBreak/>
        <w:t>Responsabilidade Fiscal, as normas desta Instrução são de observância obrigatória por todos os Municípios.</w:t>
      </w:r>
    </w:p>
    <w:p w14:paraId="2ABACBA3" w14:textId="77777777"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D7671A">
        <w:rPr>
          <w:rFonts w:ascii="Arial" w:eastAsia="Times New Roman" w:hAnsi="Arial"/>
          <w:sz w:val="24"/>
          <w:szCs w:val="24"/>
          <w:lang w:eastAsia="pt-BR"/>
        </w:rPr>
        <w:t>§ 1º No contexto de Município considera os Poderes Executivos e, no que couber, as respectivas entidades de administração indireta, abrangendo os Fundos cuja contabilidade é descentralizada, os Fundos Previdenciários, as Fundações de Direito Público Interno e as Autarquias Municipais.</w:t>
      </w:r>
    </w:p>
    <w:p w14:paraId="5B22FCD6" w14:textId="77777777"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D7671A">
        <w:rPr>
          <w:rFonts w:ascii="Arial" w:eastAsia="Times New Roman" w:hAnsi="Arial"/>
          <w:sz w:val="24"/>
          <w:szCs w:val="24"/>
          <w:lang w:eastAsia="pt-BR"/>
        </w:rPr>
        <w:t>§ 2º Aos Poderes Legislativos Municipais aplicam-se a parte correspondente aos Restos a Receber de Interferências Financeiras e Responsáveis por Despesas Não Empenhadas.</w:t>
      </w:r>
    </w:p>
    <w:p w14:paraId="684A88AA" w14:textId="77777777"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AE2DF4">
        <w:rPr>
          <w:rFonts w:ascii="Arial" w:eastAsia="Times New Roman" w:hAnsi="Arial"/>
          <w:b/>
          <w:sz w:val="24"/>
          <w:szCs w:val="24"/>
          <w:lang w:eastAsia="pt-BR"/>
        </w:rPr>
        <w:t>Art. 10.</w:t>
      </w:r>
      <w:r w:rsidRPr="00D7671A">
        <w:rPr>
          <w:rFonts w:ascii="Arial" w:eastAsia="Times New Roman" w:hAnsi="Arial"/>
          <w:sz w:val="24"/>
          <w:szCs w:val="24"/>
          <w:lang w:eastAsia="pt-BR"/>
        </w:rPr>
        <w:t xml:space="preserve"> Para fins de plena evidenciação, a contabilização dos Restos a Receber e das despesas deixadas de empenhar pela gestão anterior depende de processo composto por documentos hábeis e cabais, evidenciadores da efetividade da arrecadação no exercício de 2005 e do cumprimento do estágio da liquidação da despesa, respectivamente.</w:t>
      </w:r>
    </w:p>
    <w:p w14:paraId="0E69C351" w14:textId="176A8FF2" w:rsidR="00D7671A" w:rsidRPr="00D7671A" w:rsidRDefault="00D7671A" w:rsidP="00CA1893">
      <w:pPr>
        <w:spacing w:before="120" w:after="0" w:line="240" w:lineRule="auto"/>
        <w:ind w:firstLine="1134"/>
        <w:jc w:val="both"/>
        <w:rPr>
          <w:rFonts w:ascii="Arial" w:eastAsia="Times New Roman" w:hAnsi="Arial"/>
          <w:sz w:val="24"/>
          <w:szCs w:val="24"/>
          <w:lang w:eastAsia="pt-BR"/>
        </w:rPr>
      </w:pPr>
      <w:r w:rsidRPr="00AE2DF4">
        <w:rPr>
          <w:rFonts w:ascii="Arial" w:eastAsia="Times New Roman" w:hAnsi="Arial"/>
          <w:b/>
          <w:sz w:val="24"/>
          <w:szCs w:val="24"/>
          <w:lang w:eastAsia="pt-BR"/>
        </w:rPr>
        <w:t>Art. 11.</w:t>
      </w:r>
      <w:r w:rsidRPr="00D7671A">
        <w:rPr>
          <w:rFonts w:ascii="Arial" w:eastAsia="Times New Roman" w:hAnsi="Arial"/>
          <w:sz w:val="24"/>
          <w:szCs w:val="24"/>
          <w:lang w:eastAsia="pt-BR"/>
        </w:rPr>
        <w:t xml:space="preserve"> Tendo em vista o caráter permanente da norma emanada da </w:t>
      </w:r>
      <w:r w:rsidRPr="00F1447C">
        <w:rPr>
          <w:rFonts w:ascii="Arial" w:eastAsia="Times New Roman" w:hAnsi="Arial"/>
          <w:sz w:val="24"/>
          <w:szCs w:val="24"/>
          <w:lang w:eastAsia="pt-BR"/>
        </w:rPr>
        <w:t>Portaria STN nº 447/2002</w:t>
      </w:r>
      <w:r w:rsidRPr="00D7671A">
        <w:rPr>
          <w:rFonts w:ascii="Arial" w:eastAsia="Times New Roman" w:hAnsi="Arial"/>
          <w:sz w:val="24"/>
          <w:szCs w:val="24"/>
          <w:lang w:eastAsia="pt-BR"/>
        </w:rPr>
        <w:t>, esta deverá ser adotada de modo sistemático nos encerramentos contábeis anuais, como ocorrido a partir do exercício financeiro de 2004.</w:t>
      </w:r>
    </w:p>
    <w:p w14:paraId="0A76C0F0" w14:textId="77777777" w:rsidR="00D7671A" w:rsidRDefault="00D7671A" w:rsidP="00CA1893">
      <w:pPr>
        <w:spacing w:before="120" w:after="0" w:line="240" w:lineRule="auto"/>
        <w:ind w:firstLine="1134"/>
        <w:jc w:val="both"/>
        <w:rPr>
          <w:rFonts w:ascii="Arial" w:eastAsia="Times New Roman" w:hAnsi="Arial"/>
          <w:sz w:val="24"/>
          <w:szCs w:val="24"/>
          <w:lang w:eastAsia="pt-BR"/>
        </w:rPr>
      </w:pPr>
      <w:r w:rsidRPr="00AE2DF4">
        <w:rPr>
          <w:rFonts w:ascii="Arial" w:eastAsia="Times New Roman" w:hAnsi="Arial"/>
          <w:b/>
          <w:sz w:val="24"/>
          <w:szCs w:val="24"/>
          <w:lang w:eastAsia="pt-BR"/>
        </w:rPr>
        <w:t>Art. 12.</w:t>
      </w:r>
      <w:r w:rsidRPr="00D7671A">
        <w:rPr>
          <w:rFonts w:ascii="Arial" w:eastAsia="Times New Roman" w:hAnsi="Arial"/>
          <w:sz w:val="24"/>
          <w:szCs w:val="24"/>
          <w:lang w:eastAsia="pt-BR"/>
        </w:rPr>
        <w:t xml:space="preserve"> Esta Instrução Normativa entra em vigor nesta data, ficando a publicação no Órgão de Atos Oficiais do Tribunal de Contas do Paraná reservada para depois que ocorrer o preenchimento dos requisitos determinados no Regimento Interno, relativos ao referendum do Colegiado Pleno.</w:t>
      </w:r>
    </w:p>
    <w:p w14:paraId="08D467BF" w14:textId="77777777" w:rsidR="006A64D3" w:rsidRPr="00D7671A" w:rsidRDefault="006A64D3" w:rsidP="00D7671A">
      <w:pPr>
        <w:spacing w:before="120" w:after="0" w:line="240" w:lineRule="auto"/>
        <w:ind w:firstLine="1134"/>
        <w:jc w:val="both"/>
        <w:rPr>
          <w:rFonts w:ascii="Arial" w:eastAsia="Times New Roman" w:hAnsi="Arial"/>
          <w:sz w:val="24"/>
          <w:szCs w:val="24"/>
          <w:lang w:eastAsia="pt-BR"/>
        </w:rPr>
      </w:pPr>
    </w:p>
    <w:p w14:paraId="579CB279" w14:textId="77777777" w:rsidR="00D7671A" w:rsidRDefault="00D7671A" w:rsidP="00CA1893">
      <w:pPr>
        <w:spacing w:before="120"/>
        <w:jc w:val="center"/>
        <w:rPr>
          <w:rFonts w:ascii="Arial" w:eastAsia="Times New Roman" w:hAnsi="Arial"/>
          <w:sz w:val="24"/>
          <w:szCs w:val="24"/>
          <w:lang w:eastAsia="pt-BR"/>
        </w:rPr>
      </w:pPr>
      <w:r w:rsidRPr="00D7671A">
        <w:rPr>
          <w:rFonts w:ascii="Arial" w:eastAsia="Times New Roman" w:hAnsi="Arial"/>
          <w:sz w:val="24"/>
          <w:szCs w:val="24"/>
          <w:lang w:eastAsia="pt-BR"/>
        </w:rPr>
        <w:t>Cumpra-se.</w:t>
      </w:r>
    </w:p>
    <w:p w14:paraId="5725E903" w14:textId="77777777" w:rsidR="00D7671A" w:rsidRDefault="00D7671A" w:rsidP="00CA1893">
      <w:pPr>
        <w:spacing w:before="120"/>
        <w:jc w:val="center"/>
        <w:rPr>
          <w:rFonts w:ascii="Arial" w:eastAsia="Times New Roman" w:hAnsi="Arial"/>
          <w:sz w:val="24"/>
          <w:szCs w:val="24"/>
          <w:lang w:eastAsia="pt-BR"/>
        </w:rPr>
      </w:pPr>
      <w:r w:rsidRPr="00D7671A">
        <w:rPr>
          <w:rFonts w:ascii="Arial" w:eastAsia="Times New Roman" w:hAnsi="Arial"/>
          <w:sz w:val="24"/>
          <w:szCs w:val="24"/>
          <w:lang w:eastAsia="pt-BR"/>
        </w:rPr>
        <w:t>Curitiba, em 17 de janeiro de 2006.</w:t>
      </w:r>
    </w:p>
    <w:p w14:paraId="6468FA18" w14:textId="77777777" w:rsidR="00AE2DF4" w:rsidRDefault="00AE2DF4" w:rsidP="00CA1893">
      <w:pPr>
        <w:spacing w:before="120"/>
        <w:ind w:firstLine="1134"/>
        <w:jc w:val="center"/>
        <w:rPr>
          <w:rFonts w:ascii="Arial" w:eastAsia="Times New Roman" w:hAnsi="Arial"/>
          <w:sz w:val="24"/>
          <w:szCs w:val="24"/>
          <w:lang w:eastAsia="pt-BR"/>
        </w:rPr>
      </w:pPr>
    </w:p>
    <w:p w14:paraId="2A4F5B0A" w14:textId="77777777" w:rsidR="00AE2DF4" w:rsidRPr="00876B25" w:rsidRDefault="00AE2DF4" w:rsidP="00CA1893">
      <w:pPr>
        <w:spacing w:before="120"/>
        <w:ind w:firstLine="1134"/>
        <w:jc w:val="center"/>
        <w:rPr>
          <w:rFonts w:ascii="Arial" w:eastAsia="Times New Roman" w:hAnsi="Arial"/>
          <w:b/>
          <w:bCs/>
          <w:sz w:val="24"/>
          <w:szCs w:val="24"/>
          <w:lang w:eastAsia="pt-BR"/>
        </w:rPr>
      </w:pPr>
    </w:p>
    <w:p w14:paraId="41644CD3" w14:textId="77777777" w:rsidR="00D7671A" w:rsidRPr="00876B25" w:rsidRDefault="00D7671A" w:rsidP="00CA1893">
      <w:pPr>
        <w:spacing w:before="120"/>
        <w:jc w:val="center"/>
        <w:rPr>
          <w:rFonts w:ascii="Arial" w:eastAsia="Times New Roman" w:hAnsi="Arial"/>
          <w:b/>
          <w:bCs/>
          <w:sz w:val="24"/>
          <w:szCs w:val="24"/>
          <w:lang w:eastAsia="pt-BR"/>
        </w:rPr>
      </w:pPr>
      <w:r w:rsidRPr="00876B25">
        <w:rPr>
          <w:rFonts w:ascii="Arial" w:eastAsia="Times New Roman" w:hAnsi="Arial"/>
          <w:b/>
          <w:bCs/>
          <w:sz w:val="24"/>
          <w:szCs w:val="24"/>
          <w:lang w:eastAsia="pt-BR"/>
        </w:rPr>
        <w:t>HEINZ GEORG HERWIG</w:t>
      </w:r>
    </w:p>
    <w:p w14:paraId="2A94473A" w14:textId="61DF6EDD" w:rsidR="003D5109" w:rsidRPr="003D5109" w:rsidRDefault="00D7671A" w:rsidP="00CA1893">
      <w:pPr>
        <w:spacing w:before="120"/>
        <w:jc w:val="center"/>
      </w:pPr>
      <w:r w:rsidRPr="00D7671A">
        <w:rPr>
          <w:rFonts w:ascii="Arial" w:eastAsia="Times New Roman" w:hAnsi="Arial"/>
          <w:sz w:val="24"/>
          <w:szCs w:val="24"/>
          <w:lang w:eastAsia="pt-BR"/>
        </w:rPr>
        <w:t>Presidente</w:t>
      </w:r>
    </w:p>
    <w:sectPr w:rsidR="003D5109" w:rsidRPr="003D5109" w:rsidSect="005C5BFA">
      <w:headerReference w:type="default" r:id="rId7"/>
      <w:pgSz w:w="11906" w:h="16838"/>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85261" w14:textId="77777777" w:rsidR="007D3D85" w:rsidRDefault="007D3D85" w:rsidP="003D5109">
      <w:pPr>
        <w:spacing w:after="0" w:line="240" w:lineRule="auto"/>
      </w:pPr>
      <w:r>
        <w:separator/>
      </w:r>
    </w:p>
  </w:endnote>
  <w:endnote w:type="continuationSeparator" w:id="0">
    <w:p w14:paraId="01B28A37" w14:textId="77777777" w:rsidR="007D3D85" w:rsidRDefault="007D3D85" w:rsidP="003D5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ABCD3" w14:textId="77777777" w:rsidR="007D3D85" w:rsidRDefault="007D3D85" w:rsidP="003D5109">
      <w:pPr>
        <w:spacing w:after="0" w:line="240" w:lineRule="auto"/>
      </w:pPr>
      <w:r>
        <w:separator/>
      </w:r>
    </w:p>
  </w:footnote>
  <w:footnote w:type="continuationSeparator" w:id="0">
    <w:p w14:paraId="5F264A04" w14:textId="77777777" w:rsidR="007D3D85" w:rsidRDefault="007D3D85" w:rsidP="003D5109">
      <w:pPr>
        <w:spacing w:after="0" w:line="240" w:lineRule="auto"/>
      </w:pPr>
      <w:r>
        <w:continuationSeparator/>
      </w:r>
    </w:p>
  </w:footnote>
  <w:footnote w:id="1">
    <w:p w14:paraId="569AC488" w14:textId="77777777" w:rsidR="003D5109" w:rsidRPr="001F7238" w:rsidRDefault="003D5109" w:rsidP="003D5109">
      <w:pPr>
        <w:pStyle w:val="Textodenotaderodap"/>
        <w:rPr>
          <w:rFonts w:ascii="Arial" w:hAnsi="Arial" w:cs="Arial"/>
        </w:rPr>
      </w:pPr>
      <w:r w:rsidRPr="00BA2525">
        <w:rPr>
          <w:rStyle w:val="Refdenotaderodap"/>
        </w:rPr>
        <w:sym w:font="Symbol" w:char="F02A"/>
      </w:r>
      <w:r>
        <w:t xml:space="preserve"> </w:t>
      </w:r>
      <w:bookmarkStart w:id="0" w:name="_Hlk870416"/>
      <w:bookmarkStart w:id="1" w:name="_Hlk870966"/>
      <w:r w:rsidRPr="001F7238">
        <w:rPr>
          <w:rFonts w:ascii="Arial" w:hAnsi="Arial" w:cs="Arial"/>
          <w:b/>
        </w:rPr>
        <w:t>N</w:t>
      </w:r>
      <w:r>
        <w:rPr>
          <w:rFonts w:ascii="Arial" w:hAnsi="Arial" w:cs="Arial"/>
          <w:b/>
        </w:rPr>
        <w:t>ota</w:t>
      </w:r>
      <w:r w:rsidR="00CF150A">
        <w:rPr>
          <w:rFonts w:ascii="Arial" w:hAnsi="Arial" w:cs="Arial"/>
          <w:b/>
        </w:rPr>
        <w:t>s</w:t>
      </w:r>
      <w:r w:rsidRPr="001F7238">
        <w:rPr>
          <w:rFonts w:ascii="Arial" w:hAnsi="Arial" w:cs="Arial"/>
          <w:b/>
        </w:rPr>
        <w:t xml:space="preserve"> da Biblioteca:</w:t>
      </w:r>
    </w:p>
    <w:bookmarkEnd w:id="0"/>
    <w:bookmarkEnd w:id="1"/>
    <w:p w14:paraId="0A728B92" w14:textId="2CE0E96F" w:rsidR="00CF150A" w:rsidRPr="00AE2C88" w:rsidRDefault="00F1447C" w:rsidP="00CF150A">
      <w:pPr>
        <w:spacing w:after="0" w:line="240" w:lineRule="auto"/>
        <w:ind w:left="142" w:hanging="142"/>
        <w:rPr>
          <w:rFonts w:ascii="Arial" w:hAnsi="Arial" w:cs="Arial"/>
          <w:sz w:val="20"/>
          <w:szCs w:val="20"/>
        </w:rPr>
      </w:pPr>
      <w:r>
        <w:rPr>
          <w:rFonts w:ascii="Arial" w:hAnsi="Arial" w:cs="Arial"/>
          <w:sz w:val="18"/>
          <w:szCs w:val="18"/>
        </w:rPr>
        <w:t xml:space="preserve">  </w:t>
      </w:r>
      <w:r w:rsidR="00CF150A" w:rsidRPr="00C42DCA">
        <w:rPr>
          <w:rFonts w:ascii="Arial" w:hAnsi="Arial" w:cs="Arial"/>
          <w:sz w:val="18"/>
          <w:szCs w:val="18"/>
        </w:rPr>
        <w:t xml:space="preserve"> </w:t>
      </w:r>
      <w:r w:rsidR="00CF150A" w:rsidRPr="00AE2C88">
        <w:rPr>
          <w:rFonts w:ascii="Arial" w:hAnsi="Arial" w:cs="Arial"/>
          <w:sz w:val="20"/>
          <w:szCs w:val="20"/>
        </w:rPr>
        <w:t>Este texto não substitui o publicado no periódico</w:t>
      </w:r>
      <w:r w:rsidR="00580A36">
        <w:rPr>
          <w:rFonts w:ascii="Arial" w:hAnsi="Arial" w:cs="Arial"/>
          <w:sz w:val="20"/>
          <w:szCs w:val="20"/>
        </w:rPr>
        <w:t>:</w:t>
      </w:r>
      <w:r w:rsidR="00CF150A" w:rsidRPr="00AE2C88">
        <w:rPr>
          <w:rFonts w:ascii="Arial" w:hAnsi="Arial" w:cs="Arial"/>
          <w:sz w:val="20"/>
          <w:szCs w:val="20"/>
        </w:rPr>
        <w:t xml:space="preserve"> </w:t>
      </w:r>
      <w:hyperlink r:id="rId1" w:history="1">
        <w:r w:rsidR="00CF150A" w:rsidRPr="00AE2C88">
          <w:rPr>
            <w:rStyle w:val="Hyperlink"/>
            <w:rFonts w:cs="Arial"/>
            <w:b/>
            <w:bCs/>
            <w:sz w:val="20"/>
            <w:szCs w:val="20"/>
          </w:rPr>
          <w:t>Atos Oficiais do Tribunal de Contas do Estado do Paraná</w:t>
        </w:r>
        <w:r w:rsidR="00CF150A" w:rsidRPr="00AE2C88">
          <w:rPr>
            <w:rStyle w:val="Hyperlink"/>
            <w:rFonts w:cs="Arial"/>
            <w:bCs/>
            <w:sz w:val="20"/>
            <w:szCs w:val="20"/>
          </w:rPr>
          <w:t>,</w:t>
        </w:r>
        <w:r w:rsidR="00CF150A" w:rsidRPr="00AE2C88">
          <w:rPr>
            <w:rStyle w:val="Hyperlink"/>
            <w:rFonts w:cs="Arial"/>
            <w:sz w:val="20"/>
            <w:szCs w:val="20"/>
          </w:rPr>
          <w:t xml:space="preserve"> Curitiba, PR, n. 32, 20 jan. 2006, p. 35</w:t>
        </w:r>
      </w:hyperlink>
      <w:r w:rsidR="00CF150A" w:rsidRPr="00AE2C88">
        <w:rPr>
          <w:rFonts w:ascii="Arial" w:hAnsi="Arial" w:cs="Arial"/>
          <w:sz w:val="20"/>
          <w:szCs w:val="20"/>
        </w:rPr>
        <w:t>.</w:t>
      </w:r>
    </w:p>
    <w:p w14:paraId="4684ECB8" w14:textId="2F959F67" w:rsidR="003D5109" w:rsidRPr="003D5109" w:rsidRDefault="003D5109" w:rsidP="00CF150A">
      <w:pPr>
        <w:pStyle w:val="NormalWeb"/>
        <w:spacing w:before="0" w:beforeAutospacing="0" w:after="0" w:afterAutospacing="0"/>
        <w:ind w:left="142"/>
        <w:jc w:val="both"/>
        <w:textAlignment w:val="top"/>
        <w:rPr>
          <w:rFonts w:ascii="Arial" w:hAnsi="Arial" w:cs="Arial"/>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FD952" w14:textId="77777777" w:rsidR="00AE2DF4" w:rsidRPr="00C404BE" w:rsidRDefault="00984833" w:rsidP="00AE2DF4">
    <w:pPr>
      <w:pStyle w:val="Cabealho"/>
      <w:spacing w:before="360"/>
      <w:ind w:left="1134"/>
      <w:jc w:val="center"/>
      <w:rPr>
        <w:rFonts w:ascii="Arial" w:hAnsi="Arial" w:cs="Arial"/>
        <w:b/>
        <w:sz w:val="28"/>
        <w:szCs w:val="28"/>
      </w:rPr>
    </w:pPr>
    <w:r>
      <w:rPr>
        <w:noProof/>
      </w:rPr>
      <w:drawing>
        <wp:anchor distT="0" distB="0" distL="114300" distR="114300" simplePos="0" relativeHeight="251658240" behindDoc="0" locked="0" layoutInCell="1" allowOverlap="1" wp14:anchorId="51581071" wp14:editId="3A7BB19E">
          <wp:simplePos x="0" y="0"/>
          <wp:positionH relativeFrom="column">
            <wp:posOffset>35560</wp:posOffset>
          </wp:positionH>
          <wp:positionV relativeFrom="paragraph">
            <wp:posOffset>12700</wp:posOffset>
          </wp:positionV>
          <wp:extent cx="605790" cy="712470"/>
          <wp:effectExtent l="0" t="0" r="0" b="0"/>
          <wp:wrapSquare wrapText="bothSides"/>
          <wp:docPr id="1" name="Imagem 1" descr="Descrição: 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pic:spPr>
              </pic:pic>
            </a:graphicData>
          </a:graphic>
          <wp14:sizeRelH relativeFrom="page">
            <wp14:pctWidth>0</wp14:pctWidth>
          </wp14:sizeRelH>
          <wp14:sizeRelV relativeFrom="page">
            <wp14:pctHeight>0</wp14:pctHeight>
          </wp14:sizeRelV>
        </wp:anchor>
      </w:drawing>
    </w:r>
    <w:r w:rsidR="00AE2DF4" w:rsidRPr="00C404BE">
      <w:rPr>
        <w:rFonts w:ascii="Arial" w:hAnsi="Arial" w:cs="Arial"/>
        <w:b/>
        <w:sz w:val="28"/>
        <w:szCs w:val="28"/>
      </w:rPr>
      <w:t>TRIBUNAL DE CONTAS DO ESTADO DO PARANÁ</w:t>
    </w:r>
  </w:p>
  <w:p w14:paraId="03E1188D" w14:textId="77777777" w:rsidR="00AE2DF4" w:rsidRDefault="00AE2DF4">
    <w:pPr>
      <w:pStyle w:val="Cabealho"/>
    </w:pPr>
  </w:p>
  <w:p w14:paraId="6D779324" w14:textId="77777777" w:rsidR="00AE2DF4" w:rsidRDefault="00AE2DF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D2055"/>
    <w:multiLevelType w:val="hybridMultilevel"/>
    <w:tmpl w:val="B41053A6"/>
    <w:lvl w:ilvl="0" w:tplc="6CBE2AD0">
      <w:start w:val="1"/>
      <w:numFmt w:val="lowerLetter"/>
      <w:lvlText w:val="%1)"/>
      <w:lvlJc w:val="left"/>
      <w:pPr>
        <w:ind w:left="1854" w:hanging="360"/>
      </w:pPr>
      <w:rPr>
        <w:rFonts w:ascii="Arial" w:hAnsi="Arial" w:hint="default"/>
        <w:i w:val="0"/>
        <w:iCs w:val="0"/>
        <w:sz w:val="24"/>
        <w:szCs w:val="24"/>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 w15:restartNumberingAfterBreak="0">
    <w:nsid w:val="33D66919"/>
    <w:multiLevelType w:val="hybridMultilevel"/>
    <w:tmpl w:val="E0F4A396"/>
    <w:lvl w:ilvl="0" w:tplc="5D9A50AC">
      <w:start w:val="1"/>
      <w:numFmt w:val="lowerLetter"/>
      <w:lvlText w:val="%1)"/>
      <w:lvlJc w:val="left"/>
      <w:pPr>
        <w:ind w:left="1854" w:hanging="360"/>
      </w:pPr>
      <w:rPr>
        <w:rFonts w:ascii="Arial" w:hAnsi="Arial" w:hint="default"/>
        <w:b w:val="0"/>
        <w:i w:val="0"/>
        <w:iCs w:val="0"/>
        <w:sz w:val="22"/>
        <w:szCs w:val="22"/>
        <w:u w:val="none"/>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 w15:restartNumberingAfterBreak="0">
    <w:nsid w:val="53F40F58"/>
    <w:multiLevelType w:val="hybridMultilevel"/>
    <w:tmpl w:val="9210F9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97506556">
    <w:abstractNumId w:val="2"/>
  </w:num>
  <w:num w:numId="2" w16cid:durableId="1487280032">
    <w:abstractNumId w:val="1"/>
  </w:num>
  <w:num w:numId="3" w16cid:durableId="526797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109"/>
    <w:rsid w:val="0015408B"/>
    <w:rsid w:val="00294205"/>
    <w:rsid w:val="002A7B3D"/>
    <w:rsid w:val="003C536B"/>
    <w:rsid w:val="003D5109"/>
    <w:rsid w:val="00580A36"/>
    <w:rsid w:val="005863C8"/>
    <w:rsid w:val="005907A7"/>
    <w:rsid w:val="005C5BFA"/>
    <w:rsid w:val="006A64D3"/>
    <w:rsid w:val="006F332A"/>
    <w:rsid w:val="007D3D85"/>
    <w:rsid w:val="00826124"/>
    <w:rsid w:val="00876B25"/>
    <w:rsid w:val="008C001E"/>
    <w:rsid w:val="008E0B02"/>
    <w:rsid w:val="00984833"/>
    <w:rsid w:val="009936F6"/>
    <w:rsid w:val="00AE2C88"/>
    <w:rsid w:val="00AE2DF4"/>
    <w:rsid w:val="00BD1E4A"/>
    <w:rsid w:val="00CA1893"/>
    <w:rsid w:val="00CF150A"/>
    <w:rsid w:val="00D7671A"/>
    <w:rsid w:val="00DB3D9B"/>
    <w:rsid w:val="00E53C45"/>
    <w:rsid w:val="00F1447C"/>
    <w:rsid w:val="00F63493"/>
    <w:rsid w:val="00F863C6"/>
    <w:rsid w:val="00FB4044"/>
    <w:rsid w:val="00FD47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43E64"/>
  <w15:chartTrackingRefBased/>
  <w15:docId w15:val="{FA2EB135-07CA-45C5-9ACE-E3E2D9621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3D5109"/>
    <w:pPr>
      <w:tabs>
        <w:tab w:val="center" w:pos="4252"/>
        <w:tab w:val="right" w:pos="8504"/>
      </w:tabs>
      <w:spacing w:after="0" w:line="240" w:lineRule="auto"/>
    </w:pPr>
    <w:rPr>
      <w:rFonts w:ascii="Times New Roman" w:eastAsia="Times New Roman" w:hAnsi="Times New Roman"/>
      <w:sz w:val="24"/>
      <w:szCs w:val="24"/>
      <w:lang w:eastAsia="pt-BR"/>
    </w:rPr>
  </w:style>
  <w:style w:type="character" w:customStyle="1" w:styleId="CabealhoChar">
    <w:name w:val="Cabeçalho Char"/>
    <w:link w:val="Cabealho"/>
    <w:uiPriority w:val="99"/>
    <w:rsid w:val="003D5109"/>
    <w:rPr>
      <w:rFonts w:ascii="Times New Roman" w:eastAsia="Times New Roman" w:hAnsi="Times New Roman"/>
      <w:sz w:val="24"/>
      <w:szCs w:val="24"/>
    </w:rPr>
  </w:style>
  <w:style w:type="paragraph" w:styleId="Textodenotaderodap">
    <w:name w:val="footnote text"/>
    <w:basedOn w:val="Normal"/>
    <w:link w:val="TextodenotaderodapChar"/>
    <w:unhideWhenUsed/>
    <w:rsid w:val="003D5109"/>
    <w:pPr>
      <w:spacing w:after="0" w:line="240" w:lineRule="auto"/>
    </w:pPr>
    <w:rPr>
      <w:sz w:val="20"/>
      <w:szCs w:val="20"/>
    </w:rPr>
  </w:style>
  <w:style w:type="character" w:customStyle="1" w:styleId="TextodenotaderodapChar">
    <w:name w:val="Texto de nota de rodapé Char"/>
    <w:link w:val="Textodenotaderodap"/>
    <w:rsid w:val="003D5109"/>
    <w:rPr>
      <w:lang w:eastAsia="en-US"/>
    </w:rPr>
  </w:style>
  <w:style w:type="character" w:styleId="Refdenotaderodap">
    <w:name w:val="footnote reference"/>
    <w:unhideWhenUsed/>
    <w:rsid w:val="003D5109"/>
    <w:rPr>
      <w:vertAlign w:val="superscript"/>
    </w:rPr>
  </w:style>
  <w:style w:type="paragraph" w:styleId="Corpodetexto">
    <w:name w:val="Body Text"/>
    <w:basedOn w:val="Normal"/>
    <w:link w:val="CorpodetextoChar"/>
    <w:rsid w:val="003D5109"/>
    <w:pPr>
      <w:spacing w:after="120" w:line="240" w:lineRule="auto"/>
    </w:pPr>
    <w:rPr>
      <w:rFonts w:ascii="Times New Roman" w:eastAsia="Times New Roman" w:hAnsi="Times New Roman"/>
      <w:sz w:val="24"/>
      <w:szCs w:val="24"/>
      <w:lang w:eastAsia="pt-BR"/>
    </w:rPr>
  </w:style>
  <w:style w:type="character" w:customStyle="1" w:styleId="CorpodetextoChar">
    <w:name w:val="Corpo de texto Char"/>
    <w:link w:val="Corpodetexto"/>
    <w:rsid w:val="003D5109"/>
    <w:rPr>
      <w:rFonts w:ascii="Times New Roman" w:eastAsia="Times New Roman" w:hAnsi="Times New Roman"/>
      <w:sz w:val="24"/>
      <w:szCs w:val="24"/>
    </w:rPr>
  </w:style>
  <w:style w:type="character" w:styleId="Hyperlink">
    <w:name w:val="Hyperlink"/>
    <w:rsid w:val="003D5109"/>
    <w:rPr>
      <w:rFonts w:ascii="Arial" w:hAnsi="Arial"/>
      <w:color w:val="0000FF"/>
      <w:sz w:val="16"/>
      <w:u w:val="single"/>
    </w:rPr>
  </w:style>
  <w:style w:type="paragraph" w:styleId="NormalWeb">
    <w:name w:val="Normal (Web)"/>
    <w:basedOn w:val="Normal"/>
    <w:uiPriority w:val="99"/>
    <w:rsid w:val="003D5109"/>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uiPriority w:val="22"/>
    <w:qFormat/>
    <w:rsid w:val="003D5109"/>
    <w:rPr>
      <w:b/>
      <w:bCs/>
    </w:rPr>
  </w:style>
  <w:style w:type="paragraph" w:customStyle="1" w:styleId="Ementa">
    <w:name w:val="Ementa"/>
    <w:basedOn w:val="Normal"/>
    <w:rsid w:val="003D5109"/>
    <w:pPr>
      <w:spacing w:before="240" w:after="240" w:line="240" w:lineRule="auto"/>
      <w:ind w:left="4253"/>
      <w:jc w:val="both"/>
    </w:pPr>
    <w:rPr>
      <w:rFonts w:ascii="Arial" w:eastAsia="Times New Roman" w:hAnsi="Arial"/>
      <w:bCs/>
      <w:szCs w:val="24"/>
      <w:lang w:eastAsia="pt-BR"/>
    </w:rPr>
  </w:style>
  <w:style w:type="paragraph" w:customStyle="1" w:styleId="Texto">
    <w:name w:val="Texto"/>
    <w:basedOn w:val="Normal"/>
    <w:rsid w:val="003D5109"/>
    <w:pPr>
      <w:tabs>
        <w:tab w:val="left" w:pos="1260"/>
        <w:tab w:val="left" w:pos="1440"/>
        <w:tab w:val="left" w:pos="1620"/>
        <w:tab w:val="left" w:pos="1800"/>
        <w:tab w:val="left" w:pos="1980"/>
      </w:tabs>
      <w:spacing w:before="120" w:after="0" w:line="240" w:lineRule="auto"/>
      <w:ind w:firstLine="680"/>
      <w:jc w:val="both"/>
    </w:pPr>
    <w:rPr>
      <w:rFonts w:ascii="Arial" w:eastAsia="Times New Roman" w:hAnsi="Arial"/>
      <w:szCs w:val="24"/>
      <w:lang w:eastAsia="pt-BR"/>
    </w:rPr>
  </w:style>
  <w:style w:type="paragraph" w:customStyle="1" w:styleId="ArtigosOrdinais">
    <w:name w:val="ArtigosOrdinais"/>
    <w:basedOn w:val="Normal"/>
    <w:rsid w:val="003D5109"/>
    <w:pPr>
      <w:tabs>
        <w:tab w:val="left" w:pos="1260"/>
        <w:tab w:val="left" w:pos="1440"/>
        <w:tab w:val="left" w:pos="1620"/>
        <w:tab w:val="left" w:pos="1800"/>
        <w:tab w:val="left" w:pos="1980"/>
      </w:tabs>
      <w:spacing w:before="120" w:after="0" w:line="240" w:lineRule="auto"/>
      <w:jc w:val="both"/>
    </w:pPr>
    <w:rPr>
      <w:rFonts w:ascii="Arial" w:eastAsia="Times New Roman" w:hAnsi="Arial"/>
      <w:bCs/>
      <w:szCs w:val="24"/>
      <w:lang w:eastAsia="pt-BR"/>
    </w:rPr>
  </w:style>
  <w:style w:type="character" w:styleId="MenoPendente">
    <w:name w:val="Unresolved Mention"/>
    <w:uiPriority w:val="99"/>
    <w:semiHidden/>
    <w:unhideWhenUsed/>
    <w:rsid w:val="00D7671A"/>
    <w:rPr>
      <w:color w:val="605E5C"/>
      <w:shd w:val="clear" w:color="auto" w:fill="E1DFDD"/>
    </w:rPr>
  </w:style>
  <w:style w:type="paragraph" w:styleId="Rodap">
    <w:name w:val="footer"/>
    <w:basedOn w:val="Normal"/>
    <w:link w:val="RodapChar"/>
    <w:uiPriority w:val="99"/>
    <w:unhideWhenUsed/>
    <w:rsid w:val="00AE2DF4"/>
    <w:pPr>
      <w:tabs>
        <w:tab w:val="center" w:pos="4252"/>
        <w:tab w:val="right" w:pos="8504"/>
      </w:tabs>
    </w:pPr>
  </w:style>
  <w:style w:type="character" w:customStyle="1" w:styleId="RodapChar">
    <w:name w:val="Rodapé Char"/>
    <w:link w:val="Rodap"/>
    <w:uiPriority w:val="99"/>
    <w:rsid w:val="00AE2DF4"/>
    <w:rPr>
      <w:sz w:val="22"/>
      <w:szCs w:val="22"/>
      <w:lang w:eastAsia="en-US"/>
    </w:rPr>
  </w:style>
  <w:style w:type="character" w:customStyle="1" w:styleId="TtuloChar1">
    <w:name w:val="Título Char1"/>
    <w:uiPriority w:val="10"/>
    <w:rsid w:val="00CF150A"/>
    <w:rPr>
      <w:rFonts w:ascii="Cambria" w:eastAsia="Times New Roman" w:hAnsi="Cambria" w:cs="Times New Roman"/>
      <w:color w:val="17365D"/>
      <w:spacing w:val="5"/>
      <w:kern w:val="28"/>
      <w:sz w:val="52"/>
      <w:szCs w:val="52"/>
    </w:rPr>
  </w:style>
  <w:style w:type="character" w:styleId="nfase">
    <w:name w:val="Emphasis"/>
    <w:uiPriority w:val="20"/>
    <w:qFormat/>
    <w:rsid w:val="00CF150A"/>
    <w:rPr>
      <w:b/>
      <w:bCs/>
      <w:i w:val="0"/>
      <w:iCs w:val="0"/>
    </w:rPr>
  </w:style>
  <w:style w:type="character" w:styleId="HiperlinkVisitado">
    <w:name w:val="FollowedHyperlink"/>
    <w:basedOn w:val="Fontepargpadro"/>
    <w:uiPriority w:val="99"/>
    <w:semiHidden/>
    <w:unhideWhenUsed/>
    <w:rsid w:val="008C00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1.tce.pr.gov.br/multimidia/2006/1/pdf/0000057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1440</Words>
  <Characters>7776</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Rohrich da Fonseca</dc:creator>
  <cp:keywords/>
  <dc:description/>
  <cp:lastModifiedBy>Yarusya</cp:lastModifiedBy>
  <cp:revision>16</cp:revision>
  <dcterms:created xsi:type="dcterms:W3CDTF">2019-09-12T16:47:00Z</dcterms:created>
  <dcterms:modified xsi:type="dcterms:W3CDTF">2022-06-28T20:26:00Z</dcterms:modified>
</cp:coreProperties>
</file>