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4B77" w14:textId="1E7850B5" w:rsidR="008A502C" w:rsidRDefault="008A502C" w:rsidP="008A502C">
      <w:pPr>
        <w:tabs>
          <w:tab w:val="left" w:pos="1260"/>
          <w:tab w:val="left" w:pos="1440"/>
          <w:tab w:val="left" w:pos="1620"/>
          <w:tab w:val="left" w:pos="1800"/>
          <w:tab w:val="left" w:pos="1980"/>
        </w:tabs>
        <w:spacing w:after="120" w:line="240" w:lineRule="auto"/>
        <w:jc w:val="center"/>
        <w:rPr>
          <w:rFonts w:ascii="Arial" w:hAnsi="Arial" w:cs="Arial"/>
          <w:b/>
          <w:bCs/>
          <w:sz w:val="28"/>
          <w:szCs w:val="28"/>
        </w:rPr>
      </w:pPr>
      <w:r>
        <w:rPr>
          <w:rFonts w:ascii="Arial" w:hAnsi="Arial" w:cs="Arial"/>
          <w:b/>
          <w:bCs/>
          <w:sz w:val="28"/>
          <w:szCs w:val="28"/>
        </w:rPr>
        <w:t xml:space="preserve">INSTRUÇÃO NORMATIVA Nº </w:t>
      </w:r>
      <w:r w:rsidR="00805CC8">
        <w:rPr>
          <w:rFonts w:ascii="Arial" w:hAnsi="Arial" w:cs="Arial"/>
          <w:b/>
          <w:bCs/>
          <w:sz w:val="28"/>
          <w:szCs w:val="28"/>
        </w:rPr>
        <w:t>166</w:t>
      </w:r>
      <w:r>
        <w:rPr>
          <w:rFonts w:ascii="Arial" w:hAnsi="Arial" w:cs="Arial"/>
          <w:b/>
          <w:bCs/>
          <w:sz w:val="28"/>
          <w:szCs w:val="28"/>
        </w:rPr>
        <w:t>/2021</w:t>
      </w:r>
      <w:r w:rsidR="00E87423">
        <w:rPr>
          <w:rStyle w:val="Refdenotaderodap"/>
          <w:rFonts w:ascii="Arial" w:hAnsi="Arial" w:cs="Arial"/>
          <w:b/>
          <w:bCs/>
          <w:sz w:val="28"/>
          <w:szCs w:val="28"/>
        </w:rPr>
        <w:footnoteReference w:id="1"/>
      </w:r>
    </w:p>
    <w:p w14:paraId="5BF918F3" w14:textId="0BE1B4A0" w:rsidR="003B66FE" w:rsidRPr="007833D8" w:rsidRDefault="007833D8" w:rsidP="008A502C">
      <w:pPr>
        <w:tabs>
          <w:tab w:val="left" w:pos="1260"/>
          <w:tab w:val="left" w:pos="1440"/>
          <w:tab w:val="left" w:pos="1620"/>
          <w:tab w:val="left" w:pos="1800"/>
          <w:tab w:val="left" w:pos="1980"/>
        </w:tabs>
        <w:spacing w:after="120" w:line="240" w:lineRule="auto"/>
        <w:jc w:val="center"/>
        <w:rPr>
          <w:rFonts w:ascii="Arial" w:hAnsi="Arial" w:cs="Arial"/>
          <w:b/>
          <w:bCs/>
          <w:color w:val="0000FF"/>
          <w:sz w:val="26"/>
          <w:szCs w:val="26"/>
          <w:lang w:eastAsia="pt-BR"/>
        </w:rPr>
      </w:pPr>
      <w:r w:rsidRPr="007833D8">
        <w:rPr>
          <w:rFonts w:ascii="Arial" w:hAnsi="Arial" w:cs="Arial"/>
          <w:b/>
          <w:bCs/>
          <w:color w:val="0000FF"/>
          <w:sz w:val="26"/>
          <w:szCs w:val="26"/>
        </w:rPr>
        <w:t>CO</w:t>
      </w:r>
      <w:r w:rsidR="00D91ADB">
        <w:rPr>
          <w:rFonts w:ascii="Arial" w:hAnsi="Arial" w:cs="Arial"/>
          <w:b/>
          <w:bCs/>
          <w:color w:val="0000FF"/>
          <w:sz w:val="26"/>
          <w:szCs w:val="26"/>
        </w:rPr>
        <w:t>MPILADA</w:t>
      </w:r>
    </w:p>
    <w:p w14:paraId="42C6CCCD" w14:textId="77777777" w:rsidR="008A502C" w:rsidRPr="00675BC3" w:rsidRDefault="008A502C" w:rsidP="00806909">
      <w:pPr>
        <w:spacing w:before="360" w:after="360" w:line="240" w:lineRule="auto"/>
        <w:ind w:left="4536"/>
        <w:jc w:val="both"/>
        <w:rPr>
          <w:rFonts w:ascii="Arial" w:hAnsi="Arial" w:cs="Arial"/>
          <w:bCs/>
          <w:i/>
        </w:rPr>
      </w:pPr>
      <w:r w:rsidRPr="00675BC3">
        <w:rPr>
          <w:rFonts w:ascii="Arial" w:hAnsi="Arial" w:cs="Arial"/>
          <w:i/>
        </w:rPr>
        <w:t xml:space="preserve">Dispõe sobre </w:t>
      </w:r>
      <w:r w:rsidRPr="00675BC3">
        <w:rPr>
          <w:rFonts w:ascii="Arial" w:hAnsi="Arial" w:cs="Arial"/>
          <w:bCs/>
          <w:i/>
        </w:rPr>
        <w:t>a Agenda de Obrigações Municipais para o exercício financeiro de 202</w:t>
      </w:r>
      <w:r>
        <w:rPr>
          <w:rFonts w:ascii="Arial" w:hAnsi="Arial" w:cs="Arial"/>
          <w:bCs/>
          <w:i/>
        </w:rPr>
        <w:t>2</w:t>
      </w:r>
      <w:r w:rsidRPr="00675BC3">
        <w:rPr>
          <w:rFonts w:ascii="Arial" w:hAnsi="Arial" w:cs="Arial"/>
          <w:bCs/>
          <w:i/>
        </w:rPr>
        <w:t>, a ser observada pela Administração Direta e Indireta dos Poderes Executivo e Legislativo dos Municípios do Estado do Paraná.</w:t>
      </w:r>
    </w:p>
    <w:p w14:paraId="5FABB3A1" w14:textId="6C7B7EB2" w:rsidR="008A502C" w:rsidRPr="00675BC3" w:rsidRDefault="008A502C" w:rsidP="00806909">
      <w:pPr>
        <w:tabs>
          <w:tab w:val="left" w:pos="1260"/>
          <w:tab w:val="left" w:pos="1440"/>
          <w:tab w:val="left" w:pos="1620"/>
          <w:tab w:val="left" w:pos="1800"/>
          <w:tab w:val="left" w:pos="1980"/>
        </w:tabs>
        <w:spacing w:after="120" w:line="240" w:lineRule="auto"/>
        <w:ind w:firstLine="1134"/>
        <w:jc w:val="both"/>
        <w:rPr>
          <w:rFonts w:ascii="Arial" w:hAnsi="Arial" w:cs="Arial"/>
          <w:sz w:val="24"/>
          <w:szCs w:val="24"/>
        </w:rPr>
      </w:pPr>
      <w:r w:rsidRPr="00675BC3">
        <w:rPr>
          <w:rFonts w:ascii="Arial" w:hAnsi="Arial" w:cs="Arial"/>
          <w:sz w:val="24"/>
          <w:szCs w:val="24"/>
        </w:rPr>
        <w:t xml:space="preserve">O </w:t>
      </w:r>
      <w:r w:rsidRPr="00675BC3">
        <w:rPr>
          <w:rFonts w:ascii="Arial" w:hAnsi="Arial" w:cs="Arial"/>
          <w:b/>
          <w:sz w:val="24"/>
          <w:szCs w:val="24"/>
        </w:rPr>
        <w:t>TRIBUNAL DE CONTAS DO ESTADO DO PARANÁ</w:t>
      </w:r>
      <w:r w:rsidRPr="00675BC3">
        <w:rPr>
          <w:rFonts w:ascii="Arial" w:hAnsi="Arial" w:cs="Arial"/>
          <w:sz w:val="24"/>
          <w:szCs w:val="24"/>
        </w:rPr>
        <w:t xml:space="preserve">, no uso das atribuições contidas no art. 2º, I, da Lei Complementar nº 113, de 15 de dezembro de 2005, e no art. 5º, XIII, do Regimento Interno, com base nos </w:t>
      </w:r>
      <w:proofErr w:type="spellStart"/>
      <w:r w:rsidRPr="00675BC3">
        <w:rPr>
          <w:rFonts w:ascii="Arial" w:hAnsi="Arial" w:cs="Arial"/>
          <w:sz w:val="24"/>
          <w:szCs w:val="24"/>
        </w:rPr>
        <w:t>arts</w:t>
      </w:r>
      <w:proofErr w:type="spellEnd"/>
      <w:r w:rsidRPr="00675BC3">
        <w:rPr>
          <w:rFonts w:ascii="Arial" w:hAnsi="Arial" w:cs="Arial"/>
          <w:sz w:val="24"/>
          <w:szCs w:val="24"/>
        </w:rPr>
        <w:t xml:space="preserve">. 193, parágrafo único, e 216-A, também do Regimento Interno, </w:t>
      </w:r>
      <w:r w:rsidR="00805CC8">
        <w:rPr>
          <w:rFonts w:ascii="Arial" w:hAnsi="Arial" w:cs="Arial"/>
          <w:sz w:val="24"/>
          <w:szCs w:val="24"/>
        </w:rPr>
        <w:t xml:space="preserve">e considerando o </w:t>
      </w:r>
      <w:hyperlink r:id="rId11" w:history="1">
        <w:r w:rsidR="00805CC8" w:rsidRPr="003F6DAB">
          <w:rPr>
            <w:rStyle w:val="Hyperlink"/>
            <w:rFonts w:ascii="Arial" w:hAnsi="Arial" w:cs="Arial"/>
            <w:sz w:val="24"/>
            <w:szCs w:val="24"/>
          </w:rPr>
          <w:t>Acórdão nº 2.973/21</w:t>
        </w:r>
        <w:r w:rsidR="00D55580" w:rsidRPr="003F6DAB">
          <w:rPr>
            <w:rStyle w:val="Hyperlink"/>
            <w:rFonts w:ascii="Arial" w:hAnsi="Arial" w:cs="Arial"/>
            <w:sz w:val="24"/>
            <w:szCs w:val="24"/>
          </w:rPr>
          <w:t>-Tribunal Pleno</w:t>
        </w:r>
      </w:hyperlink>
      <w:r w:rsidR="00805CC8">
        <w:rPr>
          <w:rFonts w:ascii="Arial" w:hAnsi="Arial" w:cs="Arial"/>
          <w:sz w:val="24"/>
          <w:szCs w:val="24"/>
        </w:rPr>
        <w:t>, Processo nº 607169/21,</w:t>
      </w:r>
    </w:p>
    <w:p w14:paraId="59171B8D" w14:textId="77777777" w:rsidR="008A502C" w:rsidRPr="0071586F" w:rsidRDefault="008A502C" w:rsidP="008C596C">
      <w:pPr>
        <w:tabs>
          <w:tab w:val="left" w:pos="1260"/>
          <w:tab w:val="left" w:pos="1440"/>
          <w:tab w:val="left" w:pos="1620"/>
          <w:tab w:val="left" w:pos="1800"/>
          <w:tab w:val="left" w:pos="1980"/>
        </w:tabs>
        <w:spacing w:before="360" w:after="360" w:line="240" w:lineRule="auto"/>
        <w:ind w:firstLine="1134"/>
        <w:rPr>
          <w:rFonts w:ascii="Arial" w:hAnsi="Arial" w:cs="Arial"/>
          <w:b/>
          <w:sz w:val="24"/>
          <w:szCs w:val="24"/>
        </w:rPr>
      </w:pPr>
      <w:r w:rsidRPr="0071586F">
        <w:rPr>
          <w:rFonts w:ascii="Arial" w:hAnsi="Arial" w:cs="Arial"/>
          <w:b/>
          <w:sz w:val="24"/>
          <w:szCs w:val="24"/>
        </w:rPr>
        <w:t>RESOLVE</w:t>
      </w:r>
      <w:r>
        <w:rPr>
          <w:rFonts w:ascii="Arial" w:hAnsi="Arial" w:cs="Arial"/>
          <w:b/>
          <w:sz w:val="24"/>
          <w:szCs w:val="24"/>
        </w:rPr>
        <w:t>:</w:t>
      </w:r>
    </w:p>
    <w:p w14:paraId="6688D7E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1º</w:t>
      </w:r>
      <w:r w:rsidRPr="0071586F">
        <w:rPr>
          <w:rFonts w:ascii="Arial" w:hAnsi="Arial" w:cs="Arial"/>
          <w:sz w:val="24"/>
          <w:szCs w:val="24"/>
        </w:rPr>
        <w:t xml:space="preserve"> Esta Instrução Normativa regulamenta a Agenda de Obrigações Municipais para o exercício financeiro de 202</w:t>
      </w:r>
      <w:r>
        <w:rPr>
          <w:rFonts w:ascii="Arial" w:hAnsi="Arial" w:cs="Arial"/>
          <w:sz w:val="24"/>
          <w:szCs w:val="24"/>
        </w:rPr>
        <w:t>2</w:t>
      </w:r>
      <w:r w:rsidRPr="0071586F">
        <w:rPr>
          <w:rFonts w:ascii="Arial" w:hAnsi="Arial" w:cs="Arial"/>
          <w:sz w:val="24"/>
          <w:szCs w:val="24"/>
        </w:rPr>
        <w:t xml:space="preserve">, a ser observada pela Administração Direta e Indireta dos Poderes Executivo e Legislativo dos Municípios do Estado do Paraná, no período de </w:t>
      </w:r>
      <w:r>
        <w:rPr>
          <w:rFonts w:ascii="Arial" w:hAnsi="Arial" w:cs="Arial"/>
          <w:sz w:val="24"/>
          <w:szCs w:val="24"/>
        </w:rPr>
        <w:t>janeiro</w:t>
      </w:r>
      <w:r w:rsidRPr="0071586F">
        <w:rPr>
          <w:rFonts w:ascii="Arial" w:hAnsi="Arial" w:cs="Arial"/>
          <w:sz w:val="24"/>
          <w:szCs w:val="24"/>
        </w:rPr>
        <w:t xml:space="preserve"> a dezembro de 202</w:t>
      </w:r>
      <w:r>
        <w:rPr>
          <w:rFonts w:ascii="Arial" w:hAnsi="Arial" w:cs="Arial"/>
          <w:sz w:val="24"/>
          <w:szCs w:val="24"/>
        </w:rPr>
        <w:t>2</w:t>
      </w:r>
      <w:r w:rsidRPr="0071586F">
        <w:rPr>
          <w:rFonts w:ascii="Arial" w:hAnsi="Arial" w:cs="Arial"/>
          <w:sz w:val="24"/>
          <w:szCs w:val="24"/>
        </w:rPr>
        <w:t>.</w:t>
      </w:r>
    </w:p>
    <w:p w14:paraId="2AD0619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Parágrafo único. Para efeito do </w:t>
      </w:r>
      <w:r w:rsidRPr="0071586F">
        <w:rPr>
          <w:rFonts w:ascii="Arial" w:hAnsi="Arial" w:cs="Arial"/>
          <w:i/>
          <w:sz w:val="24"/>
          <w:szCs w:val="24"/>
        </w:rPr>
        <w:t>caput</w:t>
      </w:r>
      <w:r w:rsidRPr="0071586F">
        <w:rPr>
          <w:rFonts w:ascii="Arial" w:hAnsi="Arial" w:cs="Arial"/>
          <w:sz w:val="24"/>
          <w:szCs w:val="24"/>
        </w:rPr>
        <w:t>, a Administração Indireta abrange:</w:t>
      </w:r>
    </w:p>
    <w:p w14:paraId="173B893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 - fundos com contabilidade descentralizada;</w:t>
      </w:r>
    </w:p>
    <w:p w14:paraId="620BA36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 - autarquias;</w:t>
      </w:r>
    </w:p>
    <w:p w14:paraId="7389590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III - fundações de direito público;</w:t>
      </w:r>
    </w:p>
    <w:p w14:paraId="77291F81"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IV - consórcios intermunicipais e entidades congêneres;</w:t>
      </w:r>
    </w:p>
    <w:p w14:paraId="7FAAA07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 - empresas públicas;</w:t>
      </w:r>
    </w:p>
    <w:p w14:paraId="4FDA877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 - sociedades de economia mista;</w:t>
      </w:r>
    </w:p>
    <w:p w14:paraId="0D8AB2ED"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VII - fundações públicas de direito privado.</w:t>
      </w:r>
    </w:p>
    <w:p w14:paraId="1CFEDC68"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2º</w:t>
      </w:r>
      <w:r w:rsidRPr="0071586F">
        <w:rPr>
          <w:rFonts w:ascii="Arial" w:hAnsi="Arial" w:cs="Arial"/>
          <w:sz w:val="24"/>
          <w:szCs w:val="24"/>
        </w:rPr>
        <w:t xml:space="preserve"> Fica instituída a Agenda de Obrigações Municipais para o exercício financeiro de 202</w:t>
      </w:r>
      <w:r>
        <w:rPr>
          <w:rFonts w:ascii="Arial" w:hAnsi="Arial" w:cs="Arial"/>
          <w:sz w:val="24"/>
          <w:szCs w:val="24"/>
        </w:rPr>
        <w:t>2</w:t>
      </w:r>
      <w:r w:rsidRPr="0071586F">
        <w:rPr>
          <w:rFonts w:ascii="Arial" w:hAnsi="Arial" w:cs="Arial"/>
          <w:sz w:val="24"/>
          <w:szCs w:val="24"/>
        </w:rPr>
        <w:t>, na forma estabelecida no Anexo desta Instrução Normativa, com aplicabilidade a todos os órgãos e entidades dos Poderes Executivo e Legislativo dos Municípios do Estado do Paraná, incluindo consórcios intermunicipais e entidades congêneres, empresas públicas, sociedades de economia mista e fundações públicas de direito privado.</w:t>
      </w:r>
    </w:p>
    <w:p w14:paraId="785A3EFF" w14:textId="77777777" w:rsidR="008A502C"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lastRenderedPageBreak/>
        <w:t>§ 1º Os prazos relativos a obrigações decorrentes da elaboração de Relatórios de Gestão Fiscal na periodicidade quadrimestral se aplicam igualmente aos Municípios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392FA5D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Aos consórcios intermunicipais e entidades congêneres aplicam-se os prazos referentes a obrigações decorrentes da elaboração de Relatórios de Gestão Fiscal na periodicidade quadrimestral.</w:t>
      </w:r>
    </w:p>
    <w:p w14:paraId="73F9DD7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3º As obrigações relacionadas no Anexo aplicam-se a todas as sociedades de economia mista e empresas públicas municipais, sejam elas dependentes ou não, para efeito da LRF.</w:t>
      </w:r>
    </w:p>
    <w:p w14:paraId="53B2903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3º</w:t>
      </w:r>
      <w:r w:rsidRPr="0071586F">
        <w:rPr>
          <w:rFonts w:ascii="Arial" w:hAnsi="Arial" w:cs="Arial"/>
          <w:sz w:val="24"/>
          <w:szCs w:val="24"/>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0454B5B4" w14:textId="613FCA3F"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1º Para efeito da emissão da Certidão Liberatória, o cumprimento do disposto no </w:t>
      </w:r>
      <w:r w:rsidRPr="0071586F">
        <w:rPr>
          <w:rFonts w:ascii="Arial" w:hAnsi="Arial" w:cs="Arial"/>
          <w:i/>
          <w:sz w:val="24"/>
          <w:szCs w:val="24"/>
        </w:rPr>
        <w:t>caput</w:t>
      </w:r>
      <w:r w:rsidRPr="0071586F">
        <w:rPr>
          <w:rFonts w:ascii="Arial" w:hAnsi="Arial" w:cs="Arial"/>
          <w:sz w:val="24"/>
          <w:szCs w:val="24"/>
        </w:rPr>
        <w:t xml:space="preserve"> deverá observar a listagem de informações mínimas estabelecidas na </w:t>
      </w:r>
      <w:hyperlink r:id="rId12" w:history="1">
        <w:r w:rsidRPr="001D3D13">
          <w:rPr>
            <w:rStyle w:val="Hyperlink"/>
            <w:rFonts w:ascii="Arial" w:hAnsi="Arial" w:cs="Arial"/>
            <w:sz w:val="24"/>
            <w:szCs w:val="24"/>
          </w:rPr>
          <w:t>Instrução Normativa nº 89/2013</w:t>
        </w:r>
      </w:hyperlink>
      <w:r w:rsidRPr="0071586F">
        <w:rPr>
          <w:rFonts w:ascii="Arial" w:hAnsi="Arial" w:cs="Arial"/>
          <w:sz w:val="24"/>
          <w:szCs w:val="24"/>
        </w:rPr>
        <w:t>, do Tribunal de Contas do Estado do Paraná.</w:t>
      </w:r>
    </w:p>
    <w:p w14:paraId="40CB74A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 verificação da regularidade quanto ao disposto neste artigo será efetivada periodicamente, sendo item obrigatório nos procedimentos de Análise de Gestão Fiscal, realizada nos termos das Instruções Normativas atinentes ao assunto.</w:t>
      </w:r>
    </w:p>
    <w:p w14:paraId="5848438D" w14:textId="62FFDA34"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3º Para os fins do previsto no § 2º, a entidade deverá prestar bimestralmente a declaração de atendimento à Lei da Transparência, nos termos do art. 42 da </w:t>
      </w:r>
      <w:hyperlink r:id="rId13" w:history="1">
        <w:r w:rsidRPr="001D3D13">
          <w:rPr>
            <w:rStyle w:val="Hyperlink"/>
            <w:rFonts w:ascii="Arial" w:hAnsi="Arial" w:cs="Arial"/>
            <w:sz w:val="24"/>
            <w:szCs w:val="24"/>
          </w:rPr>
          <w:t>Instrução Normativa nº 89/2013</w:t>
        </w:r>
      </w:hyperlink>
      <w:r w:rsidRPr="0071586F">
        <w:rPr>
          <w:rFonts w:ascii="Arial" w:hAnsi="Arial" w:cs="Arial"/>
          <w:sz w:val="24"/>
          <w:szCs w:val="24"/>
        </w:rPr>
        <w:t>.</w:t>
      </w:r>
    </w:p>
    <w:p w14:paraId="67545A3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4º A falta da declaração prevista no § 3º poderá implicar a emissão de Análise de Gestão Fiscal com indicação de irregularidade, constituindo impedimento ao recebimento da Certidão Liberatória.</w:t>
      </w:r>
    </w:p>
    <w:p w14:paraId="2A16536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4º</w:t>
      </w:r>
      <w:r w:rsidRPr="0071586F">
        <w:rPr>
          <w:rFonts w:ascii="Arial" w:hAnsi="Arial" w:cs="Arial"/>
          <w:sz w:val="24"/>
          <w:szCs w:val="24"/>
        </w:rPr>
        <w:t xml:space="preserve"> O descumprimento desta Instrução Normativa enseja aplicação de multa administrativa, nos moldes da Lei Complementar nº 113/2005.</w:t>
      </w:r>
    </w:p>
    <w:p w14:paraId="3589E185"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5º</w:t>
      </w:r>
      <w:r w:rsidRPr="0071586F">
        <w:rPr>
          <w:rFonts w:ascii="Arial" w:hAnsi="Arial" w:cs="Arial"/>
          <w:sz w:val="24"/>
          <w:szCs w:val="24"/>
        </w:rPr>
        <w:t xml:space="preserve"> Esta Instrução Normativa entra em vigor na data de sua publicação.</w:t>
      </w:r>
    </w:p>
    <w:p w14:paraId="059D7C05" w14:textId="77777777" w:rsidR="008A502C" w:rsidRDefault="008A502C" w:rsidP="00234836">
      <w:pPr>
        <w:spacing w:after="120" w:line="240" w:lineRule="auto"/>
        <w:jc w:val="center"/>
        <w:rPr>
          <w:rFonts w:ascii="Arial" w:hAnsi="Arial" w:cs="Arial"/>
          <w:sz w:val="24"/>
          <w:szCs w:val="24"/>
        </w:rPr>
      </w:pPr>
      <w:r w:rsidRPr="0071586F">
        <w:rPr>
          <w:rFonts w:ascii="Arial" w:hAnsi="Arial" w:cs="Arial"/>
          <w:sz w:val="24"/>
          <w:szCs w:val="24"/>
        </w:rPr>
        <w:t>Curitiba,</w:t>
      </w:r>
      <w:r>
        <w:rPr>
          <w:rFonts w:ascii="Arial" w:hAnsi="Arial" w:cs="Arial"/>
          <w:sz w:val="24"/>
          <w:szCs w:val="24"/>
        </w:rPr>
        <w:t xml:space="preserve"> </w:t>
      </w:r>
      <w:r w:rsidR="00234836">
        <w:rPr>
          <w:rFonts w:ascii="Arial" w:hAnsi="Arial" w:cs="Arial"/>
          <w:sz w:val="24"/>
          <w:szCs w:val="24"/>
        </w:rPr>
        <w:t>10</w:t>
      </w:r>
      <w:r w:rsidRPr="0071586F">
        <w:rPr>
          <w:rFonts w:ascii="Arial" w:hAnsi="Arial" w:cs="Arial"/>
          <w:sz w:val="24"/>
          <w:szCs w:val="24"/>
        </w:rPr>
        <w:t xml:space="preserve"> de </w:t>
      </w:r>
      <w:r w:rsidR="00234836">
        <w:rPr>
          <w:rFonts w:ascii="Arial" w:hAnsi="Arial" w:cs="Arial"/>
          <w:sz w:val="24"/>
          <w:szCs w:val="24"/>
        </w:rPr>
        <w:t>novembro</w:t>
      </w:r>
      <w:r w:rsidRPr="0071586F">
        <w:rPr>
          <w:rFonts w:ascii="Arial" w:hAnsi="Arial" w:cs="Arial"/>
          <w:sz w:val="24"/>
          <w:szCs w:val="24"/>
        </w:rPr>
        <w:t xml:space="preserve"> de 202</w:t>
      </w:r>
      <w:r>
        <w:rPr>
          <w:rFonts w:ascii="Arial" w:hAnsi="Arial" w:cs="Arial"/>
          <w:sz w:val="24"/>
          <w:szCs w:val="24"/>
        </w:rPr>
        <w:t>1</w:t>
      </w:r>
      <w:r w:rsidRPr="0071586F">
        <w:rPr>
          <w:rFonts w:ascii="Arial" w:hAnsi="Arial" w:cs="Arial"/>
          <w:sz w:val="24"/>
          <w:szCs w:val="24"/>
        </w:rPr>
        <w:t>.</w:t>
      </w:r>
    </w:p>
    <w:p w14:paraId="05AB70FC" w14:textId="77777777" w:rsidR="00B3187D" w:rsidRDefault="00B3187D" w:rsidP="00B3187D">
      <w:pPr>
        <w:spacing w:after="120" w:line="240" w:lineRule="auto"/>
        <w:ind w:firstLine="1134"/>
        <w:jc w:val="both"/>
        <w:rPr>
          <w:rFonts w:ascii="Arial" w:hAnsi="Arial" w:cs="Arial"/>
          <w:szCs w:val="24"/>
        </w:rPr>
      </w:pPr>
    </w:p>
    <w:p w14:paraId="0FE1DCA6" w14:textId="38B2C995" w:rsidR="00D45B39" w:rsidRDefault="008A502C" w:rsidP="001D3D13">
      <w:pPr>
        <w:overflowPunct w:val="0"/>
        <w:adjustRightInd w:val="0"/>
        <w:spacing w:after="0" w:line="240" w:lineRule="auto"/>
        <w:jc w:val="center"/>
        <w:textAlignment w:val="baseline"/>
        <w:rPr>
          <w:rFonts w:ascii="Arial" w:hAnsi="Arial" w:cs="Arial"/>
          <w:szCs w:val="24"/>
        </w:rPr>
      </w:pPr>
      <w:r w:rsidRPr="00B3187D">
        <w:rPr>
          <w:rFonts w:ascii="Arial" w:hAnsi="Arial" w:cs="Arial"/>
          <w:sz w:val="24"/>
          <w:szCs w:val="24"/>
        </w:rPr>
        <w:t>- assinatura digital -</w:t>
      </w:r>
      <w:r w:rsidRPr="0071586F">
        <w:rPr>
          <w:rFonts w:ascii="Arial" w:hAnsi="Arial" w:cs="Arial"/>
          <w:sz w:val="24"/>
          <w:szCs w:val="24"/>
        </w:rPr>
        <w:br/>
      </w:r>
      <w:r w:rsidRPr="00757A72">
        <w:rPr>
          <w:rFonts w:ascii="Arial" w:hAnsi="Arial" w:cs="Arial"/>
          <w:b/>
          <w:bCs/>
          <w:sz w:val="24"/>
          <w:szCs w:val="24"/>
        </w:rPr>
        <w:t>Conselheiro</w:t>
      </w:r>
      <w:r w:rsidRPr="0071586F">
        <w:rPr>
          <w:rFonts w:ascii="Arial" w:hAnsi="Arial" w:cs="Arial"/>
          <w:b/>
          <w:bCs/>
          <w:sz w:val="24"/>
          <w:szCs w:val="24"/>
        </w:rPr>
        <w:t xml:space="preserve"> </w:t>
      </w:r>
      <w:r>
        <w:rPr>
          <w:rFonts w:ascii="Arial" w:hAnsi="Arial" w:cs="Arial"/>
          <w:b/>
          <w:bCs/>
          <w:sz w:val="24"/>
          <w:szCs w:val="24"/>
        </w:rPr>
        <w:t>FABIO CAMARGO</w:t>
      </w:r>
      <w:r w:rsidRPr="0071586F">
        <w:rPr>
          <w:rFonts w:ascii="Arial" w:hAnsi="Arial" w:cs="Arial"/>
          <w:sz w:val="24"/>
          <w:szCs w:val="24"/>
        </w:rPr>
        <w:br/>
        <w:t>Presidente</w:t>
      </w:r>
    </w:p>
    <w:p w14:paraId="66DA7956" w14:textId="77777777" w:rsidR="00D45B39" w:rsidRDefault="00D45B39" w:rsidP="00D45B39">
      <w:pPr>
        <w:spacing w:after="0" w:line="312" w:lineRule="auto"/>
        <w:rPr>
          <w:rFonts w:ascii="Arial" w:hAnsi="Arial" w:cs="Arial"/>
          <w:szCs w:val="24"/>
        </w:rPr>
        <w:sectPr w:rsidR="00D45B39" w:rsidSect="00806909">
          <w:headerReference w:type="default" r:id="rId14"/>
          <w:footnotePr>
            <w:numFmt w:val="chicago"/>
          </w:footnotePr>
          <w:pgSz w:w="11907" w:h="16839"/>
          <w:pgMar w:top="1418" w:right="1701" w:bottom="1418" w:left="1701" w:header="720" w:footer="720" w:gutter="0"/>
          <w:cols w:space="720"/>
          <w:docGrid w:linePitch="299"/>
        </w:sectPr>
      </w:pPr>
    </w:p>
    <w:p w14:paraId="666DB873" w14:textId="77777777" w:rsidR="00D45B39" w:rsidRDefault="00D45B39" w:rsidP="00D45B39">
      <w:pPr>
        <w:spacing w:before="120" w:after="0"/>
        <w:jc w:val="center"/>
        <w:rPr>
          <w:rFonts w:ascii="Arial" w:hAnsi="Arial" w:cs="Arial"/>
          <w:b/>
          <w:sz w:val="28"/>
          <w:szCs w:val="28"/>
        </w:rPr>
      </w:pPr>
      <w:r>
        <w:rPr>
          <w:rFonts w:ascii="Arial" w:hAnsi="Arial" w:cs="Arial"/>
          <w:b/>
          <w:smallCaps/>
          <w:sz w:val="28"/>
          <w:szCs w:val="28"/>
          <w:lang w:val="x-none" w:eastAsia="x-none"/>
        </w:rPr>
        <w:lastRenderedPageBreak/>
        <w:t>ANEXO</w:t>
      </w:r>
      <w:r>
        <w:rPr>
          <w:rFonts w:ascii="Arial" w:hAnsi="Arial" w:cs="Arial"/>
          <w:b/>
          <w:smallCaps/>
          <w:sz w:val="28"/>
          <w:szCs w:val="28"/>
          <w:lang w:eastAsia="x-none"/>
        </w:rPr>
        <w:t xml:space="preserve"> - </w:t>
      </w:r>
      <w:r>
        <w:rPr>
          <w:rFonts w:ascii="Arial" w:hAnsi="Arial" w:cs="Arial"/>
          <w:b/>
          <w:sz w:val="28"/>
          <w:szCs w:val="28"/>
        </w:rPr>
        <w:t xml:space="preserve">Instrução Normativa nº </w:t>
      </w:r>
      <w:r w:rsidR="00234836">
        <w:rPr>
          <w:rFonts w:ascii="Arial" w:hAnsi="Arial" w:cs="Arial"/>
          <w:b/>
          <w:sz w:val="28"/>
          <w:szCs w:val="28"/>
        </w:rPr>
        <w:t>166</w:t>
      </w:r>
      <w:r>
        <w:rPr>
          <w:rFonts w:ascii="Arial" w:hAnsi="Arial" w:cs="Arial"/>
          <w:b/>
          <w:sz w:val="28"/>
          <w:szCs w:val="28"/>
        </w:rPr>
        <w:t>/202</w:t>
      </w:r>
      <w:r w:rsidR="00234836">
        <w:rPr>
          <w:rFonts w:ascii="Arial" w:hAnsi="Arial" w:cs="Arial"/>
          <w:b/>
          <w:sz w:val="28"/>
          <w:szCs w:val="28"/>
        </w:rPr>
        <w:t>1</w:t>
      </w:r>
    </w:p>
    <w:p w14:paraId="1A49F650" w14:textId="77777777" w:rsidR="00D45B39" w:rsidRDefault="00D45B39" w:rsidP="00D45B39">
      <w:pPr>
        <w:spacing w:before="120" w:after="240" w:line="240" w:lineRule="auto"/>
        <w:jc w:val="both"/>
        <w:rPr>
          <w:rFonts w:ascii="Arial" w:hAnsi="Arial" w:cs="Arial"/>
          <w:b/>
          <w:bCs/>
          <w:szCs w:val="24"/>
        </w:rPr>
      </w:pPr>
    </w:p>
    <w:p w14:paraId="227B0912" w14:textId="77777777" w:rsidR="00D45B39" w:rsidRPr="00F9258A" w:rsidRDefault="00D45B39" w:rsidP="00D45B39">
      <w:pPr>
        <w:spacing w:before="120" w:after="240" w:line="240" w:lineRule="auto"/>
        <w:jc w:val="both"/>
        <w:rPr>
          <w:rFonts w:ascii="Arial" w:hAnsi="Arial" w:cs="Arial"/>
          <w:szCs w:val="24"/>
        </w:rPr>
      </w:pPr>
      <w:r w:rsidRPr="00F9258A">
        <w:rPr>
          <w:rFonts w:ascii="Arial" w:hAnsi="Arial" w:cs="Arial"/>
          <w:b/>
          <w:bCs/>
          <w:szCs w:val="24"/>
        </w:rPr>
        <w:t>Aplicabilidade</w:t>
      </w:r>
      <w:r w:rsidRPr="00F9258A">
        <w:rPr>
          <w:rFonts w:ascii="Arial" w:hAnsi="Arial" w:cs="Arial"/>
          <w:bCs/>
          <w:szCs w:val="24"/>
        </w:rPr>
        <w:t xml:space="preserve">: </w:t>
      </w:r>
      <w:r w:rsidRPr="00F9258A">
        <w:rPr>
          <w:rFonts w:ascii="Arial" w:hAnsi="Arial" w:cs="Arial"/>
          <w:szCs w:val="24"/>
        </w:rPr>
        <w:t>Todas as entidades dos Poderes Executivo e Legislativo Municipais, consórcios intermunicipais e entidades congêneres, empresas públicas, sociedades de economia mista e fundações públicas de direito privado.</w:t>
      </w:r>
    </w:p>
    <w:tbl>
      <w:tblPr>
        <w:tblW w:w="5000" w:type="pct"/>
        <w:tblLayout w:type="fixed"/>
        <w:tblCellMar>
          <w:left w:w="70" w:type="dxa"/>
          <w:right w:w="70" w:type="dxa"/>
        </w:tblCellMar>
        <w:tblLook w:val="04A0" w:firstRow="1" w:lastRow="0" w:firstColumn="1" w:lastColumn="0" w:noHBand="0" w:noVBand="1"/>
      </w:tblPr>
      <w:tblGrid>
        <w:gridCol w:w="1208"/>
        <w:gridCol w:w="2834"/>
        <w:gridCol w:w="2834"/>
        <w:gridCol w:w="2336"/>
      </w:tblGrid>
      <w:tr w:rsidR="00713A45" w:rsidRPr="00F9258A" w14:paraId="6E98AE97" w14:textId="77777777" w:rsidTr="00A1711B">
        <w:trPr>
          <w:cantSplit/>
          <w:trHeight w:val="898"/>
          <w:tblHeader/>
        </w:trPr>
        <w:tc>
          <w:tcPr>
            <w:tcW w:w="6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17BF3E"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DATA</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5B10A735"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OBRIGAÇÃO</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28EB757F"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APLICAÇÃO</w:t>
            </w: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6C07496C"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FUNDAMENTO LEGAL</w:t>
            </w:r>
          </w:p>
        </w:tc>
      </w:tr>
      <w:tr w:rsidR="00713A45" w:rsidRPr="00F9258A" w14:paraId="62686F7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6EC88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05/01/2022</w:t>
            </w:r>
          </w:p>
        </w:tc>
        <w:tc>
          <w:tcPr>
            <w:tcW w:w="1538" w:type="pct"/>
            <w:tcBorders>
              <w:top w:val="nil"/>
              <w:left w:val="nil"/>
              <w:bottom w:val="single" w:sz="8" w:space="0" w:color="auto"/>
              <w:right w:val="single" w:sz="8" w:space="0" w:color="auto"/>
            </w:tcBorders>
            <w:shd w:val="clear" w:color="auto" w:fill="auto"/>
            <w:noWrap/>
            <w:vAlign w:val="center"/>
            <w:hideMark/>
          </w:tcPr>
          <w:p w14:paraId="1F0F854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31791BC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CA95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74AEDD7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8859D"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20/01/2022</w:t>
            </w:r>
          </w:p>
        </w:tc>
        <w:tc>
          <w:tcPr>
            <w:tcW w:w="1538" w:type="pct"/>
            <w:tcBorders>
              <w:top w:val="nil"/>
              <w:left w:val="nil"/>
              <w:bottom w:val="single" w:sz="8" w:space="0" w:color="auto"/>
              <w:right w:val="single" w:sz="8" w:space="0" w:color="auto"/>
            </w:tcBorders>
            <w:shd w:val="clear" w:color="auto" w:fill="auto"/>
            <w:noWrap/>
            <w:vAlign w:val="center"/>
            <w:hideMark/>
          </w:tcPr>
          <w:p w14:paraId="1F7AB50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17F6A9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29F52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27FA0FE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73FC1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439A1B8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RGF do período base encerrado em 31 de dezembro de 2021,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0A1ECD8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AC08D5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98C51D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F40E29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741943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6º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9E1031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78413B4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4202149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2D45F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EE1842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6º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6C98605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CB54AC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5F4A98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D11CA"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05/02/2022</w:t>
            </w:r>
          </w:p>
        </w:tc>
        <w:tc>
          <w:tcPr>
            <w:tcW w:w="1538" w:type="pct"/>
            <w:tcBorders>
              <w:top w:val="nil"/>
              <w:left w:val="nil"/>
              <w:bottom w:val="single" w:sz="8" w:space="0" w:color="auto"/>
              <w:right w:val="single" w:sz="8" w:space="0" w:color="auto"/>
            </w:tcBorders>
            <w:shd w:val="clear" w:color="auto" w:fill="auto"/>
            <w:noWrap/>
            <w:vAlign w:val="center"/>
            <w:hideMark/>
          </w:tcPr>
          <w:p w14:paraId="100054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7C6696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C575F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77DA2FB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BC1EEE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15/02/2022</w:t>
            </w:r>
          </w:p>
        </w:tc>
        <w:tc>
          <w:tcPr>
            <w:tcW w:w="1538" w:type="pct"/>
            <w:tcBorders>
              <w:top w:val="nil"/>
              <w:left w:val="nil"/>
              <w:bottom w:val="single" w:sz="8" w:space="0" w:color="auto"/>
              <w:right w:val="single" w:sz="8" w:space="0" w:color="auto"/>
            </w:tcBorders>
            <w:shd w:val="clear" w:color="auto" w:fill="auto"/>
            <w:vAlign w:val="center"/>
            <w:hideMark/>
          </w:tcPr>
          <w:p w14:paraId="69F71CC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dezembro de 2021 (1)</w:t>
            </w:r>
          </w:p>
        </w:tc>
        <w:tc>
          <w:tcPr>
            <w:tcW w:w="1538" w:type="pct"/>
            <w:tcBorders>
              <w:top w:val="nil"/>
              <w:left w:val="nil"/>
              <w:bottom w:val="single" w:sz="8" w:space="0" w:color="auto"/>
              <w:right w:val="single" w:sz="8" w:space="0" w:color="auto"/>
            </w:tcBorders>
            <w:shd w:val="clear" w:color="auto" w:fill="auto"/>
            <w:noWrap/>
            <w:vAlign w:val="center"/>
            <w:hideMark/>
          </w:tcPr>
          <w:p w14:paraId="48192BE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B7378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589404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65CBD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21/02/2022</w:t>
            </w:r>
          </w:p>
        </w:tc>
        <w:tc>
          <w:tcPr>
            <w:tcW w:w="1538" w:type="pct"/>
            <w:tcBorders>
              <w:top w:val="nil"/>
              <w:left w:val="nil"/>
              <w:bottom w:val="single" w:sz="8" w:space="0" w:color="auto"/>
              <w:right w:val="single" w:sz="8" w:space="0" w:color="auto"/>
            </w:tcBorders>
            <w:shd w:val="clear" w:color="auto" w:fill="auto"/>
            <w:noWrap/>
            <w:vAlign w:val="center"/>
            <w:hideMark/>
          </w:tcPr>
          <w:p w14:paraId="4448AAE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32D2211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24B29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2AF314F2"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840E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0226902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relativa às Metas Fiscais do 3º quadrimestre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1C75B1C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32690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4E70DF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7749A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5D50646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do Plano Municipal de Saúde do 3º quadrimestre de 2021 </w:t>
            </w:r>
          </w:p>
        </w:tc>
        <w:tc>
          <w:tcPr>
            <w:tcW w:w="1538" w:type="pct"/>
            <w:tcBorders>
              <w:top w:val="nil"/>
              <w:left w:val="nil"/>
              <w:bottom w:val="single" w:sz="8" w:space="0" w:color="auto"/>
              <w:right w:val="single" w:sz="8" w:space="0" w:color="auto"/>
            </w:tcBorders>
            <w:shd w:val="clear" w:color="auto" w:fill="auto"/>
            <w:noWrap/>
            <w:vAlign w:val="center"/>
            <w:hideMark/>
          </w:tcPr>
          <w:p w14:paraId="7029999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6F70B1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5FD3FCA5"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3EC88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12A0862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Fiscal Consolidado correspondente ao ano de 2021</w:t>
            </w:r>
          </w:p>
        </w:tc>
        <w:tc>
          <w:tcPr>
            <w:tcW w:w="1538" w:type="pct"/>
            <w:tcBorders>
              <w:top w:val="nil"/>
              <w:left w:val="nil"/>
              <w:bottom w:val="single" w:sz="8" w:space="0" w:color="auto"/>
              <w:right w:val="single" w:sz="8" w:space="0" w:color="auto"/>
            </w:tcBorders>
            <w:shd w:val="clear" w:color="auto" w:fill="auto"/>
            <w:noWrap/>
            <w:vAlign w:val="center"/>
            <w:hideMark/>
          </w:tcPr>
          <w:p w14:paraId="3346E06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411BBAA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1324538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29022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4E81C8E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do mês de encerramento do exercício de 2021 (mês treze)</w:t>
            </w:r>
          </w:p>
        </w:tc>
        <w:tc>
          <w:tcPr>
            <w:tcW w:w="1538" w:type="pct"/>
            <w:tcBorders>
              <w:top w:val="nil"/>
              <w:left w:val="nil"/>
              <w:bottom w:val="single" w:sz="8" w:space="0" w:color="auto"/>
              <w:right w:val="single" w:sz="8" w:space="0" w:color="auto"/>
            </w:tcBorders>
            <w:shd w:val="clear" w:color="auto" w:fill="auto"/>
            <w:noWrap/>
            <w:vAlign w:val="center"/>
            <w:hideMark/>
          </w:tcPr>
          <w:p w14:paraId="6406393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CCC16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A1711B" w:rsidRPr="00F9258A" w14:paraId="4E6C2B63" w14:textId="77777777" w:rsidTr="000C5CB1">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A523FA" w14:textId="77777777" w:rsidR="00A1711B" w:rsidRPr="00F9258A" w:rsidRDefault="00A1711B"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05/03/2022</w:t>
            </w:r>
          </w:p>
        </w:tc>
        <w:tc>
          <w:tcPr>
            <w:tcW w:w="1538" w:type="pct"/>
            <w:tcBorders>
              <w:top w:val="nil"/>
              <w:left w:val="nil"/>
              <w:bottom w:val="single" w:sz="8" w:space="0" w:color="auto"/>
              <w:right w:val="single" w:sz="8" w:space="0" w:color="auto"/>
            </w:tcBorders>
            <w:shd w:val="clear" w:color="auto" w:fill="auto"/>
            <w:noWrap/>
            <w:vAlign w:val="center"/>
            <w:hideMark/>
          </w:tcPr>
          <w:p w14:paraId="21622808"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DA67846"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660E635"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2BBCA34C"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6C94E4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08/03/2022</w:t>
            </w:r>
          </w:p>
        </w:tc>
        <w:tc>
          <w:tcPr>
            <w:tcW w:w="1538" w:type="pct"/>
            <w:tcBorders>
              <w:top w:val="nil"/>
              <w:left w:val="nil"/>
              <w:bottom w:val="single" w:sz="8" w:space="0" w:color="auto"/>
              <w:right w:val="single" w:sz="8" w:space="0" w:color="auto"/>
            </w:tcBorders>
            <w:shd w:val="clear" w:color="auto" w:fill="auto"/>
            <w:noWrap/>
            <w:vAlign w:val="center"/>
            <w:hideMark/>
          </w:tcPr>
          <w:p w14:paraId="13CCE76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Declaração da Audiência Pública relativa às Metas Fiscais do 3º quadrimestre de 2021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6D69D6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6260843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2185BD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ED15D5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21/03/2022</w:t>
            </w:r>
          </w:p>
        </w:tc>
        <w:tc>
          <w:tcPr>
            <w:tcW w:w="1538" w:type="pct"/>
            <w:tcBorders>
              <w:top w:val="nil"/>
              <w:left w:val="nil"/>
              <w:bottom w:val="single" w:sz="8" w:space="0" w:color="auto"/>
              <w:right w:val="single" w:sz="8" w:space="0" w:color="auto"/>
            </w:tcBorders>
            <w:shd w:val="clear" w:color="auto" w:fill="auto"/>
            <w:noWrap/>
            <w:vAlign w:val="center"/>
            <w:hideMark/>
          </w:tcPr>
          <w:p w14:paraId="40F7D94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F577BF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A3C9B2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6C3356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9186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7B2A6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1º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511751B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6A7BE1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6143A15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796D0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581E2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1º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0888C2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17504B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463A6BA0"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A90BEB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1DF29E2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Resposta aos questionários para apuração do Índice de Efetividade da Gestão Municipal – IEGM</w:t>
            </w:r>
          </w:p>
        </w:tc>
        <w:tc>
          <w:tcPr>
            <w:tcW w:w="1538" w:type="pct"/>
            <w:tcBorders>
              <w:top w:val="nil"/>
              <w:left w:val="nil"/>
              <w:bottom w:val="single" w:sz="8" w:space="0" w:color="auto"/>
              <w:right w:val="single" w:sz="8" w:space="0" w:color="auto"/>
            </w:tcBorders>
            <w:shd w:val="clear" w:color="auto" w:fill="auto"/>
            <w:noWrap/>
            <w:vAlign w:val="center"/>
            <w:hideMark/>
          </w:tcPr>
          <w:p w14:paraId="7FAAD05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7071841" w14:textId="77777777" w:rsidR="00713A45" w:rsidRPr="00F9258A" w:rsidRDefault="00713A45" w:rsidP="00CF40B7">
            <w:pPr>
              <w:spacing w:after="0" w:line="240" w:lineRule="auto"/>
              <w:jc w:val="both"/>
              <w:rPr>
                <w:rFonts w:ascii="Arial" w:eastAsia="Times New Roman" w:hAnsi="Arial" w:cs="Arial"/>
                <w:color w:val="FF0000"/>
                <w:sz w:val="20"/>
                <w:szCs w:val="20"/>
                <w:lang w:eastAsia="pt-BR"/>
              </w:rPr>
            </w:pPr>
            <w:r w:rsidRPr="00F9258A">
              <w:rPr>
                <w:rFonts w:ascii="Arial" w:eastAsia="Times New Roman" w:hAnsi="Arial" w:cs="Arial"/>
                <w:sz w:val="20"/>
                <w:szCs w:val="20"/>
                <w:lang w:eastAsia="pt-BR"/>
              </w:rPr>
              <w:t>IN do Escopo da PCA Municipal do exercício de 2021.</w:t>
            </w:r>
          </w:p>
        </w:tc>
      </w:tr>
      <w:tr w:rsidR="00713A45" w:rsidRPr="00F9258A" w14:paraId="7EBAF83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3FB63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093D19D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dos meses de abertura do exercício (mês zero), janeiro 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0815351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0A32B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39007E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D144A6"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28437916" w14:textId="77777777" w:rsidR="00713A45" w:rsidRPr="00CF40B7" w:rsidRDefault="00713A45" w:rsidP="00CF40B7">
            <w:pPr>
              <w:spacing w:after="0" w:line="240" w:lineRule="auto"/>
              <w:jc w:val="both"/>
              <w:rPr>
                <w:rFonts w:ascii="Arial" w:eastAsia="Times New Roman" w:hAnsi="Arial" w:cs="Arial"/>
                <w:color w:val="000000"/>
                <w:sz w:val="20"/>
                <w:szCs w:val="20"/>
                <w:lang w:eastAsia="pt-BR"/>
              </w:rPr>
            </w:pPr>
            <w:r w:rsidRPr="00CF40B7">
              <w:rPr>
                <w:rFonts w:ascii="Arial" w:eastAsia="Times New Roman" w:hAnsi="Arial" w:cs="Arial"/>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3F89003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entidades da Administração Direta e Indireta</w:t>
            </w:r>
          </w:p>
        </w:tc>
        <w:tc>
          <w:tcPr>
            <w:tcW w:w="1268" w:type="pct"/>
            <w:tcBorders>
              <w:top w:val="nil"/>
              <w:left w:val="nil"/>
              <w:bottom w:val="single" w:sz="8" w:space="0" w:color="auto"/>
              <w:right w:val="single" w:sz="8" w:space="0" w:color="auto"/>
            </w:tcBorders>
            <w:shd w:val="clear" w:color="auto" w:fill="auto"/>
            <w:vAlign w:val="center"/>
            <w:hideMark/>
          </w:tcPr>
          <w:p w14:paraId="05DABCF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LF 4320/64 (art. 82, § 1º); LCE 113/05 (art. 23, § 1º); RI-TCE-PR (</w:t>
            </w:r>
            <w:proofErr w:type="spellStart"/>
            <w:r w:rsidRPr="00F9258A">
              <w:rPr>
                <w:rFonts w:ascii="Arial" w:eastAsia="Times New Roman" w:hAnsi="Arial" w:cs="Arial"/>
                <w:color w:val="000000"/>
                <w:sz w:val="20"/>
                <w:szCs w:val="20"/>
                <w:lang w:eastAsia="pt-BR"/>
              </w:rPr>
              <w:t>arts</w:t>
            </w:r>
            <w:proofErr w:type="spellEnd"/>
            <w:r w:rsidRPr="00F9258A">
              <w:rPr>
                <w:rFonts w:ascii="Arial" w:eastAsia="Times New Roman" w:hAnsi="Arial" w:cs="Arial"/>
                <w:color w:val="000000"/>
                <w:sz w:val="20"/>
                <w:szCs w:val="20"/>
                <w:lang w:eastAsia="pt-BR"/>
              </w:rPr>
              <w:t>. 215, § 1º, e 225).</w:t>
            </w:r>
          </w:p>
        </w:tc>
      </w:tr>
      <w:tr w:rsidR="00713A45" w:rsidRPr="00F9258A" w14:paraId="503A502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78CF1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05/04/2022</w:t>
            </w:r>
          </w:p>
        </w:tc>
        <w:tc>
          <w:tcPr>
            <w:tcW w:w="1538" w:type="pct"/>
            <w:tcBorders>
              <w:top w:val="nil"/>
              <w:left w:val="nil"/>
              <w:bottom w:val="single" w:sz="8" w:space="0" w:color="auto"/>
              <w:right w:val="single" w:sz="8" w:space="0" w:color="auto"/>
            </w:tcBorders>
            <w:shd w:val="clear" w:color="auto" w:fill="auto"/>
            <w:noWrap/>
            <w:vAlign w:val="center"/>
            <w:hideMark/>
          </w:tcPr>
          <w:p w14:paraId="3524419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F5706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4E6403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25DAD1F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822B226"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20/04/2022</w:t>
            </w:r>
          </w:p>
        </w:tc>
        <w:tc>
          <w:tcPr>
            <w:tcW w:w="1538" w:type="pct"/>
            <w:tcBorders>
              <w:top w:val="nil"/>
              <w:left w:val="nil"/>
              <w:bottom w:val="single" w:sz="8" w:space="0" w:color="auto"/>
              <w:right w:val="single" w:sz="8" w:space="0" w:color="auto"/>
            </w:tcBorders>
            <w:shd w:val="clear" w:color="auto" w:fill="auto"/>
            <w:noWrap/>
            <w:vAlign w:val="center"/>
            <w:hideMark/>
          </w:tcPr>
          <w:p w14:paraId="161959E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659B0E0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75AF8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4A282F5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6B5ABF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129449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5DD3A01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AB26DB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LCE 113/05 (art. 24, § 2º); RI-TCE-PR (art. 239); IN 84/12-TCE-PR.</w:t>
            </w:r>
          </w:p>
        </w:tc>
      </w:tr>
      <w:tr w:rsidR="00713A45" w:rsidRPr="00F9258A" w14:paraId="7613844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AD145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44F2317C" w14:textId="77777777" w:rsidR="00713A45" w:rsidRPr="00CF40B7" w:rsidRDefault="00713A45" w:rsidP="00CF40B7">
            <w:pPr>
              <w:spacing w:after="0" w:line="240" w:lineRule="auto"/>
              <w:jc w:val="both"/>
              <w:rPr>
                <w:rFonts w:ascii="Arial" w:eastAsia="Times New Roman" w:hAnsi="Arial" w:cs="Arial"/>
                <w:color w:val="000000"/>
                <w:sz w:val="20"/>
                <w:szCs w:val="20"/>
                <w:lang w:eastAsia="pt-BR"/>
              </w:rPr>
            </w:pPr>
            <w:r w:rsidRPr="00CF40B7">
              <w:rPr>
                <w:rFonts w:ascii="Arial" w:eastAsia="Times New Roman" w:hAnsi="Arial" w:cs="Arial"/>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1A6140C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FFE33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LCE 113/05 (art. 25); RI TCE-PR (art. 225, parágrafo único).</w:t>
            </w:r>
          </w:p>
        </w:tc>
      </w:tr>
      <w:tr w:rsidR="000C5CB1" w:rsidRPr="00F9258A" w14:paraId="7D4BA03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tcPr>
          <w:p w14:paraId="7256D7EA" w14:textId="77777777" w:rsidR="000C5CB1" w:rsidRDefault="000C5CB1" w:rsidP="000C5CB1">
            <w:pPr>
              <w:spacing w:after="0" w:line="240" w:lineRule="auto"/>
              <w:jc w:val="both"/>
              <w:rPr>
                <w:rFonts w:ascii="Arial" w:hAnsi="Arial" w:cs="Arial"/>
                <w:b/>
                <w:bCs/>
                <w:color w:val="000000"/>
                <w:sz w:val="20"/>
                <w:szCs w:val="20"/>
              </w:rPr>
            </w:pPr>
            <w:r w:rsidRPr="00CC531D">
              <w:rPr>
                <w:rFonts w:ascii="Arial" w:hAnsi="Arial" w:cs="Arial"/>
                <w:b/>
                <w:bCs/>
                <w:color w:val="000000"/>
                <w:sz w:val="20"/>
                <w:szCs w:val="20"/>
              </w:rPr>
              <w:t>02/05/2022</w:t>
            </w:r>
          </w:p>
          <w:p w14:paraId="3FE47246" w14:textId="08A61789" w:rsidR="000C5CB1" w:rsidRPr="00F9258A" w:rsidRDefault="000C5CB1" w:rsidP="000C5CB1">
            <w:pPr>
              <w:spacing w:after="0" w:line="240" w:lineRule="auto"/>
              <w:jc w:val="both"/>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3A00C398" w14:textId="32845525" w:rsidR="000C5CB1" w:rsidRPr="00F9258A" w:rsidRDefault="000C5CB1" w:rsidP="00CF40B7">
            <w:pPr>
              <w:spacing w:after="0" w:line="240" w:lineRule="auto"/>
              <w:jc w:val="both"/>
              <w:rPr>
                <w:rFonts w:ascii="Arial" w:eastAsia="Times New Roman" w:hAnsi="Arial" w:cs="Arial"/>
                <w:b/>
                <w:bCs/>
                <w:color w:val="000000"/>
                <w:sz w:val="20"/>
                <w:szCs w:val="20"/>
                <w:lang w:eastAsia="pt-BR"/>
              </w:rPr>
            </w:pPr>
            <w:r w:rsidRPr="00CC531D">
              <w:rPr>
                <w:rFonts w:ascii="Arial" w:hAnsi="Arial" w:cs="Arial"/>
                <w:color w:val="000000"/>
                <w:sz w:val="20"/>
                <w:szCs w:val="20"/>
              </w:rPr>
              <w:t>Fechamento do SIM-AM dos meses de abertura do exercício (mês zero), janeiro, fevereiro e março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6"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4A5C61BB" w14:textId="5DB867F1" w:rsidR="000C5CB1" w:rsidRPr="00F9258A" w:rsidRDefault="000C5CB1"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7"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551E0FA9" w14:textId="68DFE178" w:rsidR="000C5CB1" w:rsidRPr="00F9258A" w:rsidRDefault="000C5CB1"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7AC27B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C718A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05/05/2022</w:t>
            </w:r>
          </w:p>
        </w:tc>
        <w:tc>
          <w:tcPr>
            <w:tcW w:w="1538" w:type="pct"/>
            <w:tcBorders>
              <w:top w:val="nil"/>
              <w:left w:val="nil"/>
              <w:bottom w:val="single" w:sz="8" w:space="0" w:color="auto"/>
              <w:right w:val="single" w:sz="8" w:space="0" w:color="auto"/>
            </w:tcBorders>
            <w:shd w:val="clear" w:color="auto" w:fill="auto"/>
            <w:noWrap/>
            <w:vAlign w:val="center"/>
            <w:hideMark/>
          </w:tcPr>
          <w:p w14:paraId="2209654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5D7E5D5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3D057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1D09B0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06AE7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20/05/2022</w:t>
            </w:r>
          </w:p>
        </w:tc>
        <w:tc>
          <w:tcPr>
            <w:tcW w:w="1538" w:type="pct"/>
            <w:tcBorders>
              <w:top w:val="nil"/>
              <w:left w:val="nil"/>
              <w:bottom w:val="single" w:sz="8" w:space="0" w:color="auto"/>
              <w:right w:val="single" w:sz="8" w:space="0" w:color="auto"/>
            </w:tcBorders>
            <w:shd w:val="clear" w:color="auto" w:fill="auto"/>
            <w:noWrap/>
            <w:vAlign w:val="center"/>
            <w:hideMark/>
          </w:tcPr>
          <w:p w14:paraId="255ED96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42C8032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E309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39AF7EC6"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CB7E5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74BAB0DC" w14:textId="6964AB97" w:rsidR="00522936" w:rsidRPr="008B6B98" w:rsidRDefault="00522936" w:rsidP="00CF40B7">
            <w:pPr>
              <w:spacing w:after="0" w:line="240" w:lineRule="auto"/>
              <w:jc w:val="both"/>
              <w:rPr>
                <w:rFonts w:ascii="Arial" w:eastAsia="Times New Roman" w:hAnsi="Arial" w:cs="Arial"/>
                <w:color w:val="000000"/>
                <w:sz w:val="20"/>
                <w:szCs w:val="20"/>
                <w:lang w:eastAsia="pt-BR"/>
              </w:rPr>
            </w:pPr>
            <w:r w:rsidRPr="008B6B98">
              <w:rPr>
                <w:rFonts w:ascii="Arial" w:hAnsi="Arial" w:cs="Arial"/>
                <w:color w:val="000000"/>
                <w:sz w:val="20"/>
                <w:szCs w:val="20"/>
              </w:rPr>
              <w:t>Publicação do RGF do 1º quadrimestre de 2022 (Municípios a partir de 50 mil habitantes)</w:t>
            </w:r>
            <w:r w:rsidR="008B6B98">
              <w:rPr>
                <w:rFonts w:ascii="Arial" w:hAnsi="Arial" w:cs="Arial"/>
                <w:color w:val="000000"/>
                <w:sz w:val="20"/>
                <w:szCs w:val="20"/>
              </w:rPr>
              <w:t xml:space="preserve"> (</w:t>
            </w:r>
            <w:r w:rsidR="008B6B98" w:rsidRPr="00D3433D">
              <w:rPr>
                <w:rFonts w:ascii="Arial" w:hAnsi="Arial" w:cs="Arial"/>
                <w:color w:val="0000FF"/>
                <w:sz w:val="20"/>
                <w:szCs w:val="20"/>
              </w:rPr>
              <w:t>Redação dada pela</w:t>
            </w:r>
            <w:r w:rsidR="008B6B98">
              <w:rPr>
                <w:rFonts w:ascii="Arial" w:hAnsi="Arial" w:cs="Arial"/>
                <w:color w:val="000000"/>
                <w:sz w:val="20"/>
                <w:szCs w:val="20"/>
              </w:rPr>
              <w:t xml:space="preserve"> </w:t>
            </w:r>
            <w:hyperlink r:id="rId19" w:history="1">
              <w:r w:rsidR="008B6B98" w:rsidRPr="00FC6DF3">
                <w:rPr>
                  <w:rStyle w:val="Hyperlink"/>
                  <w:rFonts w:ascii="Arial" w:hAnsi="Arial" w:cs="Arial"/>
                  <w:bCs/>
                  <w:sz w:val="20"/>
                  <w:szCs w:val="20"/>
                </w:rPr>
                <w:t>Instrução Normativa nº 173/2022</w:t>
              </w:r>
            </w:hyperlink>
            <w:r w:rsidR="008B6B98"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91FDF4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16C5B4A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40B234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C9F363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22EEBB7C" w14:textId="1E11BB4D" w:rsidR="00BC7CF9" w:rsidRPr="008B6B98" w:rsidRDefault="008B6B98" w:rsidP="00CF40B7">
            <w:pPr>
              <w:spacing w:after="0" w:line="240" w:lineRule="auto"/>
              <w:jc w:val="both"/>
              <w:rPr>
                <w:rFonts w:ascii="Arial" w:eastAsia="Times New Roman" w:hAnsi="Arial" w:cs="Arial"/>
                <w:color w:val="000000"/>
                <w:sz w:val="20"/>
                <w:szCs w:val="20"/>
                <w:lang w:eastAsia="pt-BR"/>
              </w:rPr>
            </w:pPr>
            <w:r w:rsidRPr="008B6B98">
              <w:rPr>
                <w:rFonts w:ascii="Arial" w:hAnsi="Arial" w:cs="Arial"/>
                <w:color w:val="000000"/>
                <w:sz w:val="20"/>
                <w:szCs w:val="20"/>
              </w:rPr>
              <w:t>Publicação do RREO do 2º bimestre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2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B9B5B0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200640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5E6CE35A"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A5481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46F2522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2º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946657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CAEF15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7E8EA5B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5AEA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44E7204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relativa às Metas Fiscais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71CD900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61AD5F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E3018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7840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D53868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do Plano Municipal de Saúde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485BB09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091A33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1CB887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62CA3B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99070E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754913B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F85D7E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69F11F8"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E4500C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07/06/2022</w:t>
            </w:r>
          </w:p>
        </w:tc>
        <w:tc>
          <w:tcPr>
            <w:tcW w:w="1538" w:type="pct"/>
            <w:tcBorders>
              <w:top w:val="nil"/>
              <w:left w:val="nil"/>
              <w:bottom w:val="single" w:sz="8" w:space="0" w:color="auto"/>
              <w:right w:val="single" w:sz="8" w:space="0" w:color="auto"/>
            </w:tcBorders>
            <w:shd w:val="clear" w:color="auto" w:fill="auto"/>
            <w:noWrap/>
            <w:vAlign w:val="center"/>
            <w:hideMark/>
          </w:tcPr>
          <w:p w14:paraId="683B70F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Declaração da Audiência Pública relativa às Metas Fiscais do 1º quadrimestre de 2022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4B688C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04D9E7D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7033E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F81372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05/06/2022</w:t>
            </w:r>
          </w:p>
        </w:tc>
        <w:tc>
          <w:tcPr>
            <w:tcW w:w="1538" w:type="pct"/>
            <w:tcBorders>
              <w:top w:val="nil"/>
              <w:left w:val="nil"/>
              <w:bottom w:val="single" w:sz="8" w:space="0" w:color="auto"/>
              <w:right w:val="single" w:sz="8" w:space="0" w:color="auto"/>
            </w:tcBorders>
            <w:shd w:val="clear" w:color="auto" w:fill="auto"/>
            <w:noWrap/>
            <w:vAlign w:val="center"/>
            <w:hideMark/>
          </w:tcPr>
          <w:p w14:paraId="6B2DA7C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5189C07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CA8E91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1D7BE52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7F778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20/06/2022</w:t>
            </w:r>
          </w:p>
        </w:tc>
        <w:tc>
          <w:tcPr>
            <w:tcW w:w="1538" w:type="pct"/>
            <w:tcBorders>
              <w:top w:val="nil"/>
              <w:left w:val="nil"/>
              <w:bottom w:val="single" w:sz="8" w:space="0" w:color="auto"/>
              <w:right w:val="single" w:sz="8" w:space="0" w:color="auto"/>
            </w:tcBorders>
            <w:shd w:val="clear" w:color="auto" w:fill="auto"/>
            <w:noWrap/>
            <w:vAlign w:val="center"/>
            <w:hideMark/>
          </w:tcPr>
          <w:p w14:paraId="6F184C6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123802A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9C9CAF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528931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51211C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30/06/2022</w:t>
            </w:r>
          </w:p>
        </w:tc>
        <w:tc>
          <w:tcPr>
            <w:tcW w:w="1538" w:type="pct"/>
            <w:tcBorders>
              <w:top w:val="nil"/>
              <w:left w:val="nil"/>
              <w:bottom w:val="single" w:sz="8" w:space="0" w:color="auto"/>
              <w:right w:val="single" w:sz="8" w:space="0" w:color="auto"/>
            </w:tcBorders>
            <w:shd w:val="clear" w:color="auto" w:fill="auto"/>
            <w:noWrap/>
            <w:vAlign w:val="center"/>
            <w:hideMark/>
          </w:tcPr>
          <w:p w14:paraId="1141FE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2BCC64B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B40848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2E884D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09FE31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05/07/2022</w:t>
            </w:r>
          </w:p>
        </w:tc>
        <w:tc>
          <w:tcPr>
            <w:tcW w:w="1538" w:type="pct"/>
            <w:tcBorders>
              <w:top w:val="nil"/>
              <w:left w:val="nil"/>
              <w:bottom w:val="single" w:sz="8" w:space="0" w:color="auto"/>
              <w:right w:val="single" w:sz="8" w:space="0" w:color="auto"/>
            </w:tcBorders>
            <w:shd w:val="clear" w:color="auto" w:fill="auto"/>
            <w:noWrap/>
            <w:vAlign w:val="center"/>
            <w:hideMark/>
          </w:tcPr>
          <w:p w14:paraId="60D7243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389479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FCFD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5AC7E80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0A938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20/07/2022</w:t>
            </w:r>
          </w:p>
        </w:tc>
        <w:tc>
          <w:tcPr>
            <w:tcW w:w="1538" w:type="pct"/>
            <w:tcBorders>
              <w:top w:val="nil"/>
              <w:left w:val="nil"/>
              <w:bottom w:val="single" w:sz="8" w:space="0" w:color="auto"/>
              <w:right w:val="single" w:sz="8" w:space="0" w:color="auto"/>
            </w:tcBorders>
            <w:shd w:val="clear" w:color="auto" w:fill="auto"/>
            <w:noWrap/>
            <w:vAlign w:val="center"/>
            <w:hideMark/>
          </w:tcPr>
          <w:p w14:paraId="36C9CAD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76F05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BF03FA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BB0C06" w:rsidRPr="00F9258A" w14:paraId="21D8848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0ABD2B96" w14:textId="028FE90C" w:rsidR="00BB0C06" w:rsidRPr="00CF40B7" w:rsidRDefault="00BB0C06" w:rsidP="00BB0C06">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30/07/2022</w:t>
            </w:r>
          </w:p>
        </w:tc>
        <w:tc>
          <w:tcPr>
            <w:tcW w:w="1538" w:type="pct"/>
            <w:tcBorders>
              <w:top w:val="nil"/>
              <w:left w:val="nil"/>
              <w:bottom w:val="single" w:sz="8" w:space="0" w:color="auto"/>
              <w:right w:val="single" w:sz="8" w:space="0" w:color="auto"/>
            </w:tcBorders>
            <w:shd w:val="clear" w:color="auto" w:fill="auto"/>
            <w:noWrap/>
            <w:vAlign w:val="center"/>
          </w:tcPr>
          <w:p w14:paraId="163DCFF8" w14:textId="48F763B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Publicidade do RGF do 1º quadrimestre de 2022 (Municípios a partir de 50 mil habitantes) na página do TCE-PR</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5C601297" w14:textId="2319C37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 Consórcios</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2"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6CB61F37" w14:textId="6EF97CFB"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54); IN 89/13-TCE-PR.</w:t>
            </w:r>
            <w:r w:rsidR="002C1751">
              <w:rPr>
                <w:rFonts w:ascii="Arial" w:hAnsi="Arial" w:cs="Arial"/>
                <w:color w:val="000000"/>
                <w:sz w:val="20"/>
                <w:szCs w:val="20"/>
                <w:lang w:val="en-US"/>
              </w:rPr>
              <w:t xml:space="preserve"> </w:t>
            </w:r>
            <w:r w:rsidR="002C1751">
              <w:rPr>
                <w:rFonts w:ascii="Arial" w:hAnsi="Arial" w:cs="Arial"/>
                <w:color w:val="000000"/>
                <w:sz w:val="20"/>
                <w:szCs w:val="20"/>
              </w:rPr>
              <w:t>(</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3"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r>
      <w:tr w:rsidR="00BB0C06" w:rsidRPr="00F9258A" w14:paraId="1C06BA6A"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7B084EA6" w14:textId="73EE7863" w:rsidR="00BB0C06" w:rsidRPr="00CF40B7" w:rsidRDefault="00BB0C06" w:rsidP="00BB0C06">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30/07/2022</w:t>
            </w:r>
          </w:p>
        </w:tc>
        <w:tc>
          <w:tcPr>
            <w:tcW w:w="1538" w:type="pct"/>
            <w:tcBorders>
              <w:top w:val="nil"/>
              <w:left w:val="nil"/>
              <w:bottom w:val="single" w:sz="8" w:space="0" w:color="auto"/>
              <w:right w:val="single" w:sz="8" w:space="0" w:color="auto"/>
            </w:tcBorders>
            <w:shd w:val="clear" w:color="auto" w:fill="auto"/>
            <w:noWrap/>
            <w:vAlign w:val="center"/>
          </w:tcPr>
          <w:p w14:paraId="08BE28A6" w14:textId="710107A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Publicidade do RREO do 2º bimestre de 2022 na página do TCE-PR</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4"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22A22FA" w14:textId="52C7FEA2"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e Consórcios</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5"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58C8CEA" w14:textId="64C4D80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52); IN 89/13-TCE-PR.</w:t>
            </w:r>
            <w:r w:rsidR="002C1751">
              <w:rPr>
                <w:rFonts w:ascii="Arial" w:hAnsi="Arial" w:cs="Arial"/>
                <w:color w:val="000000"/>
                <w:sz w:val="20"/>
                <w:szCs w:val="20"/>
                <w:lang w:val="en-US"/>
              </w:rPr>
              <w:t xml:space="preserve"> </w:t>
            </w:r>
            <w:r w:rsidR="002C1751">
              <w:rPr>
                <w:rFonts w:ascii="Arial" w:hAnsi="Arial" w:cs="Arial"/>
                <w:color w:val="000000"/>
                <w:sz w:val="20"/>
                <w:szCs w:val="20"/>
              </w:rPr>
              <w:t>(</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6"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r>
      <w:tr w:rsidR="00713A45" w:rsidRPr="00F9258A" w14:paraId="5ACABF2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1D2B0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7407DD1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RGF do 1º semestre de 2022 (Municípios com menos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CB9B4BD" w14:textId="1B3C81F3" w:rsidR="00D1752E"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2B579A6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5E617C1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F14FAD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52E6D2C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3º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7C30241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DE6128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14ACBFA5"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CE351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17C5390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3º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042A87E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EAD97F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20DE576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40E4C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31/07/2022</w:t>
            </w:r>
          </w:p>
        </w:tc>
        <w:tc>
          <w:tcPr>
            <w:tcW w:w="1538" w:type="pct"/>
            <w:tcBorders>
              <w:top w:val="nil"/>
              <w:left w:val="nil"/>
              <w:bottom w:val="single" w:sz="8" w:space="0" w:color="auto"/>
              <w:right w:val="single" w:sz="8" w:space="0" w:color="auto"/>
            </w:tcBorders>
            <w:shd w:val="clear" w:color="auto" w:fill="auto"/>
            <w:vAlign w:val="center"/>
            <w:hideMark/>
          </w:tcPr>
          <w:p w14:paraId="4E96475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3CB2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8B1CD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4E5E23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CCC929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05/08/2022</w:t>
            </w:r>
          </w:p>
        </w:tc>
        <w:tc>
          <w:tcPr>
            <w:tcW w:w="1538" w:type="pct"/>
            <w:tcBorders>
              <w:top w:val="nil"/>
              <w:left w:val="nil"/>
              <w:bottom w:val="single" w:sz="8" w:space="0" w:color="auto"/>
              <w:right w:val="single" w:sz="8" w:space="0" w:color="auto"/>
            </w:tcBorders>
            <w:shd w:val="clear" w:color="auto" w:fill="auto"/>
            <w:noWrap/>
            <w:vAlign w:val="center"/>
            <w:hideMark/>
          </w:tcPr>
          <w:p w14:paraId="1F217CB6" w14:textId="72B00430" w:rsidR="00026699" w:rsidRPr="00F9258A" w:rsidRDefault="00026699"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maio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27"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62BA06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58F48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2326BF" w:rsidRPr="00F9258A" w14:paraId="3418226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57753AD2" w14:textId="77777777" w:rsidR="002326BF" w:rsidRDefault="002326BF" w:rsidP="002326BF">
            <w:pPr>
              <w:spacing w:after="0" w:line="240" w:lineRule="auto"/>
              <w:jc w:val="center"/>
              <w:rPr>
                <w:rFonts w:ascii="Arial" w:hAnsi="Arial" w:cs="Arial"/>
                <w:color w:val="000000"/>
                <w:sz w:val="20"/>
                <w:szCs w:val="20"/>
              </w:rPr>
            </w:pPr>
            <w:r w:rsidRPr="00CF40B7">
              <w:rPr>
                <w:rFonts w:ascii="Arial" w:hAnsi="Arial" w:cs="Arial"/>
                <w:color w:val="000000"/>
                <w:sz w:val="20"/>
                <w:szCs w:val="20"/>
              </w:rPr>
              <w:t>07/08/2022</w:t>
            </w:r>
          </w:p>
          <w:p w14:paraId="3EFFD9D9" w14:textId="475E712A" w:rsidR="00CF40B7" w:rsidRPr="00CF40B7" w:rsidRDefault="00CF40B7" w:rsidP="002326BF">
            <w:pPr>
              <w:spacing w:after="0" w:line="240" w:lineRule="auto"/>
              <w:jc w:val="center"/>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8553B3C" w14:textId="2BE435EF"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Audiência Pública relativa às Metas Fiscais do 1º quadrimestre de 2022 na página do TCE-PR</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8CE7217" w14:textId="666B4206"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e Legislativo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2FBE1F4" w14:textId="70EAB5F2"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9º, § 4º); IN 89/13-TCE-PR.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2326BF" w:rsidRPr="00F9258A" w14:paraId="5F1ADEB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662DBC18" w14:textId="77777777" w:rsidR="002326BF" w:rsidRDefault="002326BF" w:rsidP="002326BF">
            <w:pPr>
              <w:spacing w:after="0" w:line="240" w:lineRule="auto"/>
              <w:jc w:val="center"/>
              <w:rPr>
                <w:rFonts w:ascii="Arial" w:hAnsi="Arial" w:cs="Arial"/>
                <w:color w:val="000000"/>
                <w:sz w:val="20"/>
                <w:szCs w:val="20"/>
              </w:rPr>
            </w:pPr>
            <w:r w:rsidRPr="00CF40B7">
              <w:rPr>
                <w:rFonts w:ascii="Arial" w:hAnsi="Arial" w:cs="Arial"/>
                <w:color w:val="000000"/>
                <w:sz w:val="20"/>
                <w:szCs w:val="20"/>
              </w:rPr>
              <w:t>19/08/2022</w:t>
            </w:r>
          </w:p>
          <w:p w14:paraId="2B7486B5" w14:textId="0395D45E" w:rsidR="00CF40B7" w:rsidRPr="00CF40B7" w:rsidRDefault="00CF40B7" w:rsidP="002326BF">
            <w:pPr>
              <w:spacing w:after="0" w:line="240" w:lineRule="auto"/>
              <w:jc w:val="center"/>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2"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3060A68C" w14:textId="561D7666"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junho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3"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6E205B4" w14:textId="73716158"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4"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80190C0" w14:textId="5E99F881"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37); LF 8666/93 (art. 41, § 1º, e art. 113, § 2º) e LF 10520/02 (art. 9º); IN 156/20-TCE-PR.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22799F2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24E96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22/08/2022</w:t>
            </w:r>
          </w:p>
        </w:tc>
        <w:tc>
          <w:tcPr>
            <w:tcW w:w="1538" w:type="pct"/>
            <w:tcBorders>
              <w:top w:val="nil"/>
              <w:left w:val="nil"/>
              <w:bottom w:val="single" w:sz="8" w:space="0" w:color="auto"/>
              <w:right w:val="single" w:sz="8" w:space="0" w:color="auto"/>
            </w:tcBorders>
            <w:shd w:val="clear" w:color="auto" w:fill="auto"/>
            <w:noWrap/>
            <w:vAlign w:val="center"/>
            <w:hideMark/>
          </w:tcPr>
          <w:p w14:paraId="0D1A9A1E" w14:textId="3FA16B6E" w:rsidR="00275D3B" w:rsidRPr="00F9258A" w:rsidRDefault="00275D3B"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abril e maio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36"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50971CE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3BD5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8703C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EDC9D3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31/08/2022</w:t>
            </w:r>
          </w:p>
        </w:tc>
        <w:tc>
          <w:tcPr>
            <w:tcW w:w="1538" w:type="pct"/>
            <w:tcBorders>
              <w:top w:val="nil"/>
              <w:left w:val="nil"/>
              <w:bottom w:val="single" w:sz="8" w:space="0" w:color="auto"/>
              <w:right w:val="single" w:sz="8" w:space="0" w:color="auto"/>
            </w:tcBorders>
            <w:shd w:val="clear" w:color="auto" w:fill="auto"/>
            <w:noWrap/>
            <w:vAlign w:val="center"/>
            <w:hideMark/>
          </w:tcPr>
          <w:p w14:paraId="6087802C" w14:textId="361C701A" w:rsidR="0001035B" w:rsidRPr="00F9258A" w:rsidRDefault="0001035B"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abril e maio de 2022</w:t>
            </w:r>
            <w:r w:rsidR="0057266D">
              <w:rPr>
                <w:rFonts w:ascii="Arial" w:hAnsi="Arial" w:cs="Arial"/>
                <w:color w:val="000000"/>
                <w:sz w:val="20"/>
                <w:szCs w:val="20"/>
              </w:rPr>
              <w:t xml:space="preserve"> (</w:t>
            </w:r>
            <w:r w:rsidR="0057266D" w:rsidRPr="00D3433D">
              <w:rPr>
                <w:rFonts w:ascii="Arial" w:hAnsi="Arial" w:cs="Arial"/>
                <w:color w:val="0000FF"/>
                <w:sz w:val="20"/>
                <w:szCs w:val="20"/>
              </w:rPr>
              <w:t>Redação dada pela</w:t>
            </w:r>
            <w:r w:rsidR="0057266D">
              <w:rPr>
                <w:rFonts w:ascii="Arial" w:hAnsi="Arial" w:cs="Arial"/>
                <w:color w:val="000000"/>
                <w:sz w:val="20"/>
                <w:szCs w:val="20"/>
              </w:rPr>
              <w:t xml:space="preserve"> </w:t>
            </w:r>
            <w:hyperlink r:id="rId37" w:history="1">
              <w:r w:rsidR="0057266D" w:rsidRPr="00FC6DF3">
                <w:rPr>
                  <w:rStyle w:val="Hyperlink"/>
                  <w:rFonts w:ascii="Arial" w:hAnsi="Arial" w:cs="Arial"/>
                  <w:bCs/>
                  <w:sz w:val="20"/>
                  <w:szCs w:val="20"/>
                </w:rPr>
                <w:t>Instrução Normativa nº 173/2022</w:t>
              </w:r>
            </w:hyperlink>
            <w:r w:rsidR="0057266D"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494CFF3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9E8862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4C58E9D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FE10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05/09/2022</w:t>
            </w:r>
          </w:p>
        </w:tc>
        <w:tc>
          <w:tcPr>
            <w:tcW w:w="1538" w:type="pct"/>
            <w:tcBorders>
              <w:top w:val="nil"/>
              <w:left w:val="nil"/>
              <w:bottom w:val="single" w:sz="8" w:space="0" w:color="auto"/>
              <w:right w:val="single" w:sz="8" w:space="0" w:color="auto"/>
            </w:tcBorders>
            <w:shd w:val="clear" w:color="auto" w:fill="auto"/>
            <w:noWrap/>
            <w:vAlign w:val="center"/>
            <w:hideMark/>
          </w:tcPr>
          <w:p w14:paraId="7BC83802" w14:textId="0C8E19B6" w:rsidR="007D6409" w:rsidRPr="00F9258A" w:rsidRDefault="007D6409"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julho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3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4B19919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EF3719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9672E7" w:rsidRPr="00F9258A" w14:paraId="22E438B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3997E04D" w14:textId="4819C280" w:rsidR="009672E7" w:rsidRPr="00F9258A" w:rsidRDefault="009672E7" w:rsidP="009672E7">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lastRenderedPageBreak/>
              <w:t>15/09/2022</w:t>
            </w:r>
            <w:r>
              <w:rPr>
                <w:rFonts w:ascii="Arial" w:hAnsi="Arial" w:cs="Arial"/>
                <w:b/>
                <w:bCs/>
                <w:color w:val="000000"/>
                <w:sz w:val="20"/>
                <w:szCs w:val="20"/>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1284AFE2" w14:textId="3304488D"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junho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75C36A4" w14:textId="1391E641"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77A8D444" w14:textId="4D7B48BB"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p>
        </w:tc>
      </w:tr>
      <w:tr w:rsidR="009672E7" w:rsidRPr="00F9258A" w14:paraId="463870E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2B83DF9E" w14:textId="36DB3B72" w:rsidR="009672E7" w:rsidRPr="00F9258A" w:rsidRDefault="009672E7" w:rsidP="009672E7">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19/09/2022</w:t>
            </w:r>
            <w:r>
              <w:rPr>
                <w:rFonts w:ascii="Arial" w:hAnsi="Arial" w:cs="Arial"/>
                <w:b/>
                <w:bCs/>
                <w:color w:val="000000"/>
                <w:sz w:val="20"/>
                <w:szCs w:val="20"/>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2"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D267661" w14:textId="1B49A550"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agosto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3"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47985A1A" w14:textId="754D678B"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4"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3AC582D1" w14:textId="5F9E5F90"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37); LF 8666/93 (art. 41, § 1º, e art. 113, § 2º) e LF 10520/02 (art. 9º); IN 156/20-TCE-PR.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573B80C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A0EF9D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20/09/2022</w:t>
            </w:r>
          </w:p>
        </w:tc>
        <w:tc>
          <w:tcPr>
            <w:tcW w:w="1538" w:type="pct"/>
            <w:tcBorders>
              <w:top w:val="nil"/>
              <w:left w:val="nil"/>
              <w:bottom w:val="single" w:sz="8" w:space="0" w:color="auto"/>
              <w:right w:val="single" w:sz="8" w:space="0" w:color="auto"/>
            </w:tcBorders>
            <w:shd w:val="clear" w:color="auto" w:fill="auto"/>
            <w:noWrap/>
            <w:vAlign w:val="center"/>
            <w:hideMark/>
          </w:tcPr>
          <w:p w14:paraId="7B92FA00" w14:textId="02049473" w:rsidR="00E326AC" w:rsidRPr="00F9258A" w:rsidRDefault="00E326AC"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junho e julho de 2022</w:t>
            </w:r>
            <w:r w:rsidR="00EE0738">
              <w:rPr>
                <w:rFonts w:ascii="Arial" w:hAnsi="Arial" w:cs="Arial"/>
                <w:color w:val="000000"/>
                <w:sz w:val="20"/>
                <w:szCs w:val="20"/>
              </w:rPr>
              <w:t xml:space="preserve"> (</w:t>
            </w:r>
            <w:r w:rsidR="00EE0738" w:rsidRPr="00D3433D">
              <w:rPr>
                <w:rFonts w:ascii="Arial" w:hAnsi="Arial" w:cs="Arial"/>
                <w:color w:val="0000FF"/>
                <w:sz w:val="20"/>
                <w:szCs w:val="20"/>
              </w:rPr>
              <w:t>Redação dada pela</w:t>
            </w:r>
            <w:r w:rsidR="00EE0738">
              <w:rPr>
                <w:rFonts w:ascii="Arial" w:hAnsi="Arial" w:cs="Arial"/>
                <w:color w:val="000000"/>
                <w:sz w:val="20"/>
                <w:szCs w:val="20"/>
              </w:rPr>
              <w:t xml:space="preserve"> </w:t>
            </w:r>
            <w:hyperlink r:id="rId46" w:history="1">
              <w:r w:rsidR="00EE0738" w:rsidRPr="00FC6DF3">
                <w:rPr>
                  <w:rStyle w:val="Hyperlink"/>
                  <w:rFonts w:ascii="Arial" w:hAnsi="Arial" w:cs="Arial"/>
                  <w:bCs/>
                  <w:sz w:val="20"/>
                  <w:szCs w:val="20"/>
                </w:rPr>
                <w:t>Instrução Normativa nº 173/2022</w:t>
              </w:r>
            </w:hyperlink>
            <w:r w:rsidR="00EE0738"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508DD6D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C781E9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2C1586" w:rsidRPr="00F9258A" w14:paraId="2F004BF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tcPr>
          <w:p w14:paraId="3192BA9F" w14:textId="59A7DCB3" w:rsidR="002C1586" w:rsidRPr="00432780" w:rsidRDefault="002C1586" w:rsidP="002C1586">
            <w:pPr>
              <w:spacing w:after="0" w:line="240" w:lineRule="auto"/>
              <w:jc w:val="center"/>
              <w:rPr>
                <w:rFonts w:ascii="Arial" w:eastAsia="Times New Roman" w:hAnsi="Arial" w:cs="Arial"/>
                <w:color w:val="000000"/>
                <w:sz w:val="20"/>
                <w:szCs w:val="20"/>
                <w:lang w:eastAsia="pt-BR"/>
              </w:rPr>
            </w:pPr>
            <w:r w:rsidRPr="00432780">
              <w:rPr>
                <w:rFonts w:ascii="Arial" w:hAnsi="Arial" w:cs="Arial"/>
                <w:color w:val="000000"/>
                <w:sz w:val="20"/>
                <w:szCs w:val="20"/>
              </w:rPr>
              <w:t>30/09/2022</w:t>
            </w:r>
            <w:r w:rsidR="00432780">
              <w:rPr>
                <w:rFonts w:ascii="Arial" w:hAnsi="Arial" w:cs="Arial"/>
                <w:color w:val="000000"/>
                <w:sz w:val="20"/>
                <w:szCs w:val="20"/>
              </w:rPr>
              <w:t xml:space="preserve"> (</w:t>
            </w:r>
            <w:r w:rsidR="00432780">
              <w:rPr>
                <w:rFonts w:ascii="Arial" w:hAnsi="Arial" w:cs="Arial"/>
                <w:color w:val="0000FF"/>
                <w:sz w:val="20"/>
                <w:szCs w:val="20"/>
              </w:rPr>
              <w:t>Incluído</w:t>
            </w:r>
            <w:r w:rsidR="00432780" w:rsidRPr="00D3433D">
              <w:rPr>
                <w:rFonts w:ascii="Arial" w:hAnsi="Arial" w:cs="Arial"/>
                <w:color w:val="0000FF"/>
                <w:sz w:val="20"/>
                <w:szCs w:val="20"/>
              </w:rPr>
              <w:t xml:space="preserve"> pela</w:t>
            </w:r>
            <w:r w:rsidR="00432780">
              <w:rPr>
                <w:rFonts w:ascii="Arial" w:hAnsi="Arial" w:cs="Arial"/>
                <w:color w:val="000000"/>
                <w:sz w:val="20"/>
                <w:szCs w:val="20"/>
              </w:rPr>
              <w:t xml:space="preserve"> </w:t>
            </w:r>
            <w:hyperlink r:id="rId47" w:history="1">
              <w:r w:rsidR="00432780" w:rsidRPr="00FC6DF3">
                <w:rPr>
                  <w:rStyle w:val="Hyperlink"/>
                  <w:rFonts w:ascii="Arial" w:hAnsi="Arial" w:cs="Arial"/>
                  <w:bCs/>
                  <w:sz w:val="20"/>
                  <w:szCs w:val="20"/>
                </w:rPr>
                <w:t>Instrução Normativa nº 173/2022</w:t>
              </w:r>
            </w:hyperlink>
            <w:r w:rsidR="00432780"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650E2EBD" w14:textId="68070531"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julho e agosto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6C2405B7" w14:textId="16A2C7E2"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3CFC1D64" w14:textId="3F8FACBD"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5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505119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0C8CD1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270503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Publicação do RGF do 2º quadrimestre de 2022 (Municípios a partir de 50 mil habitantes), e Declaração da Publicidade do RGF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9C2CAB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0E79BD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3E1AD7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3B2B8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3014EC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4º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439053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3A8AA4D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0E8748B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C9336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8C6E49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4º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13C68B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589477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55F7C841"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6FC8B6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17E190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relativa às Metas Fiscais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6D94387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478CF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018132D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DCA4E5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52D1D1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do Plano Municipal de Saúde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5EC1533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39A1713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3C796C3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487E5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C86D94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agosto de 2022</w:t>
            </w:r>
          </w:p>
        </w:tc>
        <w:tc>
          <w:tcPr>
            <w:tcW w:w="1538" w:type="pct"/>
            <w:tcBorders>
              <w:top w:val="nil"/>
              <w:left w:val="nil"/>
              <w:bottom w:val="single" w:sz="8" w:space="0" w:color="auto"/>
              <w:right w:val="single" w:sz="8" w:space="0" w:color="auto"/>
            </w:tcBorders>
            <w:shd w:val="clear" w:color="auto" w:fill="auto"/>
            <w:noWrap/>
            <w:vAlign w:val="center"/>
            <w:hideMark/>
          </w:tcPr>
          <w:p w14:paraId="5C4BA51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08FA5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CA7D60" w:rsidRPr="00F9258A" w14:paraId="46CC76E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DBBCF35" w14:textId="77777777" w:rsidR="00CA7D60" w:rsidRPr="00F9258A" w:rsidRDefault="00CA7D60"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05/10/2022</w:t>
            </w:r>
          </w:p>
        </w:tc>
        <w:tc>
          <w:tcPr>
            <w:tcW w:w="1538" w:type="pct"/>
            <w:tcBorders>
              <w:top w:val="nil"/>
              <w:left w:val="nil"/>
              <w:bottom w:val="single" w:sz="8" w:space="0" w:color="auto"/>
              <w:right w:val="single" w:sz="8" w:space="0" w:color="auto"/>
            </w:tcBorders>
            <w:shd w:val="clear" w:color="auto" w:fill="auto"/>
            <w:noWrap/>
            <w:vAlign w:val="center"/>
            <w:hideMark/>
          </w:tcPr>
          <w:p w14:paraId="6908FFE4"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94DAD4A"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3FDB318"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CA7D60" w:rsidRPr="00F9258A" w14:paraId="1A245CAB"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CFB9926" w14:textId="77777777" w:rsidR="00CA7D60" w:rsidRPr="00F9258A" w:rsidRDefault="00CA7D60"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07/10/2022</w:t>
            </w:r>
          </w:p>
        </w:tc>
        <w:tc>
          <w:tcPr>
            <w:tcW w:w="1538" w:type="pct"/>
            <w:tcBorders>
              <w:top w:val="nil"/>
              <w:left w:val="nil"/>
              <w:bottom w:val="single" w:sz="8" w:space="0" w:color="auto"/>
              <w:right w:val="single" w:sz="8" w:space="0" w:color="auto"/>
            </w:tcBorders>
            <w:shd w:val="clear" w:color="auto" w:fill="auto"/>
            <w:noWrap/>
            <w:vAlign w:val="center"/>
            <w:hideMark/>
          </w:tcPr>
          <w:p w14:paraId="4B2F16FA"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Declaração da Audiência Pública relativa às Metas Fiscais do 2º quadrimestre de 2022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68915C4B"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2B8EA388"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492A1EB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7F44DFA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20/10/2022</w:t>
            </w:r>
          </w:p>
        </w:tc>
        <w:tc>
          <w:tcPr>
            <w:tcW w:w="1538" w:type="pct"/>
            <w:tcBorders>
              <w:top w:val="nil"/>
              <w:left w:val="nil"/>
              <w:bottom w:val="single" w:sz="8" w:space="0" w:color="auto"/>
              <w:right w:val="single" w:sz="8" w:space="0" w:color="auto"/>
            </w:tcBorders>
            <w:shd w:val="clear" w:color="auto" w:fill="auto"/>
            <w:noWrap/>
            <w:vAlign w:val="center"/>
            <w:hideMark/>
          </w:tcPr>
          <w:p w14:paraId="1044997B" w14:textId="72A46B73" w:rsidR="00BB68EC" w:rsidRPr="00F9258A" w:rsidRDefault="00BB68EC"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agosto e setembro de 2022</w:t>
            </w:r>
            <w:r w:rsidR="00FC6DF3">
              <w:rPr>
                <w:rFonts w:ascii="Arial" w:hAnsi="Arial" w:cs="Arial"/>
                <w:color w:val="000000"/>
                <w:sz w:val="20"/>
                <w:szCs w:val="20"/>
              </w:rPr>
              <w:t xml:space="preserve"> (</w:t>
            </w:r>
            <w:r w:rsidR="00FC6DF3" w:rsidRPr="00D3433D">
              <w:rPr>
                <w:rFonts w:ascii="Arial" w:hAnsi="Arial" w:cs="Arial"/>
                <w:color w:val="0000FF"/>
                <w:sz w:val="20"/>
                <w:szCs w:val="20"/>
              </w:rPr>
              <w:t>Redação dada pela</w:t>
            </w:r>
            <w:r w:rsidR="00FC6DF3">
              <w:rPr>
                <w:rFonts w:ascii="Arial" w:hAnsi="Arial" w:cs="Arial"/>
                <w:color w:val="000000"/>
                <w:sz w:val="20"/>
                <w:szCs w:val="20"/>
              </w:rPr>
              <w:t xml:space="preserve"> </w:t>
            </w:r>
            <w:hyperlink r:id="rId51" w:history="1">
              <w:r w:rsidR="00FC6DF3" w:rsidRPr="00FC6DF3">
                <w:rPr>
                  <w:rStyle w:val="Hyperlink"/>
                  <w:rFonts w:ascii="Arial" w:hAnsi="Arial" w:cs="Arial"/>
                  <w:bCs/>
                  <w:sz w:val="20"/>
                  <w:szCs w:val="20"/>
                </w:rPr>
                <w:t>Instrução Normativa nº 173/2022</w:t>
              </w:r>
            </w:hyperlink>
            <w:r w:rsidR="00FC6DF3"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2C0C3C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8225BD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254BFB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FE8797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31/10/2022</w:t>
            </w:r>
          </w:p>
        </w:tc>
        <w:tc>
          <w:tcPr>
            <w:tcW w:w="1538" w:type="pct"/>
            <w:tcBorders>
              <w:top w:val="nil"/>
              <w:left w:val="nil"/>
              <w:bottom w:val="single" w:sz="8" w:space="0" w:color="auto"/>
              <w:right w:val="single" w:sz="8" w:space="0" w:color="auto"/>
            </w:tcBorders>
            <w:shd w:val="clear" w:color="auto" w:fill="auto"/>
            <w:noWrap/>
            <w:vAlign w:val="center"/>
            <w:hideMark/>
          </w:tcPr>
          <w:p w14:paraId="4488AC2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418A5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F64351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1CEBC2D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84CAB7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05/11/2022</w:t>
            </w:r>
          </w:p>
        </w:tc>
        <w:tc>
          <w:tcPr>
            <w:tcW w:w="1538" w:type="pct"/>
            <w:tcBorders>
              <w:top w:val="nil"/>
              <w:left w:val="nil"/>
              <w:bottom w:val="single" w:sz="8" w:space="0" w:color="auto"/>
              <w:right w:val="single" w:sz="8" w:space="0" w:color="auto"/>
            </w:tcBorders>
            <w:shd w:val="clear" w:color="auto" w:fill="auto"/>
            <w:noWrap/>
            <w:vAlign w:val="center"/>
            <w:hideMark/>
          </w:tcPr>
          <w:p w14:paraId="505A22E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2CFB019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478E4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0A75538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9E4A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21/11/2022</w:t>
            </w:r>
          </w:p>
        </w:tc>
        <w:tc>
          <w:tcPr>
            <w:tcW w:w="1538" w:type="pct"/>
            <w:tcBorders>
              <w:top w:val="nil"/>
              <w:left w:val="nil"/>
              <w:bottom w:val="single" w:sz="8" w:space="0" w:color="auto"/>
              <w:right w:val="single" w:sz="8" w:space="0" w:color="auto"/>
            </w:tcBorders>
            <w:shd w:val="clear" w:color="auto" w:fill="auto"/>
            <w:noWrap/>
            <w:vAlign w:val="center"/>
            <w:hideMark/>
          </w:tcPr>
          <w:p w14:paraId="22A1055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657673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1FD68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03D5DB4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1155A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7E0ECC3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5º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18BC515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B8837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7158411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4A39BD"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4095E6A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5º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1BF143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A78A4D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791B9CF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1C5F4A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30/11/2022</w:t>
            </w:r>
          </w:p>
        </w:tc>
        <w:tc>
          <w:tcPr>
            <w:tcW w:w="1538" w:type="pct"/>
            <w:tcBorders>
              <w:top w:val="nil"/>
              <w:left w:val="nil"/>
              <w:bottom w:val="single" w:sz="8" w:space="0" w:color="auto"/>
              <w:right w:val="single" w:sz="8" w:space="0" w:color="auto"/>
            </w:tcBorders>
            <w:shd w:val="clear" w:color="auto" w:fill="auto"/>
            <w:vAlign w:val="center"/>
            <w:hideMark/>
          </w:tcPr>
          <w:p w14:paraId="0247C10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5C5D86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20BC89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4274F38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62054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05/12/2022</w:t>
            </w:r>
          </w:p>
        </w:tc>
        <w:tc>
          <w:tcPr>
            <w:tcW w:w="1538" w:type="pct"/>
            <w:tcBorders>
              <w:top w:val="nil"/>
              <w:left w:val="nil"/>
              <w:bottom w:val="single" w:sz="8" w:space="0" w:color="auto"/>
              <w:right w:val="single" w:sz="8" w:space="0" w:color="auto"/>
            </w:tcBorders>
            <w:shd w:val="clear" w:color="auto" w:fill="auto"/>
            <w:noWrap/>
            <w:vAlign w:val="center"/>
            <w:hideMark/>
          </w:tcPr>
          <w:p w14:paraId="5271425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5E0B03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79B0E0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3A74B17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AEB67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20/12/2022</w:t>
            </w:r>
          </w:p>
        </w:tc>
        <w:tc>
          <w:tcPr>
            <w:tcW w:w="1538" w:type="pct"/>
            <w:tcBorders>
              <w:top w:val="nil"/>
              <w:left w:val="nil"/>
              <w:bottom w:val="single" w:sz="8" w:space="0" w:color="auto"/>
              <w:right w:val="single" w:sz="8" w:space="0" w:color="auto"/>
            </w:tcBorders>
            <w:shd w:val="clear" w:color="auto" w:fill="auto"/>
            <w:noWrap/>
            <w:vAlign w:val="center"/>
            <w:hideMark/>
          </w:tcPr>
          <w:p w14:paraId="1899DC5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61A63C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174D74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60617E" w14:paraId="37BEC86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9C8EBD0" w14:textId="77777777" w:rsidR="00713A45" w:rsidRPr="0060617E" w:rsidRDefault="00713A45" w:rsidP="00B04AF5">
            <w:pPr>
              <w:spacing w:after="0" w:line="240" w:lineRule="auto"/>
              <w:jc w:val="center"/>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31/12/2022</w:t>
            </w:r>
          </w:p>
        </w:tc>
        <w:tc>
          <w:tcPr>
            <w:tcW w:w="1538" w:type="pct"/>
            <w:tcBorders>
              <w:top w:val="nil"/>
              <w:left w:val="nil"/>
              <w:bottom w:val="single" w:sz="8" w:space="0" w:color="auto"/>
              <w:right w:val="single" w:sz="8" w:space="0" w:color="auto"/>
            </w:tcBorders>
            <w:shd w:val="clear" w:color="auto" w:fill="auto"/>
            <w:vAlign w:val="center"/>
            <w:hideMark/>
          </w:tcPr>
          <w:p w14:paraId="1C0B4C47"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Fechamento do SIM-AM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879FEBB"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7B2E3BF3"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CF (art. 71); LC 101/00; LF 4320/64; LCE 113/05 (art. 24, § 2º); RI-TCE-PR (art. 239); IN 84/12-TCE-PR.</w:t>
            </w:r>
          </w:p>
        </w:tc>
      </w:tr>
    </w:tbl>
    <w:p w14:paraId="17AFC500" w14:textId="77777777" w:rsidR="005A034E" w:rsidRDefault="00D45B39" w:rsidP="00D45B39">
      <w:pPr>
        <w:numPr>
          <w:ilvl w:val="0"/>
          <w:numId w:val="2"/>
        </w:numPr>
        <w:autoSpaceDE w:val="0"/>
        <w:autoSpaceDN w:val="0"/>
        <w:spacing w:before="240" w:after="0" w:line="240" w:lineRule="auto"/>
        <w:ind w:left="567" w:hanging="567"/>
        <w:jc w:val="both"/>
        <w:rPr>
          <w:rFonts w:ascii="Arial" w:hAnsi="Arial" w:cs="Arial"/>
          <w:strike/>
          <w:sz w:val="18"/>
          <w:szCs w:val="18"/>
        </w:rPr>
        <w:sectPr w:rsidR="005A034E" w:rsidSect="00D45B39">
          <w:headerReference w:type="default" r:id="rId52"/>
          <w:pgSz w:w="11907" w:h="16839" w:code="9"/>
          <w:pgMar w:top="1985" w:right="1134" w:bottom="851" w:left="1701" w:header="850" w:footer="567" w:gutter="0"/>
          <w:cols w:space="720"/>
          <w:docGrid w:linePitch="326"/>
        </w:sectPr>
      </w:pPr>
      <w:r w:rsidRPr="0060617E">
        <w:rPr>
          <w:rFonts w:ascii="Arial" w:hAnsi="Arial" w:cs="Arial"/>
          <w:sz w:val="18"/>
          <w:szCs w:val="18"/>
        </w:rPr>
        <w:t>Independentemente do prazo fixado, a elaboração de certidão para operação de crédito com dados do 6º bimestre, somente será possível após o envio do SIM</w:t>
      </w:r>
      <w:r w:rsidRPr="0060617E">
        <w:rPr>
          <w:rFonts w:ascii="Arial" w:hAnsi="Arial" w:cs="Arial"/>
          <w:sz w:val="18"/>
          <w:szCs w:val="18"/>
        </w:rPr>
        <w:noBreakHyphen/>
        <w:t>AM do mês</w:t>
      </w:r>
      <w:r w:rsidRPr="00F9258A">
        <w:rPr>
          <w:rFonts w:ascii="Arial" w:hAnsi="Arial" w:cs="Arial"/>
          <w:sz w:val="18"/>
          <w:szCs w:val="18"/>
        </w:rPr>
        <w:t xml:space="preserve"> de dezembro.</w:t>
      </w:r>
    </w:p>
    <w:p w14:paraId="4AE3315F" w14:textId="77777777" w:rsidR="00442325" w:rsidRPr="0090286F" w:rsidRDefault="00442325" w:rsidP="005A3926">
      <w:pPr>
        <w:tabs>
          <w:tab w:val="left" w:pos="1260"/>
          <w:tab w:val="left" w:pos="1440"/>
          <w:tab w:val="left" w:pos="1620"/>
          <w:tab w:val="left" w:pos="1800"/>
          <w:tab w:val="left" w:pos="1980"/>
        </w:tabs>
        <w:spacing w:before="120" w:after="120" w:line="240" w:lineRule="auto"/>
        <w:jc w:val="center"/>
        <w:rPr>
          <w:rFonts w:ascii="Arial" w:hAnsi="Arial" w:cs="Arial"/>
          <w:b/>
          <w:bCs/>
          <w:sz w:val="28"/>
          <w:szCs w:val="28"/>
        </w:rPr>
      </w:pPr>
    </w:p>
    <w:sectPr w:rsidR="00442325" w:rsidRPr="0090286F" w:rsidSect="005A034E">
      <w:type w:val="continuous"/>
      <w:pgSz w:w="11907" w:h="16839" w:code="9"/>
      <w:pgMar w:top="1985" w:right="1134" w:bottom="851" w:left="1701" w:header="85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1EFC" w14:textId="77777777" w:rsidR="0040566B" w:rsidRDefault="0040566B" w:rsidP="00A61480">
      <w:pPr>
        <w:spacing w:after="0" w:line="240" w:lineRule="auto"/>
      </w:pPr>
      <w:r>
        <w:separator/>
      </w:r>
    </w:p>
  </w:endnote>
  <w:endnote w:type="continuationSeparator" w:id="0">
    <w:p w14:paraId="3698F3FA" w14:textId="77777777" w:rsidR="0040566B" w:rsidRDefault="0040566B" w:rsidP="00A6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1825" w14:textId="77777777" w:rsidR="0040566B" w:rsidRDefault="0040566B" w:rsidP="00A61480">
      <w:pPr>
        <w:spacing w:after="0" w:line="240" w:lineRule="auto"/>
      </w:pPr>
      <w:r>
        <w:separator/>
      </w:r>
    </w:p>
  </w:footnote>
  <w:footnote w:type="continuationSeparator" w:id="0">
    <w:p w14:paraId="4D57589D" w14:textId="77777777" w:rsidR="0040566B" w:rsidRDefault="0040566B" w:rsidP="00A61480">
      <w:pPr>
        <w:spacing w:after="0" w:line="240" w:lineRule="auto"/>
      </w:pPr>
      <w:r>
        <w:continuationSeparator/>
      </w:r>
    </w:p>
  </w:footnote>
  <w:footnote w:id="1">
    <w:p w14:paraId="6D803052" w14:textId="77777777" w:rsidR="00E87423" w:rsidRPr="00EA4221" w:rsidRDefault="00E87423" w:rsidP="00E87423">
      <w:pPr>
        <w:pStyle w:val="Textodenotaderodap"/>
        <w:rPr>
          <w:rFonts w:ascii="Arial" w:hAnsi="Arial" w:cs="Arial"/>
        </w:rPr>
      </w:pPr>
      <w:r>
        <w:rPr>
          <w:rStyle w:val="TextodenotaderodapChar"/>
        </w:rPr>
        <w:footnoteRef/>
      </w:r>
      <w:r>
        <w:t xml:space="preserve"> </w:t>
      </w:r>
      <w:bookmarkStart w:id="0" w:name="_Hlk37068492"/>
      <w:r w:rsidRPr="00EA4221">
        <w:rPr>
          <w:rFonts w:ascii="Arial" w:hAnsi="Arial" w:cs="Arial"/>
          <w:b/>
        </w:rPr>
        <w:t>Notas da Biblioteca:</w:t>
      </w:r>
    </w:p>
    <w:p w14:paraId="69CAB7BE" w14:textId="52B59F0A" w:rsidR="00E87423" w:rsidRPr="00D363EF" w:rsidRDefault="00E87423" w:rsidP="00D363EF">
      <w:pPr>
        <w:pStyle w:val="Textodenotaderodap"/>
        <w:numPr>
          <w:ilvl w:val="0"/>
          <w:numId w:val="4"/>
        </w:numPr>
        <w:ind w:left="426" w:hanging="284"/>
        <w:jc w:val="both"/>
        <w:rPr>
          <w:rFonts w:ascii="Arial" w:hAnsi="Arial" w:cs="Arial"/>
        </w:rPr>
      </w:pPr>
      <w:r w:rsidRPr="00D363EF">
        <w:rPr>
          <w:rFonts w:ascii="Arial" w:hAnsi="Arial" w:cs="Arial"/>
        </w:rPr>
        <w:t xml:space="preserve">Este texto não substitui o publicado no periódico: </w:t>
      </w:r>
      <w:bookmarkEnd w:id="0"/>
      <w:r w:rsidR="00007F5E" w:rsidRPr="00007F5E">
        <w:fldChar w:fldCharType="begin"/>
      </w:r>
      <w:r w:rsidR="00007F5E" w:rsidRPr="00007F5E">
        <w:rPr>
          <w:rFonts w:ascii="Arial" w:hAnsi="Arial" w:cs="Arial"/>
        </w:rPr>
        <w:instrText>HYPERLINK "https://www1.tce.pr.gov.br/multimidia/2021/11/pdf/00361831.pdf"</w:instrText>
      </w:r>
      <w:r w:rsidR="00007F5E" w:rsidRPr="00007F5E">
        <w:fldChar w:fldCharType="separate"/>
      </w:r>
      <w:r w:rsidR="00007F5E" w:rsidRPr="00007F5E">
        <w:rPr>
          <w:rStyle w:val="Hyperlink"/>
          <w:rFonts w:ascii="Arial" w:hAnsi="Arial" w:cs="Arial"/>
          <w:b/>
          <w:bCs/>
        </w:rPr>
        <w:t>Diário Eletrônico do Tribunal de Contas do Estado do Paraná</w:t>
      </w:r>
      <w:r w:rsidR="00007F5E" w:rsidRPr="00007F5E">
        <w:rPr>
          <w:rStyle w:val="Hyperlink"/>
          <w:rFonts w:ascii="Arial" w:hAnsi="Arial" w:cs="Arial"/>
        </w:rPr>
        <w:t>, Curitiba, PR, n. 2661, 16 nov. 2021, p. 21-23</w:t>
      </w:r>
      <w:r w:rsidR="00007F5E" w:rsidRPr="00007F5E">
        <w:rPr>
          <w:rStyle w:val="Hyperlink"/>
          <w:rFonts w:ascii="Arial" w:hAnsi="Arial" w:cs="Arial"/>
        </w:rPr>
        <w:fldChar w:fldCharType="end"/>
      </w:r>
      <w:r w:rsidR="00007F5E" w:rsidRPr="00007F5E">
        <w:rPr>
          <w:rFonts w:ascii="Arial" w:hAnsi="Arial" w:cs="Arial"/>
        </w:rPr>
        <w:t>.</w:t>
      </w:r>
    </w:p>
    <w:p w14:paraId="08BCE7E1" w14:textId="3E2EBBC1" w:rsidR="00E87423" w:rsidRDefault="00E87423" w:rsidP="00D363EF">
      <w:pPr>
        <w:pStyle w:val="Textodenotaderodap"/>
        <w:numPr>
          <w:ilvl w:val="0"/>
          <w:numId w:val="4"/>
        </w:numPr>
        <w:ind w:left="426" w:hanging="284"/>
        <w:rPr>
          <w:rFonts w:ascii="Arial" w:hAnsi="Arial" w:cs="Arial"/>
        </w:rPr>
      </w:pPr>
      <w:r w:rsidRPr="00D363EF">
        <w:rPr>
          <w:rFonts w:ascii="Arial" w:hAnsi="Arial" w:cs="Arial"/>
        </w:rPr>
        <w:t xml:space="preserve">Origem: Processo n. 60716-9/21– </w:t>
      </w:r>
      <w:hyperlink r:id="rId1" w:history="1">
        <w:r w:rsidRPr="003F6DAB">
          <w:rPr>
            <w:rStyle w:val="Hyperlink"/>
            <w:rFonts w:ascii="Arial" w:hAnsi="Arial" w:cs="Arial"/>
          </w:rPr>
          <w:t>Acórdão n. 2</w:t>
        </w:r>
        <w:r w:rsidR="00642E7C" w:rsidRPr="003F6DAB">
          <w:rPr>
            <w:rStyle w:val="Hyperlink"/>
            <w:rFonts w:ascii="Arial" w:hAnsi="Arial" w:cs="Arial"/>
          </w:rPr>
          <w:t>973</w:t>
        </w:r>
        <w:r w:rsidRPr="003F6DAB">
          <w:rPr>
            <w:rStyle w:val="Hyperlink"/>
            <w:rFonts w:ascii="Arial" w:hAnsi="Arial" w:cs="Arial"/>
          </w:rPr>
          <w:t>/21-Tribunal Pleno</w:t>
        </w:r>
      </w:hyperlink>
      <w:r w:rsidRPr="00D363EF">
        <w:rPr>
          <w:rFonts w:ascii="Arial" w:hAnsi="Arial" w:cs="Arial"/>
        </w:rPr>
        <w:t>.</w:t>
      </w:r>
    </w:p>
    <w:p w14:paraId="5B20C556" w14:textId="0FE1F9D4" w:rsidR="00354FA1" w:rsidRPr="00354FA1" w:rsidRDefault="00354FA1" w:rsidP="00354FA1">
      <w:pPr>
        <w:pStyle w:val="Textodenotaderodap"/>
        <w:numPr>
          <w:ilvl w:val="0"/>
          <w:numId w:val="4"/>
        </w:numPr>
        <w:ind w:left="426" w:hanging="284"/>
        <w:rPr>
          <w:rFonts w:ascii="Arial" w:hAnsi="Arial" w:cs="Arial"/>
          <w:color w:val="FF0000"/>
          <w:sz w:val="18"/>
          <w:szCs w:val="18"/>
        </w:rPr>
      </w:pPr>
      <w:r>
        <w:rPr>
          <w:rFonts w:ascii="Arial" w:hAnsi="Arial" w:cs="Arial"/>
          <w:b/>
          <w:bCs/>
          <w:color w:val="0000FF"/>
        </w:rPr>
        <w:t>Alterada</w:t>
      </w:r>
      <w:r>
        <w:rPr>
          <w:rFonts w:ascii="Arial" w:hAnsi="Arial" w:cs="Arial"/>
        </w:rPr>
        <w:t xml:space="preserve"> por: </w:t>
      </w:r>
      <w:hyperlink r:id="rId2" w:history="1">
        <w:r>
          <w:rPr>
            <w:rStyle w:val="Hyperlink"/>
            <w:rFonts w:ascii="Arial" w:hAnsi="Arial" w:cs="Arial"/>
          </w:rPr>
          <w:t>Instrução Normativa n. 173, de 26 de julho de 2022</w:t>
        </w:r>
      </w:hyperlink>
      <w:r>
        <w:rPr>
          <w:rFonts w:ascii="Arial" w:hAnsi="Arial" w:cs="Arial"/>
        </w:rPr>
        <w:t>.</w:t>
      </w:r>
    </w:p>
    <w:p w14:paraId="0BE123E0" w14:textId="2091BD10" w:rsidR="00D363EF" w:rsidRPr="001D3D13" w:rsidRDefault="00D363EF" w:rsidP="00E87423">
      <w:pPr>
        <w:pStyle w:val="Corpodetexto"/>
        <w:numPr>
          <w:ilvl w:val="0"/>
          <w:numId w:val="4"/>
        </w:numPr>
        <w:ind w:left="426" w:hanging="284"/>
        <w:rPr>
          <w:rFonts w:ascii="Arial" w:hAnsi="Arial" w:cs="Arial"/>
          <w:sz w:val="20"/>
        </w:rPr>
      </w:pPr>
      <w:r w:rsidRPr="002A1BDB">
        <w:rPr>
          <w:rFonts w:ascii="Arial" w:hAnsi="Arial" w:cs="Arial"/>
          <w:b/>
          <w:bCs/>
          <w:sz w:val="20"/>
        </w:rPr>
        <w:t>Ver também</w:t>
      </w:r>
      <w:r w:rsidRPr="00D363EF">
        <w:rPr>
          <w:rFonts w:ascii="Arial" w:hAnsi="Arial" w:cs="Arial"/>
          <w:sz w:val="20"/>
        </w:rPr>
        <w:t xml:space="preserve">: </w:t>
      </w:r>
      <w:hyperlink r:id="rId3" w:history="1">
        <w:r w:rsidRPr="00D363EF">
          <w:rPr>
            <w:rStyle w:val="Hyperlink"/>
            <w:rFonts w:ascii="Arial" w:hAnsi="Arial" w:cs="Arial"/>
            <w:sz w:val="20"/>
          </w:rPr>
          <w:t>Instrução Normativa n. 89, de 28 de fevereiro de 2013</w:t>
        </w:r>
      </w:hyperlink>
      <w:r w:rsidRPr="00D363EF">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CCC" w14:textId="77777777" w:rsidR="00D45B39" w:rsidRDefault="00354FA1" w:rsidP="00B04AF5">
    <w:pPr>
      <w:pStyle w:val="Cabealho"/>
      <w:spacing w:before="400" w:after="600"/>
      <w:ind w:left="1134"/>
      <w:jc w:val="center"/>
      <w:rPr>
        <w:rFonts w:ascii="Arial" w:hAnsi="Arial" w:cs="Arial"/>
        <w:b/>
        <w:sz w:val="28"/>
        <w:szCs w:val="28"/>
      </w:rPr>
    </w:pPr>
    <w:r>
      <w:rPr>
        <w:noProof/>
      </w:rPr>
      <w:pict w14:anchorId="6593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8.1pt;margin-top:3.2pt;width:47.7pt;height:56.1pt;z-index:251658240;visibility:visible">
          <v:imagedata r:id="rId1" o:title=" logo TC colorido - medio"/>
          <w10:wrap type="square"/>
        </v:shape>
      </w:pict>
    </w:r>
    <w:r w:rsidR="00D45B39" w:rsidRPr="00C404BE">
      <w:rPr>
        <w:rFonts w:ascii="Arial" w:hAnsi="Arial" w:cs="Arial"/>
        <w:b/>
        <w:sz w:val="28"/>
        <w:szCs w:val="28"/>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73AF" w14:textId="77777777" w:rsidR="00A61480" w:rsidRPr="00A61480" w:rsidRDefault="00354FA1" w:rsidP="00A61480">
    <w:pPr>
      <w:pStyle w:val="Cabealho"/>
      <w:spacing w:before="120" w:after="120"/>
      <w:ind w:firstLine="709"/>
      <w:jc w:val="center"/>
      <w:rPr>
        <w:rFonts w:ascii="Arial" w:hAnsi="Arial" w:cs="Arial"/>
        <w:sz w:val="28"/>
        <w:szCs w:val="28"/>
      </w:rPr>
    </w:pPr>
    <w:r>
      <w:rPr>
        <w:noProof/>
      </w:rPr>
      <w:pict w14:anchorId="724D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style="position:absolute;left:0;text-align:left;margin-left:1.95pt;margin-top:-1.3pt;width:47.3pt;height:55.55pt;z-index:251657216;visibility:visible;mso-width-relative:margin;mso-height-relative:margin">
          <v:imagedata r:id="rId1" o:title=""/>
        </v:shape>
      </w:pict>
    </w:r>
    <w:r w:rsidR="00A61480" w:rsidRPr="00A61480">
      <w:rPr>
        <w:rFonts w:ascii="Arial" w:hAnsi="Arial" w:cs="Arial"/>
        <w:sz w:val="28"/>
        <w:szCs w:val="28"/>
      </w:rPr>
      <w:t>TRIBUNAL DE CONTAS DO ESTADO DO PARANÁ</w:t>
    </w:r>
  </w:p>
  <w:p w14:paraId="4478BCE4" w14:textId="77777777" w:rsidR="00A61480" w:rsidRDefault="00A61480" w:rsidP="00A61480">
    <w:pPr>
      <w:pStyle w:val="Cabealho"/>
      <w:ind w:firstLine="708"/>
      <w:jc w:val="center"/>
    </w:pPr>
  </w:p>
  <w:p w14:paraId="66F35922" w14:textId="77777777" w:rsidR="00A61480" w:rsidRDefault="00A61480" w:rsidP="00A61480">
    <w:pPr>
      <w:pStyle w:val="Cabealho"/>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118D"/>
    <w:multiLevelType w:val="hybridMultilevel"/>
    <w:tmpl w:val="F7C26A94"/>
    <w:lvl w:ilvl="0" w:tplc="70CC9A2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389B5021"/>
    <w:multiLevelType w:val="hybridMultilevel"/>
    <w:tmpl w:val="882EF51A"/>
    <w:lvl w:ilvl="0" w:tplc="A17CBE0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520AA1"/>
    <w:multiLevelType w:val="hybridMultilevel"/>
    <w:tmpl w:val="1D349E24"/>
    <w:lvl w:ilvl="0" w:tplc="6C08E788">
      <w:start w:val="1"/>
      <w:numFmt w:val="decimal"/>
      <w:lvlText w:val="(%1)"/>
      <w:lvlJc w:val="left"/>
      <w:pPr>
        <w:ind w:left="1494" w:hanging="360"/>
      </w:pPr>
      <w:rPr>
        <w:rFonts w:hint="default"/>
        <w:b/>
        <w:bCs/>
        <w:strike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013408509">
    <w:abstractNumId w:val="2"/>
  </w:num>
  <w:num w:numId="2" w16cid:durableId="57863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967785">
    <w:abstractNumId w:val="0"/>
  </w:num>
  <w:num w:numId="4" w16cid:durableId="339160795">
    <w:abstractNumId w:val="1"/>
  </w:num>
  <w:num w:numId="5" w16cid:durableId="5821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480"/>
    <w:rsid w:val="00007F5E"/>
    <w:rsid w:val="0001035B"/>
    <w:rsid w:val="00026699"/>
    <w:rsid w:val="000A6413"/>
    <w:rsid w:val="000C1DB8"/>
    <w:rsid w:val="000C53C2"/>
    <w:rsid w:val="000C5CB1"/>
    <w:rsid w:val="00151433"/>
    <w:rsid w:val="001D3D13"/>
    <w:rsid w:val="002326BF"/>
    <w:rsid w:val="00234836"/>
    <w:rsid w:val="00236F76"/>
    <w:rsid w:val="0025453E"/>
    <w:rsid w:val="00275D3B"/>
    <w:rsid w:val="002A1BDB"/>
    <w:rsid w:val="002B7808"/>
    <w:rsid w:val="002C1586"/>
    <w:rsid w:val="002C1751"/>
    <w:rsid w:val="002C36DD"/>
    <w:rsid w:val="00303C55"/>
    <w:rsid w:val="00311828"/>
    <w:rsid w:val="00321465"/>
    <w:rsid w:val="00347A57"/>
    <w:rsid w:val="00354FA1"/>
    <w:rsid w:val="00357CE0"/>
    <w:rsid w:val="00390F58"/>
    <w:rsid w:val="003B66FE"/>
    <w:rsid w:val="003C6D50"/>
    <w:rsid w:val="003F6DAB"/>
    <w:rsid w:val="0040566B"/>
    <w:rsid w:val="00432780"/>
    <w:rsid w:val="00442325"/>
    <w:rsid w:val="00451F86"/>
    <w:rsid w:val="00485756"/>
    <w:rsid w:val="004C41B1"/>
    <w:rsid w:val="00522936"/>
    <w:rsid w:val="005274E3"/>
    <w:rsid w:val="00565771"/>
    <w:rsid w:val="0057266D"/>
    <w:rsid w:val="00583D3E"/>
    <w:rsid w:val="005A034E"/>
    <w:rsid w:val="005A3926"/>
    <w:rsid w:val="005D3633"/>
    <w:rsid w:val="0060617E"/>
    <w:rsid w:val="00642E7C"/>
    <w:rsid w:val="006B254D"/>
    <w:rsid w:val="006B74D0"/>
    <w:rsid w:val="006D5445"/>
    <w:rsid w:val="006E790C"/>
    <w:rsid w:val="00713A45"/>
    <w:rsid w:val="0072182D"/>
    <w:rsid w:val="00746698"/>
    <w:rsid w:val="00763AF7"/>
    <w:rsid w:val="007712AD"/>
    <w:rsid w:val="0078297F"/>
    <w:rsid w:val="007833D8"/>
    <w:rsid w:val="007B7697"/>
    <w:rsid w:val="007B77AE"/>
    <w:rsid w:val="007D1E4D"/>
    <w:rsid w:val="007D6409"/>
    <w:rsid w:val="00805CC8"/>
    <w:rsid w:val="00806909"/>
    <w:rsid w:val="00845B71"/>
    <w:rsid w:val="00860F69"/>
    <w:rsid w:val="00882552"/>
    <w:rsid w:val="00883E6B"/>
    <w:rsid w:val="008A502C"/>
    <w:rsid w:val="008B6B98"/>
    <w:rsid w:val="008C596C"/>
    <w:rsid w:val="008C6D70"/>
    <w:rsid w:val="008D0198"/>
    <w:rsid w:val="008E05EA"/>
    <w:rsid w:val="0090286F"/>
    <w:rsid w:val="00953AB5"/>
    <w:rsid w:val="009672E7"/>
    <w:rsid w:val="009913F2"/>
    <w:rsid w:val="009A1ECE"/>
    <w:rsid w:val="009D3EC4"/>
    <w:rsid w:val="009F02EC"/>
    <w:rsid w:val="00A1711B"/>
    <w:rsid w:val="00A2572F"/>
    <w:rsid w:val="00A27F73"/>
    <w:rsid w:val="00A40C29"/>
    <w:rsid w:val="00A61480"/>
    <w:rsid w:val="00A868EE"/>
    <w:rsid w:val="00AD7E26"/>
    <w:rsid w:val="00AF1415"/>
    <w:rsid w:val="00B04AF5"/>
    <w:rsid w:val="00B140EB"/>
    <w:rsid w:val="00B2394A"/>
    <w:rsid w:val="00B3187D"/>
    <w:rsid w:val="00B77F32"/>
    <w:rsid w:val="00B85D7E"/>
    <w:rsid w:val="00B96835"/>
    <w:rsid w:val="00BA6CBF"/>
    <w:rsid w:val="00BB0C06"/>
    <w:rsid w:val="00BB24A1"/>
    <w:rsid w:val="00BB68EC"/>
    <w:rsid w:val="00BC0A62"/>
    <w:rsid w:val="00BC7CF9"/>
    <w:rsid w:val="00BD2613"/>
    <w:rsid w:val="00BE3C40"/>
    <w:rsid w:val="00BE4C45"/>
    <w:rsid w:val="00BE4F23"/>
    <w:rsid w:val="00C15E90"/>
    <w:rsid w:val="00C57DC8"/>
    <w:rsid w:val="00C65140"/>
    <w:rsid w:val="00C939B6"/>
    <w:rsid w:val="00CA6908"/>
    <w:rsid w:val="00CA7D60"/>
    <w:rsid w:val="00CB3B3E"/>
    <w:rsid w:val="00CD42ED"/>
    <w:rsid w:val="00CF40B7"/>
    <w:rsid w:val="00D0610E"/>
    <w:rsid w:val="00D1752E"/>
    <w:rsid w:val="00D3433D"/>
    <w:rsid w:val="00D363EF"/>
    <w:rsid w:val="00D3715C"/>
    <w:rsid w:val="00D45B39"/>
    <w:rsid w:val="00D55580"/>
    <w:rsid w:val="00D91ADB"/>
    <w:rsid w:val="00E326AC"/>
    <w:rsid w:val="00E727BB"/>
    <w:rsid w:val="00E87423"/>
    <w:rsid w:val="00E906CC"/>
    <w:rsid w:val="00E9305B"/>
    <w:rsid w:val="00E9652D"/>
    <w:rsid w:val="00EB1FF0"/>
    <w:rsid w:val="00EE0738"/>
    <w:rsid w:val="00F01D22"/>
    <w:rsid w:val="00F379FA"/>
    <w:rsid w:val="00F46722"/>
    <w:rsid w:val="00F84653"/>
    <w:rsid w:val="00F9258A"/>
    <w:rsid w:val="00FA39DD"/>
    <w:rsid w:val="00FB289B"/>
    <w:rsid w:val="00FC6DF3"/>
    <w:rsid w:val="00FC7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769C"/>
  <w15:docId w15:val="{6584D08C-ADCE-4888-ACC1-0A910DD1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61480"/>
    <w:pPr>
      <w:tabs>
        <w:tab w:val="center" w:pos="4252"/>
        <w:tab w:val="right" w:pos="8504"/>
      </w:tabs>
      <w:spacing w:after="0" w:line="240" w:lineRule="auto"/>
    </w:pPr>
  </w:style>
  <w:style w:type="character" w:customStyle="1" w:styleId="CabealhoChar">
    <w:name w:val="Cabeçalho Char"/>
    <w:basedOn w:val="Fontepargpadro"/>
    <w:link w:val="Cabealho"/>
    <w:rsid w:val="00A61480"/>
  </w:style>
  <w:style w:type="paragraph" w:styleId="Rodap">
    <w:name w:val="footer"/>
    <w:basedOn w:val="Normal"/>
    <w:link w:val="RodapChar"/>
    <w:uiPriority w:val="99"/>
    <w:unhideWhenUsed/>
    <w:rsid w:val="00A61480"/>
    <w:pPr>
      <w:tabs>
        <w:tab w:val="center" w:pos="4252"/>
        <w:tab w:val="right" w:pos="8504"/>
      </w:tabs>
      <w:spacing w:after="0" w:line="240" w:lineRule="auto"/>
    </w:pPr>
  </w:style>
  <w:style w:type="character" w:customStyle="1" w:styleId="RodapChar">
    <w:name w:val="Rodapé Char"/>
    <w:basedOn w:val="Fontepargpadro"/>
    <w:link w:val="Rodap"/>
    <w:uiPriority w:val="99"/>
    <w:rsid w:val="00A61480"/>
  </w:style>
  <w:style w:type="paragraph" w:styleId="Textodenotaderodap">
    <w:name w:val="footnote text"/>
    <w:basedOn w:val="Normal"/>
    <w:link w:val="TextodenotaderodapChar"/>
    <w:unhideWhenUsed/>
    <w:rsid w:val="00A27F73"/>
    <w:pPr>
      <w:spacing w:after="0" w:line="240" w:lineRule="auto"/>
    </w:pPr>
    <w:rPr>
      <w:sz w:val="20"/>
      <w:szCs w:val="20"/>
    </w:rPr>
  </w:style>
  <w:style w:type="character" w:customStyle="1" w:styleId="TextodenotaderodapChar">
    <w:name w:val="Texto de nota de rodapé Char"/>
    <w:link w:val="Textodenotaderodap"/>
    <w:rsid w:val="00A27F73"/>
    <w:rPr>
      <w:sz w:val="20"/>
      <w:szCs w:val="20"/>
    </w:rPr>
  </w:style>
  <w:style w:type="character" w:styleId="Refdenotaderodap">
    <w:name w:val="footnote reference"/>
    <w:uiPriority w:val="99"/>
    <w:semiHidden/>
    <w:unhideWhenUsed/>
    <w:rsid w:val="00A27F73"/>
    <w:rPr>
      <w:vertAlign w:val="superscript"/>
    </w:rPr>
  </w:style>
  <w:style w:type="paragraph" w:styleId="PargrafodaLista">
    <w:name w:val="List Paragraph"/>
    <w:basedOn w:val="Normal"/>
    <w:uiPriority w:val="34"/>
    <w:qFormat/>
    <w:rsid w:val="00E87423"/>
    <w:pPr>
      <w:spacing w:after="0" w:line="240" w:lineRule="auto"/>
      <w:ind w:left="720"/>
      <w:contextualSpacing/>
    </w:pPr>
    <w:rPr>
      <w:rFonts w:ascii="Times New Roman" w:eastAsia="Times New Roman" w:hAnsi="Times New Roman"/>
      <w:sz w:val="24"/>
      <w:szCs w:val="24"/>
      <w:lang w:eastAsia="pt-BR"/>
    </w:rPr>
  </w:style>
  <w:style w:type="character" w:styleId="Hyperlink">
    <w:name w:val="Hyperlink"/>
    <w:uiPriority w:val="99"/>
    <w:unhideWhenUsed/>
    <w:rsid w:val="00E87423"/>
    <w:rPr>
      <w:color w:val="0000FF"/>
      <w:u w:val="single"/>
    </w:rPr>
  </w:style>
  <w:style w:type="paragraph" w:styleId="Corpodetexto">
    <w:name w:val="Body Text"/>
    <w:basedOn w:val="Normal"/>
    <w:link w:val="CorpodetextoChar"/>
    <w:rsid w:val="00D363EF"/>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D363EF"/>
    <w:rPr>
      <w:rFonts w:ascii="Times New Roman" w:eastAsia="Times New Roman" w:hAnsi="Times New Roman"/>
      <w:sz w:val="28"/>
    </w:rPr>
  </w:style>
  <w:style w:type="character" w:styleId="MenoPendente">
    <w:name w:val="Unresolved Mention"/>
    <w:uiPriority w:val="99"/>
    <w:semiHidden/>
    <w:unhideWhenUsed/>
    <w:rsid w:val="001D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99918">
      <w:bodyDiv w:val="1"/>
      <w:marLeft w:val="0"/>
      <w:marRight w:val="0"/>
      <w:marTop w:val="0"/>
      <w:marBottom w:val="0"/>
      <w:divBdr>
        <w:top w:val="none" w:sz="0" w:space="0" w:color="auto"/>
        <w:left w:val="none" w:sz="0" w:space="0" w:color="auto"/>
        <w:bottom w:val="none" w:sz="0" w:space="0" w:color="auto"/>
        <w:right w:val="none" w:sz="0" w:space="0" w:color="auto"/>
      </w:divBdr>
    </w:div>
    <w:div w:id="770786042">
      <w:bodyDiv w:val="1"/>
      <w:marLeft w:val="0"/>
      <w:marRight w:val="0"/>
      <w:marTop w:val="0"/>
      <w:marBottom w:val="0"/>
      <w:divBdr>
        <w:top w:val="none" w:sz="0" w:space="0" w:color="auto"/>
        <w:left w:val="none" w:sz="0" w:space="0" w:color="auto"/>
        <w:bottom w:val="none" w:sz="0" w:space="0" w:color="auto"/>
        <w:right w:val="none" w:sz="0" w:space="0" w:color="auto"/>
      </w:divBdr>
    </w:div>
    <w:div w:id="1138451407">
      <w:bodyDiv w:val="1"/>
      <w:marLeft w:val="0"/>
      <w:marRight w:val="0"/>
      <w:marTop w:val="0"/>
      <w:marBottom w:val="0"/>
      <w:divBdr>
        <w:top w:val="none" w:sz="0" w:space="0" w:color="auto"/>
        <w:left w:val="none" w:sz="0" w:space="0" w:color="auto"/>
        <w:bottom w:val="none" w:sz="0" w:space="0" w:color="auto"/>
        <w:right w:val="none" w:sz="0" w:space="0" w:color="auto"/>
      </w:divBdr>
    </w:div>
    <w:div w:id="1150319320">
      <w:bodyDiv w:val="1"/>
      <w:marLeft w:val="0"/>
      <w:marRight w:val="0"/>
      <w:marTop w:val="0"/>
      <w:marBottom w:val="0"/>
      <w:divBdr>
        <w:top w:val="none" w:sz="0" w:space="0" w:color="auto"/>
        <w:left w:val="none" w:sz="0" w:space="0" w:color="auto"/>
        <w:bottom w:val="none" w:sz="0" w:space="0" w:color="auto"/>
        <w:right w:val="none" w:sz="0" w:space="0" w:color="auto"/>
      </w:divBdr>
    </w:div>
    <w:div w:id="1686708203">
      <w:bodyDiv w:val="1"/>
      <w:marLeft w:val="0"/>
      <w:marRight w:val="0"/>
      <w:marTop w:val="0"/>
      <w:marBottom w:val="0"/>
      <w:divBdr>
        <w:top w:val="none" w:sz="0" w:space="0" w:color="auto"/>
        <w:left w:val="none" w:sz="0" w:space="0" w:color="auto"/>
        <w:bottom w:val="none" w:sz="0" w:space="0" w:color="auto"/>
        <w:right w:val="none" w:sz="0" w:space="0" w:color="auto"/>
      </w:divBdr>
    </w:div>
    <w:div w:id="2032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tce.pr.gov.br/conteudo/instrucao-normativa-n-89-de-28-de-fevereiro-de-2013/239895/area/249" TargetMode="External"/><Relationship Id="rId18" Type="http://schemas.openxmlformats.org/officeDocument/2006/relationships/hyperlink" Target="https://www1.tce.pr.gov.br/conteudo/instrucao-normativa-n-173-de-26-de-julho-de-2022/342130/area/10" TargetMode="External"/><Relationship Id="rId26" Type="http://schemas.openxmlformats.org/officeDocument/2006/relationships/hyperlink" Target="https://www1.tce.pr.gov.br/conteudo/instrucao-normativa-n-173-de-26-de-julho-de-2022/342130/area/10" TargetMode="External"/><Relationship Id="rId39" Type="http://schemas.openxmlformats.org/officeDocument/2006/relationships/hyperlink" Target="https://www1.tce.pr.gov.br/conteudo/instrucao-normativa-n-173-de-26-de-julho-de-2022/342130/area/10" TargetMode="External"/><Relationship Id="rId21" Type="http://schemas.openxmlformats.org/officeDocument/2006/relationships/hyperlink" Target="https://www1.tce.pr.gov.br/conteudo/instrucao-normativa-n-173-de-26-de-julho-de-2022/342130/area/10" TargetMode="External"/><Relationship Id="rId34" Type="http://schemas.openxmlformats.org/officeDocument/2006/relationships/hyperlink" Target="https://www1.tce.pr.gov.br/conteudo/instrucao-normativa-n-173-de-26-de-julho-de-2022/342130/area/10" TargetMode="External"/><Relationship Id="rId42" Type="http://schemas.openxmlformats.org/officeDocument/2006/relationships/hyperlink" Target="https://www1.tce.pr.gov.br/conteudo/instrucao-normativa-n-173-de-26-de-julho-de-2022/342130/area/10" TargetMode="External"/><Relationship Id="rId47" Type="http://schemas.openxmlformats.org/officeDocument/2006/relationships/hyperlink" Target="https://www1.tce.pr.gov.br/conteudo/instrucao-normativa-n-173-de-26-de-julho-de-2022/342130/area/10" TargetMode="External"/><Relationship Id="rId50" Type="http://schemas.openxmlformats.org/officeDocument/2006/relationships/hyperlink" Target="https://www1.tce.pr.gov.br/conteudo/instrucao-normativa-n-173-de-26-de-julho-de-2022/342130/area/1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tce.pr.gov.br/conteudo/instrucao-normativa-n-173-de-26-de-julho-de-2022/342130/area/10" TargetMode="External"/><Relationship Id="rId29" Type="http://schemas.openxmlformats.org/officeDocument/2006/relationships/hyperlink" Target="https://www1.tce.pr.gov.br/conteudo/instrucao-normativa-n-173-de-26-de-julho-de-2022/342130/area/10" TargetMode="External"/><Relationship Id="rId11" Type="http://schemas.openxmlformats.org/officeDocument/2006/relationships/hyperlink" Target="https://www1.tce.pr.gov.br/multimidia/2021/11/pdf/00361633.pdf" TargetMode="External"/><Relationship Id="rId24" Type="http://schemas.openxmlformats.org/officeDocument/2006/relationships/hyperlink" Target="https://www1.tce.pr.gov.br/conteudo/instrucao-normativa-n-173-de-26-de-julho-de-2022/342130/area/10" TargetMode="External"/><Relationship Id="rId32" Type="http://schemas.openxmlformats.org/officeDocument/2006/relationships/hyperlink" Target="https://www1.tce.pr.gov.br/conteudo/instrucao-normativa-n-173-de-26-de-julho-de-2022/342130/area/10" TargetMode="External"/><Relationship Id="rId37" Type="http://schemas.openxmlformats.org/officeDocument/2006/relationships/hyperlink" Target="https://www1.tce.pr.gov.br/conteudo/instrucao-normativa-n-173-de-26-de-julho-de-2022/342130/area/10" TargetMode="External"/><Relationship Id="rId40" Type="http://schemas.openxmlformats.org/officeDocument/2006/relationships/hyperlink" Target="https://www1.tce.pr.gov.br/conteudo/instrucao-normativa-n-173-de-26-de-julho-de-2022/342130/area/10" TargetMode="External"/><Relationship Id="rId45" Type="http://schemas.openxmlformats.org/officeDocument/2006/relationships/hyperlink" Target="https://www1.tce.pr.gov.br/conteudo/instrucao-normativa-n-173-de-26-de-julho-de-2022/342130/area/1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1.tce.pr.gov.br/conteudo/instrucao-normativa-n-173-de-26-de-julho-de-2022/342130/area/10" TargetMode="External"/><Relationship Id="rId31" Type="http://schemas.openxmlformats.org/officeDocument/2006/relationships/hyperlink" Target="https://www1.tce.pr.gov.br/conteudo/instrucao-normativa-n-173-de-26-de-julho-de-2022/342130/area/10" TargetMode="External"/><Relationship Id="rId44" Type="http://schemas.openxmlformats.org/officeDocument/2006/relationships/hyperlink" Target="https://www1.tce.pr.gov.br/conteudo/instrucao-normativa-n-173-de-26-de-julho-de-2022/342130/area/10"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1.tce.pr.gov.br/conteudo/instrucao-normativa-n-173-de-26-de-julho-de-2022/342130/area/10" TargetMode="External"/><Relationship Id="rId27" Type="http://schemas.openxmlformats.org/officeDocument/2006/relationships/hyperlink" Target="https://www1.tce.pr.gov.br/conteudo/instrucao-normativa-n-173-de-26-de-julho-de-2022/342130/area/10" TargetMode="External"/><Relationship Id="rId30" Type="http://schemas.openxmlformats.org/officeDocument/2006/relationships/hyperlink" Target="https://www1.tce.pr.gov.br/conteudo/instrucao-normativa-n-173-de-26-de-julho-de-2022/342130/area/10" TargetMode="External"/><Relationship Id="rId35" Type="http://schemas.openxmlformats.org/officeDocument/2006/relationships/hyperlink" Target="https://www1.tce.pr.gov.br/conteudo/instrucao-normativa-n-173-de-26-de-julho-de-2022/342130/area/10" TargetMode="External"/><Relationship Id="rId43" Type="http://schemas.openxmlformats.org/officeDocument/2006/relationships/hyperlink" Target="https://www1.tce.pr.gov.br/conteudo/instrucao-normativa-n-173-de-26-de-julho-de-2022/342130/area/10" TargetMode="External"/><Relationship Id="rId48" Type="http://schemas.openxmlformats.org/officeDocument/2006/relationships/hyperlink" Target="https://www1.tce.pr.gov.br/conteudo/instrucao-normativa-n-173-de-26-de-julho-de-2022/342130/area/10" TargetMode="External"/><Relationship Id="rId8" Type="http://schemas.openxmlformats.org/officeDocument/2006/relationships/webSettings" Target="webSettings.xml"/><Relationship Id="rId51" Type="http://schemas.openxmlformats.org/officeDocument/2006/relationships/hyperlink" Target="https://www1.tce.pr.gov.br/conteudo/instrucao-normativa-n-173-de-26-de-julho-de-2022/342130/area/10" TargetMode="External"/><Relationship Id="rId3" Type="http://schemas.openxmlformats.org/officeDocument/2006/relationships/customXml" Target="../customXml/item3.xml"/><Relationship Id="rId12" Type="http://schemas.openxmlformats.org/officeDocument/2006/relationships/hyperlink" Target="http://www1.tce.pr.gov.br/conteudo/instrucao-normativa-n-89-de-28-de-fevereiro-de-2013/239895/area/249" TargetMode="External"/><Relationship Id="rId17" Type="http://schemas.openxmlformats.org/officeDocument/2006/relationships/hyperlink" Target="https://www1.tce.pr.gov.br/conteudo/instrucao-normativa-n-173-de-26-de-julho-de-2022/342130/area/10" TargetMode="External"/><Relationship Id="rId25" Type="http://schemas.openxmlformats.org/officeDocument/2006/relationships/hyperlink" Target="https://www1.tce.pr.gov.br/conteudo/instrucao-normativa-n-173-de-26-de-julho-de-2022/342130/area/10" TargetMode="External"/><Relationship Id="rId33" Type="http://schemas.openxmlformats.org/officeDocument/2006/relationships/hyperlink" Target="https://www1.tce.pr.gov.br/conteudo/instrucao-normativa-n-173-de-26-de-julho-de-2022/342130/area/10" TargetMode="External"/><Relationship Id="rId38" Type="http://schemas.openxmlformats.org/officeDocument/2006/relationships/hyperlink" Target="https://www1.tce.pr.gov.br/conteudo/instrucao-normativa-n-173-de-26-de-julho-de-2022/342130/area/10" TargetMode="External"/><Relationship Id="rId46" Type="http://schemas.openxmlformats.org/officeDocument/2006/relationships/hyperlink" Target="https://www1.tce.pr.gov.br/conteudo/instrucao-normativa-n-173-de-26-de-julho-de-2022/342130/area/10" TargetMode="External"/><Relationship Id="rId20" Type="http://schemas.openxmlformats.org/officeDocument/2006/relationships/hyperlink" Target="https://www1.tce.pr.gov.br/conteudo/instrucao-normativa-n-173-de-26-de-julho-de-2022/342130/area/10" TargetMode="External"/><Relationship Id="rId41" Type="http://schemas.openxmlformats.org/officeDocument/2006/relationships/hyperlink" Target="https://www1.tce.pr.gov.br/conteudo/instrucao-normativa-n-173-de-26-de-julho-de-2022/342130/area/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tce.pr.gov.br/conteudo/instrucao-normativa-n-173-de-26-de-julho-de-2022/342130/area/10" TargetMode="External"/><Relationship Id="rId23" Type="http://schemas.openxmlformats.org/officeDocument/2006/relationships/hyperlink" Target="https://www1.tce.pr.gov.br/conteudo/instrucao-normativa-n-173-de-26-de-julho-de-2022/342130/area/10" TargetMode="External"/><Relationship Id="rId28" Type="http://schemas.openxmlformats.org/officeDocument/2006/relationships/hyperlink" Target="https://www1.tce.pr.gov.br/conteudo/instrucao-normativa-n-173-de-26-de-julho-de-2022/342130/area/10" TargetMode="External"/><Relationship Id="rId36" Type="http://schemas.openxmlformats.org/officeDocument/2006/relationships/hyperlink" Target="https://www1.tce.pr.gov.br/conteudo/instrucao-normativa-n-173-de-26-de-julho-de-2022/342130/area/10" TargetMode="External"/><Relationship Id="rId49" Type="http://schemas.openxmlformats.org/officeDocument/2006/relationships/hyperlink" Target="https://www1.tce.pr.gov.br/conteudo/instrucao-normativa-n-173-de-26-de-julho-de-2022/342130/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conteudo/instrucao-normativa-n-173-de-26-de-julho-de-2022/342130/area/10" TargetMode="External"/><Relationship Id="rId1" Type="http://schemas.openxmlformats.org/officeDocument/2006/relationships/hyperlink" Target="https://www1.tce.pr.gov.br/multimidia/2021/11/pdf/003616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EE4E480CA315488CA3397CFAA4C97D" ma:contentTypeVersion="14" ma:contentTypeDescription="Crie um novo documento." ma:contentTypeScope="" ma:versionID="5b2c3ce80f0322491f274b051bf74261">
  <xsd:schema xmlns:xsd="http://www.w3.org/2001/XMLSchema" xmlns:xs="http://www.w3.org/2001/XMLSchema" xmlns:p="http://schemas.microsoft.com/office/2006/metadata/properties" xmlns:ns3="9108f842-fb03-4c8d-8d71-23235de384e1" xmlns:ns4="1602c79e-0c0a-4aca-a46c-9ea08541ee77" targetNamespace="http://schemas.microsoft.com/office/2006/metadata/properties" ma:root="true" ma:fieldsID="315dc51f2b687767132632763b28ae2d" ns3:_="" ns4:_="">
    <xsd:import namespace="9108f842-fb03-4c8d-8d71-23235de384e1"/>
    <xsd:import namespace="1602c79e-0c0a-4aca-a46c-9ea08541ee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8f842-fb03-4c8d-8d71-23235de3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2c79e-0c0a-4aca-a46c-9ea08541ee77"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5284B-30E6-427F-A98D-6994A35C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8f842-fb03-4c8d-8d71-23235de384e1"/>
    <ds:schemaRef ds:uri="1602c79e-0c0a-4aca-a46c-9ea08541e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0ADA-3AE7-4475-8BEE-15D4E0DFC7A6}">
  <ds:schemaRefs>
    <ds:schemaRef ds:uri="http://schemas.microsoft.com/sharepoint/v3/contenttype/forms"/>
  </ds:schemaRefs>
</ds:datastoreItem>
</file>

<file path=customXml/itemProps3.xml><?xml version="1.0" encoding="utf-8"?>
<ds:datastoreItem xmlns:ds="http://schemas.openxmlformats.org/officeDocument/2006/customXml" ds:itemID="{7BE9FE02-1651-4FA6-BCA9-2B6E69D87B9A}">
  <ds:schemaRefs>
    <ds:schemaRef ds:uri="http://schemas.openxmlformats.org/officeDocument/2006/bibliography"/>
  </ds:schemaRefs>
</ds:datastoreItem>
</file>

<file path=customXml/itemProps4.xml><?xml version="1.0" encoding="utf-8"?>
<ds:datastoreItem xmlns:ds="http://schemas.openxmlformats.org/officeDocument/2006/customXml" ds:itemID="{3BCEC35E-FB45-4EB8-9FC5-C26E25DB7B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4705</Words>
  <Characters>25407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Luis de Morais</dc:creator>
  <cp:keywords/>
  <cp:lastModifiedBy>Yarusya Fonseca</cp:lastModifiedBy>
  <cp:revision>6</cp:revision>
  <cp:lastPrinted>2020-05-01T01:25:00Z</cp:lastPrinted>
  <dcterms:created xsi:type="dcterms:W3CDTF">2022-08-01T19:23:00Z</dcterms:created>
  <dcterms:modified xsi:type="dcterms:W3CDTF">2022-08-01T19:41:00Z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0x01010004EE4E480CA315488CA3397CFAA4C97D</vt:lpwstr>
  </property>
</Properties>
</file>