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C4B35" w14:textId="01976665" w:rsidR="002C1F32" w:rsidRPr="00F551A2" w:rsidRDefault="002C1F32" w:rsidP="002C1F32">
      <w:pPr>
        <w:tabs>
          <w:tab w:val="left" w:pos="1260"/>
          <w:tab w:val="left" w:pos="1440"/>
          <w:tab w:val="left" w:pos="1620"/>
          <w:tab w:val="left" w:pos="1800"/>
          <w:tab w:val="left" w:pos="1980"/>
        </w:tabs>
        <w:autoSpaceDE/>
        <w:autoSpaceDN/>
        <w:spacing w:before="240" w:after="120"/>
        <w:jc w:val="center"/>
        <w:rPr>
          <w:rFonts w:ascii="Arial" w:hAnsi="Arial" w:cs="Arial"/>
          <w:b/>
          <w:bCs/>
          <w:sz w:val="28"/>
          <w:szCs w:val="28"/>
        </w:rPr>
      </w:pPr>
      <w:r w:rsidRPr="00F551A2">
        <w:rPr>
          <w:rFonts w:ascii="Arial" w:hAnsi="Arial" w:cs="Arial"/>
          <w:b/>
          <w:bCs/>
          <w:sz w:val="28"/>
          <w:szCs w:val="28"/>
        </w:rPr>
        <w:t>INSTRUÇÃO NORMATIVA</w:t>
      </w:r>
      <w:r>
        <w:rPr>
          <w:rFonts w:ascii="Arial" w:hAnsi="Arial" w:cs="Arial"/>
          <w:b/>
          <w:bCs/>
          <w:sz w:val="28"/>
          <w:szCs w:val="28"/>
        </w:rPr>
        <w:t xml:space="preserve"> Nº 94/2014</w:t>
      </w:r>
      <w:r w:rsidR="00CF0E45">
        <w:rPr>
          <w:rStyle w:val="Refdenotaderodap"/>
          <w:rFonts w:ascii="Arial" w:hAnsi="Arial" w:cs="Arial"/>
          <w:b/>
          <w:bCs/>
          <w:sz w:val="28"/>
          <w:szCs w:val="28"/>
        </w:rPr>
        <w:footnoteReference w:id="1"/>
      </w:r>
    </w:p>
    <w:p w14:paraId="1B7DE229" w14:textId="77777777" w:rsidR="002C1F32" w:rsidRPr="00F551A2" w:rsidRDefault="002C1F32" w:rsidP="002C1F32">
      <w:pPr>
        <w:autoSpaceDE/>
        <w:autoSpaceDN/>
        <w:spacing w:before="120" w:after="120"/>
        <w:ind w:left="4536"/>
        <w:jc w:val="both"/>
        <w:rPr>
          <w:rFonts w:ascii="Arial" w:hAnsi="Arial" w:cs="Arial"/>
          <w:bCs/>
          <w:i/>
          <w:sz w:val="24"/>
          <w:szCs w:val="24"/>
        </w:rPr>
      </w:pPr>
    </w:p>
    <w:p w14:paraId="4759F152" w14:textId="77777777" w:rsidR="002C1F32" w:rsidRPr="000F1DD8" w:rsidRDefault="002C1F32" w:rsidP="002C1F32">
      <w:pPr>
        <w:autoSpaceDE/>
        <w:autoSpaceDN/>
        <w:spacing w:before="120" w:after="120"/>
        <w:ind w:left="4536"/>
        <w:jc w:val="both"/>
        <w:rPr>
          <w:rFonts w:ascii="Arial" w:hAnsi="Arial" w:cs="Arial"/>
          <w:bCs/>
          <w:i/>
          <w:sz w:val="22"/>
          <w:szCs w:val="22"/>
        </w:rPr>
      </w:pPr>
      <w:r w:rsidRPr="000F1DD8">
        <w:rPr>
          <w:rFonts w:ascii="Arial" w:hAnsi="Arial" w:cs="Arial"/>
          <w:bCs/>
          <w:i/>
          <w:sz w:val="22"/>
          <w:szCs w:val="22"/>
        </w:rPr>
        <w:t>Estabelece o escopo e os reflexos para aplicação na análise da prestação de contas municipal relativa ao exercício de 2013, compreendendo os Poderes Executivo e Legislativo Municipais, a administração direta e indireta, e dá outras providências.</w:t>
      </w:r>
    </w:p>
    <w:p w14:paraId="608BB9FE" w14:textId="77777777" w:rsidR="002C1F32" w:rsidRPr="00F551A2" w:rsidRDefault="002C1F32" w:rsidP="002C1F32">
      <w:pPr>
        <w:autoSpaceDE/>
        <w:autoSpaceDN/>
        <w:ind w:left="4536"/>
        <w:jc w:val="both"/>
        <w:rPr>
          <w:rFonts w:ascii="Arial" w:hAnsi="Arial" w:cs="Arial"/>
          <w:bCs/>
          <w:i/>
          <w:sz w:val="24"/>
          <w:szCs w:val="24"/>
        </w:rPr>
      </w:pPr>
    </w:p>
    <w:p w14:paraId="6B6B31FE" w14:textId="77777777" w:rsidR="002C1F32" w:rsidRPr="00F551A2" w:rsidRDefault="002C1F32" w:rsidP="000F1DD8">
      <w:pPr>
        <w:tabs>
          <w:tab w:val="left" w:pos="1260"/>
          <w:tab w:val="left" w:pos="1440"/>
          <w:tab w:val="left" w:pos="1620"/>
          <w:tab w:val="left" w:pos="1800"/>
          <w:tab w:val="left" w:pos="1980"/>
        </w:tabs>
        <w:autoSpaceDE/>
        <w:autoSpaceDN/>
        <w:spacing w:before="240"/>
        <w:ind w:firstLine="1134"/>
        <w:jc w:val="both"/>
        <w:rPr>
          <w:rFonts w:ascii="Arial" w:hAnsi="Arial" w:cs="Arial"/>
          <w:sz w:val="24"/>
          <w:szCs w:val="24"/>
        </w:rPr>
      </w:pPr>
      <w:r w:rsidRPr="000F1DD8">
        <w:rPr>
          <w:rFonts w:ascii="Arial" w:hAnsi="Arial" w:cs="Arial"/>
          <w:bCs/>
          <w:sz w:val="24"/>
          <w:szCs w:val="24"/>
        </w:rPr>
        <w:t xml:space="preserve">O </w:t>
      </w:r>
      <w:r w:rsidRPr="00F551A2">
        <w:rPr>
          <w:rFonts w:ascii="Arial" w:hAnsi="Arial" w:cs="Arial"/>
          <w:b/>
          <w:sz w:val="24"/>
          <w:szCs w:val="24"/>
        </w:rPr>
        <w:t>TRIBUNAL DE CONTAS DO ESTADO DO PARANÁ</w:t>
      </w:r>
      <w:r w:rsidRPr="00F551A2">
        <w:rPr>
          <w:rFonts w:ascii="Arial" w:hAnsi="Arial" w:cs="Arial"/>
          <w:sz w:val="24"/>
          <w:szCs w:val="24"/>
        </w:rPr>
        <w:t xml:space="preserve">, no uso das atribuições institucionais, estabelecidas na Constituição Federal e do Estado, com fundamento no art. 2º, I, da Lei Orgânica, e nos </w:t>
      </w:r>
      <w:proofErr w:type="spellStart"/>
      <w:r w:rsidRPr="00F551A2">
        <w:rPr>
          <w:rFonts w:ascii="Arial" w:hAnsi="Arial" w:cs="Arial"/>
          <w:sz w:val="24"/>
          <w:szCs w:val="24"/>
        </w:rPr>
        <w:t>arts</w:t>
      </w:r>
      <w:proofErr w:type="spellEnd"/>
      <w:r w:rsidRPr="00F551A2">
        <w:rPr>
          <w:rFonts w:ascii="Arial" w:hAnsi="Arial" w:cs="Arial"/>
          <w:sz w:val="24"/>
          <w:szCs w:val="24"/>
        </w:rPr>
        <w:t>. 216, § 2º, e 226, § 2º, do Regimento Interno,</w:t>
      </w:r>
    </w:p>
    <w:p w14:paraId="0A69CC9F" w14:textId="77777777" w:rsidR="002C1F32" w:rsidRPr="00F551A2" w:rsidRDefault="002C1F32" w:rsidP="000F1DD8">
      <w:pPr>
        <w:tabs>
          <w:tab w:val="left" w:pos="1260"/>
          <w:tab w:val="left" w:pos="1440"/>
          <w:tab w:val="left" w:pos="1620"/>
          <w:tab w:val="left" w:pos="1800"/>
          <w:tab w:val="left" w:pos="1980"/>
        </w:tabs>
        <w:autoSpaceDE/>
        <w:autoSpaceDN/>
        <w:spacing w:before="240"/>
        <w:ind w:firstLine="1134"/>
        <w:jc w:val="both"/>
        <w:rPr>
          <w:rFonts w:ascii="Arial" w:hAnsi="Arial" w:cs="Arial"/>
          <w:b/>
          <w:bCs/>
          <w:sz w:val="24"/>
          <w:szCs w:val="24"/>
        </w:rPr>
      </w:pPr>
      <w:r w:rsidRPr="00F551A2">
        <w:rPr>
          <w:rFonts w:ascii="Arial" w:hAnsi="Arial" w:cs="Arial"/>
          <w:b/>
          <w:bCs/>
          <w:sz w:val="24"/>
          <w:szCs w:val="24"/>
        </w:rPr>
        <w:t>RESOLVE</w:t>
      </w:r>
    </w:p>
    <w:p w14:paraId="17DBA03E" w14:textId="77777777" w:rsidR="002C1F32" w:rsidRPr="00F551A2" w:rsidRDefault="002C1F32" w:rsidP="006D0BF2">
      <w:pPr>
        <w:autoSpaceDE/>
        <w:autoSpaceDN/>
        <w:spacing w:before="120"/>
        <w:ind w:firstLine="1134"/>
        <w:jc w:val="both"/>
        <w:rPr>
          <w:rFonts w:ascii="Arial" w:hAnsi="Arial" w:cs="Arial"/>
          <w:sz w:val="24"/>
          <w:szCs w:val="24"/>
        </w:rPr>
      </w:pPr>
      <w:r w:rsidRPr="00F551A2">
        <w:rPr>
          <w:rFonts w:ascii="Arial" w:hAnsi="Arial" w:cs="Arial"/>
          <w:b/>
          <w:sz w:val="24"/>
          <w:szCs w:val="24"/>
        </w:rPr>
        <w:t>Art. 1º</w:t>
      </w:r>
      <w:r w:rsidRPr="00F551A2">
        <w:rPr>
          <w:rFonts w:ascii="Arial" w:hAnsi="Arial" w:cs="Arial"/>
          <w:sz w:val="24"/>
          <w:szCs w:val="24"/>
        </w:rPr>
        <w:t xml:space="preserve"> Esta Instrução Normativa estabelece o escopo e os conceitos para aplicação na análise das prestações de contas no âmbito da administração municipal, do exercício de 2013, compreendendo os Poderes Executivo e Legislativo, e respectivas entidades da administração indireta. </w:t>
      </w:r>
    </w:p>
    <w:p w14:paraId="5F9F3201" w14:textId="77777777" w:rsidR="002C1F32" w:rsidRPr="00F551A2" w:rsidRDefault="002C1F32" w:rsidP="006D0BF2">
      <w:pPr>
        <w:autoSpaceDE/>
        <w:autoSpaceDN/>
        <w:spacing w:before="120"/>
        <w:ind w:firstLine="1134"/>
        <w:jc w:val="both"/>
        <w:rPr>
          <w:rFonts w:ascii="Arial" w:hAnsi="Arial" w:cs="Arial"/>
          <w:sz w:val="24"/>
          <w:szCs w:val="24"/>
        </w:rPr>
      </w:pPr>
      <w:r w:rsidRPr="00F551A2">
        <w:rPr>
          <w:rFonts w:ascii="Arial" w:hAnsi="Arial" w:cs="Arial"/>
          <w:sz w:val="24"/>
          <w:szCs w:val="24"/>
        </w:rPr>
        <w:t>§ 1º Para efeito das normas desta Instrução e da respectiva prestação de contas de 2013, a Administração Indireta abrange:</w:t>
      </w:r>
    </w:p>
    <w:p w14:paraId="794E3523" w14:textId="77777777" w:rsidR="002C1F32" w:rsidRPr="00F551A2" w:rsidRDefault="002C1F32" w:rsidP="006D0BF2">
      <w:pPr>
        <w:autoSpaceDE/>
        <w:autoSpaceDN/>
        <w:spacing w:before="120"/>
        <w:ind w:left="1134"/>
        <w:jc w:val="both"/>
        <w:rPr>
          <w:rFonts w:ascii="Arial" w:hAnsi="Arial" w:cs="Arial"/>
          <w:sz w:val="24"/>
          <w:szCs w:val="24"/>
        </w:rPr>
      </w:pPr>
      <w:r w:rsidRPr="00F551A2">
        <w:rPr>
          <w:rFonts w:ascii="Arial" w:hAnsi="Arial" w:cs="Arial"/>
          <w:sz w:val="24"/>
          <w:szCs w:val="24"/>
        </w:rPr>
        <w:t>I - fundos com contabilidade descentralizada;</w:t>
      </w:r>
    </w:p>
    <w:p w14:paraId="48598BAE" w14:textId="77777777" w:rsidR="002C1F32" w:rsidRPr="00F551A2" w:rsidRDefault="002C1F32" w:rsidP="006D0BF2">
      <w:pPr>
        <w:autoSpaceDE/>
        <w:autoSpaceDN/>
        <w:spacing w:before="120"/>
        <w:ind w:left="1134"/>
        <w:jc w:val="both"/>
        <w:rPr>
          <w:rFonts w:ascii="Arial" w:hAnsi="Arial" w:cs="Arial"/>
          <w:sz w:val="24"/>
          <w:szCs w:val="24"/>
        </w:rPr>
      </w:pPr>
      <w:r w:rsidRPr="00F551A2">
        <w:rPr>
          <w:rFonts w:ascii="Arial" w:hAnsi="Arial" w:cs="Arial"/>
          <w:sz w:val="24"/>
          <w:szCs w:val="24"/>
        </w:rPr>
        <w:t>II - autarquias;</w:t>
      </w:r>
    </w:p>
    <w:p w14:paraId="2E5077BD" w14:textId="77777777" w:rsidR="002C1F32" w:rsidRPr="00F551A2" w:rsidRDefault="002C1F32" w:rsidP="006D0BF2">
      <w:pPr>
        <w:autoSpaceDE/>
        <w:autoSpaceDN/>
        <w:spacing w:before="120"/>
        <w:ind w:left="1134"/>
        <w:jc w:val="both"/>
        <w:rPr>
          <w:rFonts w:ascii="Arial" w:hAnsi="Arial" w:cs="Arial"/>
          <w:sz w:val="24"/>
          <w:szCs w:val="24"/>
        </w:rPr>
      </w:pPr>
      <w:r w:rsidRPr="00F551A2">
        <w:rPr>
          <w:rFonts w:ascii="Arial" w:hAnsi="Arial" w:cs="Arial"/>
          <w:sz w:val="24"/>
          <w:szCs w:val="24"/>
        </w:rPr>
        <w:t>III - fundações de direito público;</w:t>
      </w:r>
    </w:p>
    <w:p w14:paraId="600E6C38" w14:textId="77777777" w:rsidR="002C1F32" w:rsidRPr="00F551A2" w:rsidRDefault="002C1F32" w:rsidP="006D0BF2">
      <w:pPr>
        <w:autoSpaceDE/>
        <w:autoSpaceDN/>
        <w:spacing w:before="120"/>
        <w:ind w:left="1134"/>
        <w:jc w:val="both"/>
        <w:rPr>
          <w:rFonts w:ascii="Arial" w:hAnsi="Arial" w:cs="Arial"/>
          <w:sz w:val="24"/>
          <w:szCs w:val="24"/>
        </w:rPr>
      </w:pPr>
      <w:r w:rsidRPr="00F551A2">
        <w:rPr>
          <w:rFonts w:ascii="Arial" w:hAnsi="Arial" w:cs="Arial"/>
          <w:sz w:val="24"/>
          <w:szCs w:val="24"/>
        </w:rPr>
        <w:t xml:space="preserve">IV - consórcios intermunicipais e entidades congêneres; </w:t>
      </w:r>
    </w:p>
    <w:p w14:paraId="245A8307" w14:textId="77777777" w:rsidR="002C1F32" w:rsidRPr="00F551A2" w:rsidRDefault="002C1F32" w:rsidP="006D0BF2">
      <w:pPr>
        <w:autoSpaceDE/>
        <w:autoSpaceDN/>
        <w:spacing w:before="120"/>
        <w:ind w:left="1134"/>
        <w:jc w:val="both"/>
        <w:rPr>
          <w:rFonts w:ascii="Arial" w:hAnsi="Arial" w:cs="Arial"/>
          <w:sz w:val="24"/>
          <w:szCs w:val="24"/>
        </w:rPr>
      </w:pPr>
      <w:r w:rsidRPr="00F551A2">
        <w:rPr>
          <w:rFonts w:ascii="Arial" w:hAnsi="Arial" w:cs="Arial"/>
          <w:sz w:val="24"/>
          <w:szCs w:val="24"/>
        </w:rPr>
        <w:t>V - empresas estatais;</w:t>
      </w:r>
    </w:p>
    <w:p w14:paraId="3F615F7C" w14:textId="77777777" w:rsidR="002C1F32" w:rsidRPr="00F551A2" w:rsidRDefault="002C1F32" w:rsidP="006D0BF2">
      <w:pPr>
        <w:autoSpaceDE/>
        <w:autoSpaceDN/>
        <w:spacing w:before="120"/>
        <w:ind w:left="1134"/>
        <w:jc w:val="both"/>
        <w:rPr>
          <w:rFonts w:ascii="Arial" w:hAnsi="Arial" w:cs="Arial"/>
          <w:sz w:val="24"/>
          <w:szCs w:val="24"/>
        </w:rPr>
      </w:pPr>
      <w:r w:rsidRPr="00F551A2">
        <w:rPr>
          <w:rFonts w:ascii="Arial" w:hAnsi="Arial" w:cs="Arial"/>
          <w:sz w:val="24"/>
          <w:szCs w:val="24"/>
        </w:rPr>
        <w:t>VI - fundações públicas de direito privado;</w:t>
      </w:r>
    </w:p>
    <w:p w14:paraId="1598FDE1" w14:textId="77777777" w:rsidR="002C1F32" w:rsidRPr="00F551A2" w:rsidRDefault="002C1F32" w:rsidP="006D0BF2">
      <w:pPr>
        <w:autoSpaceDE/>
        <w:autoSpaceDN/>
        <w:spacing w:before="120"/>
        <w:ind w:firstLine="1134"/>
        <w:jc w:val="both"/>
        <w:rPr>
          <w:rFonts w:ascii="Arial" w:hAnsi="Arial" w:cs="Arial"/>
          <w:sz w:val="24"/>
          <w:szCs w:val="24"/>
        </w:rPr>
      </w:pPr>
      <w:r w:rsidRPr="00F551A2">
        <w:rPr>
          <w:rFonts w:ascii="Arial" w:hAnsi="Arial" w:cs="Arial"/>
          <w:sz w:val="24"/>
          <w:szCs w:val="24"/>
        </w:rPr>
        <w:t>VII - secretarias municipais das áreas da saúde e da educação de municípios com população acima de 100 mil habitantes.</w:t>
      </w:r>
    </w:p>
    <w:p w14:paraId="29504E72" w14:textId="77777777" w:rsidR="002C1F32" w:rsidRPr="00F551A2" w:rsidRDefault="002C1F32" w:rsidP="006D0BF2">
      <w:pPr>
        <w:autoSpaceDE/>
        <w:autoSpaceDN/>
        <w:spacing w:before="120"/>
        <w:ind w:firstLine="1134"/>
        <w:jc w:val="both"/>
        <w:rPr>
          <w:rFonts w:ascii="Arial" w:hAnsi="Arial" w:cs="Arial"/>
          <w:sz w:val="24"/>
          <w:szCs w:val="24"/>
        </w:rPr>
      </w:pPr>
      <w:r w:rsidRPr="00F551A2">
        <w:rPr>
          <w:rFonts w:ascii="Arial" w:hAnsi="Arial" w:cs="Arial"/>
          <w:sz w:val="24"/>
          <w:szCs w:val="24"/>
        </w:rPr>
        <w:t>§ 2º Para a análise da prestação de contas anual, relativa ao exercício financeiro de 2013, pela Diretoria de Contas Municipais, mediante os itens definidos nesta Instrução e seus Anexos I e II, considera-se:</w:t>
      </w:r>
    </w:p>
    <w:p w14:paraId="08DE3D9D" w14:textId="77777777" w:rsidR="002C1F32" w:rsidRPr="00F551A2" w:rsidRDefault="002C1F32" w:rsidP="006D0BF2">
      <w:pPr>
        <w:autoSpaceDE/>
        <w:autoSpaceDN/>
        <w:spacing w:before="120"/>
        <w:ind w:firstLine="1134"/>
        <w:jc w:val="both"/>
        <w:rPr>
          <w:rFonts w:ascii="Arial" w:hAnsi="Arial" w:cs="Arial"/>
          <w:sz w:val="24"/>
          <w:szCs w:val="24"/>
        </w:rPr>
      </w:pPr>
      <w:r w:rsidRPr="00F551A2">
        <w:rPr>
          <w:rFonts w:ascii="Arial" w:hAnsi="Arial" w:cs="Arial"/>
          <w:sz w:val="24"/>
          <w:szCs w:val="24"/>
        </w:rPr>
        <w:t>I – escopo – o conjunto de apontamentos para ordenação da análise preliminar das prestações de contas de 2013;</w:t>
      </w:r>
    </w:p>
    <w:p w14:paraId="50EE6D7A" w14:textId="77777777" w:rsidR="002C1F32" w:rsidRPr="00F551A2" w:rsidRDefault="002C1F32" w:rsidP="006D0BF2">
      <w:pPr>
        <w:autoSpaceDE/>
        <w:autoSpaceDN/>
        <w:spacing w:before="120"/>
        <w:ind w:firstLine="1134"/>
        <w:jc w:val="both"/>
        <w:rPr>
          <w:rFonts w:ascii="Arial" w:hAnsi="Arial" w:cs="Arial"/>
          <w:sz w:val="24"/>
          <w:szCs w:val="24"/>
        </w:rPr>
      </w:pPr>
      <w:r w:rsidRPr="00F551A2">
        <w:rPr>
          <w:rFonts w:ascii="Arial" w:hAnsi="Arial" w:cs="Arial"/>
          <w:sz w:val="24"/>
          <w:szCs w:val="24"/>
        </w:rPr>
        <w:lastRenderedPageBreak/>
        <w:t>II – reflexo – o efeito decorrente de cada apontamento constatado na análise, e que constituirá a causa ensejadora das conclusões propostas pela unidade técnica.</w:t>
      </w:r>
    </w:p>
    <w:p w14:paraId="65EAB90F" w14:textId="77777777" w:rsidR="002C1F32" w:rsidRPr="00F551A2" w:rsidRDefault="002C1F32" w:rsidP="006D0BF2">
      <w:pPr>
        <w:autoSpaceDE/>
        <w:autoSpaceDN/>
        <w:spacing w:before="120"/>
        <w:ind w:firstLine="1134"/>
        <w:jc w:val="both"/>
        <w:rPr>
          <w:rFonts w:ascii="Arial" w:hAnsi="Arial" w:cs="Arial"/>
          <w:sz w:val="24"/>
          <w:szCs w:val="24"/>
        </w:rPr>
      </w:pPr>
      <w:r w:rsidRPr="00F551A2">
        <w:rPr>
          <w:rFonts w:ascii="Arial" w:hAnsi="Arial" w:cs="Arial"/>
          <w:b/>
          <w:sz w:val="24"/>
          <w:szCs w:val="24"/>
        </w:rPr>
        <w:t>Art. 2</w:t>
      </w:r>
      <w:r w:rsidRPr="00F551A2">
        <w:rPr>
          <w:rFonts w:ascii="Arial" w:hAnsi="Arial" w:cs="Arial"/>
          <w:sz w:val="24"/>
          <w:szCs w:val="24"/>
        </w:rPr>
        <w:t>º A análise técnica das contas do Poder Executivo municipal destina-se ao parecer prévio emitido pelo órgão colegiado competente e será configurada com base na apreciação geral dos resultados da gestão orçamentária, patrimonial e financeira do exercício, dos aspectos relacionados à análise de gestão fiscal e a verificação da posição dos balanços gerais do Município e o parecer do Controle Interno.</w:t>
      </w:r>
    </w:p>
    <w:p w14:paraId="78CA692F" w14:textId="77777777" w:rsidR="002C1F32" w:rsidRPr="00F551A2" w:rsidRDefault="002C1F32" w:rsidP="006D0BF2">
      <w:pPr>
        <w:autoSpaceDE/>
        <w:autoSpaceDN/>
        <w:spacing w:before="120"/>
        <w:ind w:firstLine="1134"/>
        <w:jc w:val="both"/>
        <w:rPr>
          <w:rFonts w:ascii="Arial" w:hAnsi="Arial" w:cs="Arial"/>
          <w:sz w:val="24"/>
          <w:szCs w:val="24"/>
        </w:rPr>
      </w:pPr>
      <w:r w:rsidRPr="00F551A2">
        <w:rPr>
          <w:rFonts w:ascii="Arial" w:hAnsi="Arial" w:cs="Arial"/>
          <w:b/>
          <w:sz w:val="24"/>
          <w:szCs w:val="24"/>
        </w:rPr>
        <w:t>Art. 3º</w:t>
      </w:r>
      <w:r w:rsidRPr="00F551A2">
        <w:rPr>
          <w:rFonts w:ascii="Arial" w:hAnsi="Arial" w:cs="Arial"/>
          <w:sz w:val="24"/>
          <w:szCs w:val="24"/>
        </w:rPr>
        <w:t xml:space="preserve"> As prestações de contas dos administradores, sendo assim consideradas também as contas do Poder Legislativo, serão objeto de julgamento pelo Tribunal, com base na análise balizada no escopo e critérios definidos no Anexo I, de que trata o art. 1º.</w:t>
      </w:r>
    </w:p>
    <w:p w14:paraId="08323021" w14:textId="77777777" w:rsidR="002C1F32" w:rsidRPr="00F551A2" w:rsidRDefault="002C1F32" w:rsidP="006D0BF2">
      <w:pPr>
        <w:autoSpaceDE/>
        <w:autoSpaceDN/>
        <w:spacing w:before="120"/>
        <w:ind w:firstLine="1134"/>
        <w:jc w:val="both"/>
        <w:rPr>
          <w:rFonts w:ascii="Arial" w:hAnsi="Arial" w:cs="Arial"/>
          <w:sz w:val="24"/>
          <w:szCs w:val="24"/>
        </w:rPr>
      </w:pPr>
      <w:r w:rsidRPr="00F551A2">
        <w:rPr>
          <w:rFonts w:ascii="Arial" w:hAnsi="Arial" w:cs="Arial"/>
          <w:sz w:val="24"/>
          <w:szCs w:val="24"/>
        </w:rPr>
        <w:t>Parágrafo único. As contas dos administradores de empresas estatais municipais serão analisadas conforme o escopo e condições descritas no anexo II, desta Instrução.</w:t>
      </w:r>
    </w:p>
    <w:p w14:paraId="086D25CD" w14:textId="77777777" w:rsidR="002C1F32" w:rsidRPr="00F551A2" w:rsidRDefault="002C1F32" w:rsidP="006D0BF2">
      <w:pPr>
        <w:tabs>
          <w:tab w:val="left" w:pos="1260"/>
          <w:tab w:val="left" w:pos="1440"/>
          <w:tab w:val="left" w:pos="1620"/>
          <w:tab w:val="left" w:pos="1800"/>
          <w:tab w:val="left" w:pos="1980"/>
        </w:tabs>
        <w:autoSpaceDE/>
        <w:autoSpaceDN/>
        <w:spacing w:before="120"/>
        <w:ind w:firstLine="1134"/>
        <w:jc w:val="both"/>
        <w:rPr>
          <w:rFonts w:ascii="Arial" w:hAnsi="Arial" w:cs="Arial"/>
          <w:color w:val="000000"/>
          <w:sz w:val="24"/>
          <w:szCs w:val="24"/>
        </w:rPr>
      </w:pPr>
      <w:r w:rsidRPr="00F551A2">
        <w:rPr>
          <w:rFonts w:ascii="Arial" w:hAnsi="Arial" w:cs="Arial"/>
          <w:b/>
          <w:color w:val="000000"/>
          <w:sz w:val="24"/>
          <w:szCs w:val="24"/>
        </w:rPr>
        <w:t>Art. 4°</w:t>
      </w:r>
      <w:r w:rsidRPr="00F551A2">
        <w:rPr>
          <w:rFonts w:ascii="Arial" w:hAnsi="Arial" w:cs="Arial"/>
          <w:color w:val="000000"/>
          <w:sz w:val="24"/>
          <w:szCs w:val="24"/>
        </w:rPr>
        <w:t xml:space="preserve"> O julgamento aludido no art. 3º, e o opinativo para fins do parecer prévio sobre as contas do Prefeito, não implicarão na convalidação ou saneamento de apontamentos não abrangidos pelo escopo </w:t>
      </w:r>
      <w:r>
        <w:rPr>
          <w:rFonts w:ascii="Arial" w:hAnsi="Arial" w:cs="Arial"/>
          <w:sz w:val="24"/>
          <w:szCs w:val="24"/>
        </w:rPr>
        <w:t>estabelecido</w:t>
      </w:r>
      <w:r w:rsidRPr="00F551A2">
        <w:rPr>
          <w:rFonts w:ascii="Arial" w:hAnsi="Arial" w:cs="Arial"/>
          <w:sz w:val="24"/>
          <w:szCs w:val="24"/>
        </w:rPr>
        <w:t xml:space="preserve"> no art. 1º</w:t>
      </w:r>
      <w:r w:rsidRPr="00F551A2">
        <w:rPr>
          <w:rFonts w:ascii="Arial" w:hAnsi="Arial" w:cs="Arial"/>
          <w:color w:val="000000"/>
          <w:sz w:val="24"/>
          <w:szCs w:val="24"/>
        </w:rPr>
        <w:t>.</w:t>
      </w:r>
    </w:p>
    <w:p w14:paraId="5E4FEBB5" w14:textId="77777777" w:rsidR="002C1F32" w:rsidRPr="00F551A2" w:rsidRDefault="002C1F32" w:rsidP="006D0BF2">
      <w:pPr>
        <w:tabs>
          <w:tab w:val="left" w:pos="1260"/>
          <w:tab w:val="left" w:pos="1440"/>
          <w:tab w:val="left" w:pos="1620"/>
          <w:tab w:val="left" w:pos="1800"/>
          <w:tab w:val="left" w:pos="1980"/>
        </w:tabs>
        <w:autoSpaceDE/>
        <w:autoSpaceDN/>
        <w:spacing w:before="120"/>
        <w:ind w:firstLine="1134"/>
        <w:jc w:val="both"/>
        <w:rPr>
          <w:rFonts w:ascii="Arial" w:hAnsi="Arial" w:cs="Arial"/>
          <w:color w:val="000000"/>
          <w:sz w:val="24"/>
          <w:szCs w:val="24"/>
        </w:rPr>
      </w:pPr>
      <w:r w:rsidRPr="00F551A2">
        <w:rPr>
          <w:rFonts w:ascii="Arial" w:hAnsi="Arial" w:cs="Arial"/>
          <w:b/>
          <w:color w:val="000000"/>
          <w:sz w:val="24"/>
          <w:szCs w:val="24"/>
        </w:rPr>
        <w:t>Art. 5°</w:t>
      </w:r>
      <w:r w:rsidRPr="00F551A2">
        <w:rPr>
          <w:rFonts w:ascii="Arial" w:hAnsi="Arial" w:cs="Arial"/>
          <w:color w:val="000000"/>
          <w:sz w:val="24"/>
          <w:szCs w:val="24"/>
        </w:rPr>
        <w:t xml:space="preserve"> A definição do escopo de que trata esta instrução normativa possui natureza ordenatória da fiscalização, não obstando a análise de outras irregularidades que venham a ser apontadas no curso da instrução, nos próprios autos de Prestação de Contas, na hipótese de haver indícios de sua ocorrência e verificada sua relevância como elemento que possa interferir na análise da gestão.</w:t>
      </w:r>
    </w:p>
    <w:p w14:paraId="3B126E79" w14:textId="77777777" w:rsidR="002C1F32" w:rsidRPr="00F551A2" w:rsidRDefault="002C1F32" w:rsidP="006D0BF2">
      <w:pPr>
        <w:tabs>
          <w:tab w:val="left" w:pos="1260"/>
          <w:tab w:val="left" w:pos="1440"/>
          <w:tab w:val="left" w:pos="1620"/>
          <w:tab w:val="left" w:pos="1800"/>
          <w:tab w:val="left" w:pos="1980"/>
        </w:tabs>
        <w:autoSpaceDE/>
        <w:autoSpaceDN/>
        <w:spacing w:before="120"/>
        <w:ind w:firstLine="1134"/>
        <w:jc w:val="both"/>
        <w:rPr>
          <w:rFonts w:ascii="Arial" w:hAnsi="Arial" w:cs="Arial"/>
          <w:color w:val="000000"/>
          <w:sz w:val="24"/>
          <w:szCs w:val="24"/>
        </w:rPr>
      </w:pPr>
      <w:r w:rsidRPr="00F551A2">
        <w:rPr>
          <w:rFonts w:ascii="Arial" w:hAnsi="Arial" w:cs="Arial"/>
          <w:color w:val="000000"/>
          <w:sz w:val="24"/>
          <w:szCs w:val="24"/>
        </w:rPr>
        <w:t xml:space="preserve">§ 1° A análise técnica preliminar deverá ser efetuada por sistema analisador </w:t>
      </w:r>
      <w:r>
        <w:rPr>
          <w:rFonts w:ascii="Arial" w:hAnsi="Arial" w:cs="Arial"/>
          <w:color w:val="000000"/>
          <w:sz w:val="24"/>
          <w:szCs w:val="24"/>
        </w:rPr>
        <w:t>eletrônico, cuja parametrização</w:t>
      </w:r>
      <w:r w:rsidRPr="00F551A2">
        <w:rPr>
          <w:rFonts w:ascii="Arial" w:hAnsi="Arial" w:cs="Arial"/>
          <w:color w:val="000000"/>
          <w:sz w:val="24"/>
          <w:szCs w:val="24"/>
        </w:rPr>
        <w:t xml:space="preserve"> será desenvolvida pela Diretoria de Contas Municipais, restrita aos pontos e critérios definidos nesta Instrução.</w:t>
      </w:r>
    </w:p>
    <w:p w14:paraId="4D24EB21" w14:textId="77777777" w:rsidR="002C1F32" w:rsidRPr="00F551A2" w:rsidRDefault="002C1F32" w:rsidP="006D0BF2">
      <w:pPr>
        <w:tabs>
          <w:tab w:val="left" w:pos="1260"/>
          <w:tab w:val="left" w:pos="1440"/>
          <w:tab w:val="left" w:pos="1620"/>
          <w:tab w:val="left" w:pos="1800"/>
          <w:tab w:val="left" w:pos="1980"/>
        </w:tabs>
        <w:autoSpaceDE/>
        <w:autoSpaceDN/>
        <w:spacing w:before="120"/>
        <w:ind w:firstLine="1134"/>
        <w:jc w:val="both"/>
        <w:rPr>
          <w:rFonts w:ascii="Arial" w:hAnsi="Arial" w:cs="Arial"/>
          <w:b/>
          <w:bCs/>
          <w:sz w:val="24"/>
          <w:szCs w:val="24"/>
        </w:rPr>
      </w:pPr>
      <w:r w:rsidRPr="00F551A2">
        <w:rPr>
          <w:rFonts w:ascii="Arial" w:hAnsi="Arial" w:cs="Arial"/>
          <w:color w:val="000000"/>
          <w:sz w:val="24"/>
          <w:szCs w:val="24"/>
        </w:rPr>
        <w:t>§ 2º O escopo e critérios específicos carreados às contas na forma dos anexos I e II</w:t>
      </w:r>
      <w:r>
        <w:rPr>
          <w:rFonts w:ascii="Arial" w:hAnsi="Arial" w:cs="Arial"/>
          <w:color w:val="000000"/>
          <w:sz w:val="24"/>
          <w:szCs w:val="24"/>
        </w:rPr>
        <w:t>,</w:t>
      </w:r>
      <w:r w:rsidRPr="00F551A2">
        <w:rPr>
          <w:rFonts w:ascii="Arial" w:hAnsi="Arial" w:cs="Arial"/>
          <w:color w:val="000000"/>
          <w:sz w:val="24"/>
          <w:szCs w:val="24"/>
        </w:rPr>
        <w:t xml:space="preserve"> desta Instrução</w:t>
      </w:r>
      <w:r>
        <w:rPr>
          <w:rFonts w:ascii="Arial" w:hAnsi="Arial" w:cs="Arial"/>
          <w:color w:val="000000"/>
          <w:sz w:val="24"/>
          <w:szCs w:val="24"/>
        </w:rPr>
        <w:t>,</w:t>
      </w:r>
      <w:r w:rsidRPr="00F551A2">
        <w:rPr>
          <w:rFonts w:ascii="Arial" w:hAnsi="Arial" w:cs="Arial"/>
          <w:color w:val="000000"/>
          <w:sz w:val="24"/>
          <w:szCs w:val="24"/>
        </w:rPr>
        <w:t xml:space="preserve"> não desobrigam do cumprimento da Agenda de Obrigações e de outras obrigações acessórias, tais como a realização de audiências e de publicações, cuja avaliação será efetuada em processos distintos.</w:t>
      </w:r>
    </w:p>
    <w:p w14:paraId="1C5D1C4B" w14:textId="77777777" w:rsidR="002C1F32" w:rsidRPr="00F551A2" w:rsidRDefault="002C1F32" w:rsidP="006D0BF2">
      <w:pPr>
        <w:tabs>
          <w:tab w:val="left" w:pos="1260"/>
          <w:tab w:val="left" w:pos="1440"/>
          <w:tab w:val="left" w:pos="1620"/>
          <w:tab w:val="left" w:pos="1800"/>
          <w:tab w:val="left" w:pos="1980"/>
        </w:tabs>
        <w:autoSpaceDE/>
        <w:autoSpaceDN/>
        <w:spacing w:before="120"/>
        <w:ind w:firstLine="1134"/>
        <w:jc w:val="both"/>
        <w:rPr>
          <w:rFonts w:ascii="Arial" w:hAnsi="Arial" w:cs="Arial"/>
          <w:color w:val="000000"/>
          <w:sz w:val="24"/>
          <w:szCs w:val="24"/>
        </w:rPr>
      </w:pPr>
      <w:r w:rsidRPr="00F551A2">
        <w:rPr>
          <w:rFonts w:ascii="Arial" w:hAnsi="Arial" w:cs="Arial"/>
          <w:b/>
          <w:color w:val="000000"/>
          <w:sz w:val="24"/>
          <w:szCs w:val="24"/>
        </w:rPr>
        <w:t>Art. 6º</w:t>
      </w:r>
      <w:r w:rsidRPr="00F551A2">
        <w:rPr>
          <w:rFonts w:ascii="Arial" w:hAnsi="Arial" w:cs="Arial"/>
          <w:color w:val="000000"/>
          <w:sz w:val="24"/>
          <w:szCs w:val="24"/>
        </w:rPr>
        <w:t xml:space="preserve"> A análise das prestações de contas observará o contido no art. 352 e seus incisos, do Regimento Interno, devendo a instrução conclusiva da Diretoria de Contas Municipais, atendendo ao estabelecido no art. 353 do mesmo regramento, manifestar-se pela regularidade ou pela irregularidade do feito, após o transcurso do prazo regimental para contraditório, apresentada ou não a defesa</w:t>
      </w:r>
      <w:r>
        <w:rPr>
          <w:rFonts w:ascii="Arial" w:hAnsi="Arial" w:cs="Arial"/>
          <w:color w:val="000000"/>
          <w:sz w:val="24"/>
          <w:szCs w:val="24"/>
        </w:rPr>
        <w:t>,</w:t>
      </w:r>
      <w:r w:rsidRPr="00F551A2">
        <w:rPr>
          <w:rFonts w:ascii="Arial" w:hAnsi="Arial" w:cs="Arial"/>
          <w:color w:val="000000"/>
          <w:sz w:val="24"/>
          <w:szCs w:val="24"/>
        </w:rPr>
        <w:t xml:space="preserve"> pelo responsável.</w:t>
      </w:r>
    </w:p>
    <w:p w14:paraId="3B1331C7" w14:textId="77777777" w:rsidR="002C1F32" w:rsidRPr="00F551A2" w:rsidRDefault="002C1F32" w:rsidP="006D0BF2">
      <w:pPr>
        <w:tabs>
          <w:tab w:val="left" w:pos="1260"/>
          <w:tab w:val="left" w:pos="1440"/>
          <w:tab w:val="left" w:pos="1620"/>
          <w:tab w:val="left" w:pos="1800"/>
          <w:tab w:val="left" w:pos="1980"/>
        </w:tabs>
        <w:autoSpaceDE/>
        <w:autoSpaceDN/>
        <w:spacing w:before="120"/>
        <w:ind w:firstLine="1134"/>
        <w:jc w:val="both"/>
        <w:rPr>
          <w:rFonts w:ascii="Arial" w:hAnsi="Arial" w:cs="Arial"/>
          <w:color w:val="000000"/>
          <w:sz w:val="24"/>
          <w:szCs w:val="24"/>
        </w:rPr>
      </w:pPr>
      <w:r w:rsidRPr="00F551A2">
        <w:rPr>
          <w:rFonts w:ascii="Arial" w:hAnsi="Arial" w:cs="Arial"/>
          <w:color w:val="000000"/>
          <w:sz w:val="24"/>
          <w:szCs w:val="24"/>
        </w:rPr>
        <w:t>Parágrafo único. Na hipótese de indicação de conclusão pela irregularidade das contas</w:t>
      </w:r>
      <w:r>
        <w:rPr>
          <w:rFonts w:ascii="Arial" w:hAnsi="Arial" w:cs="Arial"/>
          <w:color w:val="000000"/>
          <w:sz w:val="24"/>
          <w:szCs w:val="24"/>
        </w:rPr>
        <w:t>,</w:t>
      </w:r>
      <w:r w:rsidRPr="00F551A2">
        <w:rPr>
          <w:rFonts w:ascii="Arial" w:hAnsi="Arial" w:cs="Arial"/>
          <w:color w:val="000000"/>
          <w:sz w:val="24"/>
          <w:szCs w:val="24"/>
        </w:rPr>
        <w:t xml:space="preserve"> a instrução conclusiva evidenciará e delimitará precisamente as responsabilidades e os respectivos responsáveis pelos fatos enfocados nos pontos de análise definidos nesta Instrução, consoante os </w:t>
      </w:r>
      <w:r w:rsidRPr="00F551A2">
        <w:rPr>
          <w:rFonts w:ascii="Arial" w:hAnsi="Arial" w:cs="Arial"/>
          <w:color w:val="000000"/>
          <w:sz w:val="24"/>
          <w:szCs w:val="24"/>
        </w:rPr>
        <w:lastRenderedPageBreak/>
        <w:t xml:space="preserve">incisos II a V do art. 352, do Regimento Interno, devendo-se apontar, ainda, o valor do dano ao erário, quando houver, e as multas imputáveis consequentes. </w:t>
      </w:r>
    </w:p>
    <w:p w14:paraId="6A697289" w14:textId="77777777" w:rsidR="002C1F32" w:rsidRPr="00F551A2" w:rsidRDefault="002C1F32" w:rsidP="006D0BF2">
      <w:pPr>
        <w:tabs>
          <w:tab w:val="left" w:pos="1260"/>
          <w:tab w:val="left" w:pos="1440"/>
          <w:tab w:val="left" w:pos="1620"/>
          <w:tab w:val="left" w:pos="1800"/>
          <w:tab w:val="left" w:pos="1980"/>
        </w:tabs>
        <w:autoSpaceDE/>
        <w:autoSpaceDN/>
        <w:spacing w:before="120"/>
        <w:ind w:firstLine="1134"/>
        <w:jc w:val="both"/>
        <w:rPr>
          <w:rFonts w:ascii="Arial" w:hAnsi="Arial" w:cs="Arial"/>
          <w:bCs/>
          <w:color w:val="000000"/>
          <w:sz w:val="24"/>
          <w:szCs w:val="24"/>
        </w:rPr>
      </w:pPr>
      <w:r w:rsidRPr="00F551A2">
        <w:rPr>
          <w:rFonts w:ascii="Arial" w:hAnsi="Arial" w:cs="Arial"/>
          <w:b/>
          <w:sz w:val="24"/>
          <w:szCs w:val="24"/>
        </w:rPr>
        <w:t>Art. 7º</w:t>
      </w:r>
      <w:r w:rsidRPr="00F551A2">
        <w:rPr>
          <w:rFonts w:ascii="Arial" w:hAnsi="Arial" w:cs="Arial"/>
          <w:bCs/>
          <w:color w:val="000000"/>
          <w:sz w:val="24"/>
          <w:szCs w:val="24"/>
        </w:rPr>
        <w:t xml:space="preserve"> A forma de estruturação das peças de composição do processo de prestações de contas anuais do exercício de 2013 será determinada em normativos próprios</w:t>
      </w:r>
      <w:r w:rsidRPr="00F551A2">
        <w:rPr>
          <w:rFonts w:ascii="Arial" w:hAnsi="Arial" w:cs="Arial"/>
          <w:color w:val="000000"/>
          <w:sz w:val="24"/>
          <w:szCs w:val="24"/>
        </w:rPr>
        <w:t xml:space="preserve"> </w:t>
      </w:r>
      <w:r w:rsidRPr="00F551A2">
        <w:rPr>
          <w:rFonts w:ascii="Arial" w:hAnsi="Arial" w:cs="Arial"/>
          <w:bCs/>
          <w:color w:val="000000"/>
          <w:sz w:val="24"/>
          <w:szCs w:val="24"/>
        </w:rPr>
        <w:t xml:space="preserve">e o encaminhamento ao tribunal obedecerá aos prazos legalmente estabelecidos. </w:t>
      </w:r>
    </w:p>
    <w:p w14:paraId="6A5BEA67" w14:textId="77777777" w:rsidR="002C1F32" w:rsidRPr="00F551A2" w:rsidRDefault="002C1F32" w:rsidP="006D0BF2">
      <w:pPr>
        <w:tabs>
          <w:tab w:val="left" w:pos="1260"/>
          <w:tab w:val="left" w:pos="1440"/>
          <w:tab w:val="left" w:pos="1620"/>
          <w:tab w:val="left" w:pos="1800"/>
          <w:tab w:val="left" w:pos="1980"/>
        </w:tabs>
        <w:autoSpaceDE/>
        <w:autoSpaceDN/>
        <w:spacing w:before="120"/>
        <w:ind w:firstLine="1134"/>
        <w:jc w:val="both"/>
        <w:rPr>
          <w:rFonts w:ascii="Arial" w:hAnsi="Arial" w:cs="Arial"/>
          <w:bCs/>
          <w:color w:val="000000"/>
          <w:sz w:val="24"/>
          <w:szCs w:val="24"/>
        </w:rPr>
      </w:pPr>
      <w:r w:rsidRPr="00F551A2">
        <w:rPr>
          <w:rFonts w:ascii="Arial" w:hAnsi="Arial" w:cs="Arial"/>
          <w:b/>
          <w:color w:val="000000"/>
          <w:sz w:val="24"/>
          <w:szCs w:val="24"/>
        </w:rPr>
        <w:t>Art. 8º</w:t>
      </w:r>
      <w:r w:rsidRPr="00F551A2">
        <w:rPr>
          <w:rFonts w:ascii="Arial" w:hAnsi="Arial" w:cs="Arial"/>
          <w:color w:val="000000"/>
          <w:sz w:val="24"/>
          <w:szCs w:val="24"/>
        </w:rPr>
        <w:t xml:space="preserve"> As decisões proferidas nas prestações de contas anuais constituídas na forma desta Instrução não extinguem a hipótese de instauração de outros procedimentos de fiscalização sobre atos específicos do mesmo período</w:t>
      </w:r>
      <w:r w:rsidRPr="00F551A2">
        <w:rPr>
          <w:rFonts w:ascii="Arial" w:hAnsi="Arial" w:cs="Arial"/>
          <w:bCs/>
          <w:color w:val="000000"/>
          <w:sz w:val="24"/>
          <w:szCs w:val="24"/>
        </w:rPr>
        <w:t>.</w:t>
      </w:r>
    </w:p>
    <w:p w14:paraId="633C5C30" w14:textId="77777777" w:rsidR="002C1F32" w:rsidRPr="00F551A2" w:rsidRDefault="002C1F32" w:rsidP="006D0BF2">
      <w:pPr>
        <w:adjustRightInd w:val="0"/>
        <w:spacing w:before="120"/>
        <w:ind w:firstLine="1134"/>
        <w:jc w:val="both"/>
        <w:rPr>
          <w:rFonts w:ascii="Arial" w:eastAsia="Calibri" w:hAnsi="Arial" w:cs="Arial"/>
          <w:iCs/>
          <w:sz w:val="24"/>
          <w:szCs w:val="24"/>
        </w:rPr>
      </w:pPr>
      <w:r w:rsidRPr="00F551A2">
        <w:rPr>
          <w:rFonts w:ascii="Arial" w:eastAsia="Calibri" w:hAnsi="Arial" w:cs="Arial"/>
          <w:b/>
          <w:bCs/>
          <w:iCs/>
          <w:sz w:val="24"/>
          <w:szCs w:val="24"/>
        </w:rPr>
        <w:t xml:space="preserve">Art. 9º </w:t>
      </w:r>
      <w:r w:rsidRPr="00F551A2">
        <w:rPr>
          <w:rFonts w:ascii="Arial" w:eastAsia="Calibri" w:hAnsi="Arial" w:cs="Arial"/>
          <w:iCs/>
          <w:sz w:val="24"/>
          <w:szCs w:val="24"/>
        </w:rPr>
        <w:t>O exame da revisão de cálculo de índices, para viabilização da certidão liberatória na forma do art. 297, do Regimento Interno, quando requerido pela entidade, será apartado e terá precedência sobre a análise da prestação de contas, devendo, após apreciação pelo órgão colegiado competente a que integrar o Relator do feito, ficar vinculado às contas respectivas.</w:t>
      </w:r>
    </w:p>
    <w:p w14:paraId="1DA9976C" w14:textId="77777777" w:rsidR="002C1F32" w:rsidRPr="00F551A2" w:rsidRDefault="002C1F32" w:rsidP="006D0BF2">
      <w:pPr>
        <w:adjustRightInd w:val="0"/>
        <w:spacing w:before="120"/>
        <w:ind w:firstLine="1134"/>
        <w:jc w:val="both"/>
        <w:rPr>
          <w:rFonts w:ascii="Arial" w:hAnsi="Arial" w:cs="Arial"/>
          <w:bCs/>
          <w:sz w:val="24"/>
        </w:rPr>
      </w:pPr>
      <w:r w:rsidRPr="00F551A2">
        <w:rPr>
          <w:rFonts w:ascii="Arial" w:hAnsi="Arial" w:cs="Arial"/>
          <w:b/>
          <w:bCs/>
          <w:sz w:val="24"/>
        </w:rPr>
        <w:t>Art. 10.</w:t>
      </w:r>
      <w:r w:rsidRPr="00F551A2">
        <w:rPr>
          <w:rFonts w:ascii="Arial" w:hAnsi="Arial" w:cs="Arial"/>
          <w:bCs/>
          <w:sz w:val="24"/>
        </w:rPr>
        <w:t xml:space="preserve"> Os reflexos atribuídos aos apontamentos nos termos definidos no art. 1º, e indicados nos Anexos I e II, encerram orientação para a análise a cargo da unidade técnica, os quais serão manifestados nas peças instrutivas a serem submetidas ao Relator, para o exercício das competências deste.</w:t>
      </w:r>
    </w:p>
    <w:p w14:paraId="0E22D8FD" w14:textId="77777777" w:rsidR="002C1F32" w:rsidRPr="00F551A2" w:rsidRDefault="002C1F32" w:rsidP="006D0BF2">
      <w:pPr>
        <w:tabs>
          <w:tab w:val="left" w:pos="1260"/>
          <w:tab w:val="left" w:pos="1440"/>
          <w:tab w:val="left" w:pos="1620"/>
          <w:tab w:val="left" w:pos="1800"/>
          <w:tab w:val="left" w:pos="1980"/>
        </w:tabs>
        <w:autoSpaceDE/>
        <w:autoSpaceDN/>
        <w:spacing w:before="120"/>
        <w:ind w:firstLine="1134"/>
        <w:jc w:val="both"/>
        <w:rPr>
          <w:rFonts w:ascii="Arial" w:hAnsi="Arial" w:cs="Arial"/>
          <w:sz w:val="24"/>
          <w:szCs w:val="24"/>
        </w:rPr>
      </w:pPr>
      <w:r w:rsidRPr="00F551A2">
        <w:rPr>
          <w:rFonts w:ascii="Arial" w:hAnsi="Arial" w:cs="Arial"/>
          <w:b/>
          <w:sz w:val="24"/>
          <w:szCs w:val="24"/>
        </w:rPr>
        <w:t>Art. 11.</w:t>
      </w:r>
      <w:r w:rsidRPr="00F551A2">
        <w:rPr>
          <w:rFonts w:ascii="Arial" w:hAnsi="Arial" w:cs="Arial"/>
          <w:sz w:val="24"/>
          <w:szCs w:val="24"/>
        </w:rPr>
        <w:t xml:space="preserve"> As contas anuais das Organizações Sociais responsáveis por contratos de gestão pactuados n</w:t>
      </w:r>
      <w:r w:rsidRPr="00F551A2">
        <w:rPr>
          <w:rFonts w:ascii="Arial" w:hAnsi="Arial" w:cs="Arial"/>
          <w:bCs/>
          <w:sz w:val="24"/>
          <w:szCs w:val="24"/>
        </w:rPr>
        <w:t>a esfera pública municipal</w:t>
      </w:r>
      <w:r w:rsidRPr="00F551A2">
        <w:rPr>
          <w:rFonts w:ascii="Arial" w:hAnsi="Arial" w:cs="Arial"/>
          <w:sz w:val="24"/>
          <w:szCs w:val="24"/>
        </w:rPr>
        <w:t xml:space="preserve"> serão fiscalizadas mediante auditoria, cujo programa de trabalho terá</w:t>
      </w:r>
      <w:r w:rsidRPr="00F551A2">
        <w:rPr>
          <w:rFonts w:ascii="Arial" w:hAnsi="Arial" w:cs="Arial"/>
          <w:bCs/>
          <w:sz w:val="24"/>
          <w:szCs w:val="24"/>
        </w:rPr>
        <w:t xml:space="preserve"> base ordenatória nos pontos relacionados no anexo III, </w:t>
      </w:r>
      <w:r w:rsidRPr="00F551A2">
        <w:rPr>
          <w:rFonts w:ascii="Arial" w:hAnsi="Arial" w:cs="Arial"/>
          <w:sz w:val="24"/>
          <w:szCs w:val="24"/>
        </w:rPr>
        <w:t xml:space="preserve">sem prejuízo de outras perspectivas julgadas circunstanciais, </w:t>
      </w:r>
      <w:r w:rsidRPr="00F551A2">
        <w:rPr>
          <w:rFonts w:ascii="Arial" w:hAnsi="Arial" w:cs="Arial"/>
          <w:bCs/>
          <w:sz w:val="24"/>
          <w:szCs w:val="24"/>
        </w:rPr>
        <w:t>consideradas as especificidades de cada ajuste e a legislação aplicável.</w:t>
      </w:r>
    </w:p>
    <w:p w14:paraId="69EB11B6" w14:textId="77777777" w:rsidR="002C1F32" w:rsidRPr="00F551A2" w:rsidRDefault="002C1F32" w:rsidP="006D0BF2">
      <w:pPr>
        <w:autoSpaceDE/>
        <w:autoSpaceDN/>
        <w:spacing w:before="120"/>
        <w:ind w:firstLine="1134"/>
        <w:jc w:val="both"/>
        <w:rPr>
          <w:rFonts w:ascii="Arial" w:hAnsi="Arial" w:cs="Arial"/>
          <w:sz w:val="24"/>
          <w:szCs w:val="24"/>
        </w:rPr>
      </w:pPr>
      <w:r w:rsidRPr="00F551A2">
        <w:rPr>
          <w:rFonts w:ascii="Arial" w:hAnsi="Arial" w:cs="Arial"/>
          <w:b/>
          <w:color w:val="000000"/>
          <w:sz w:val="24"/>
          <w:szCs w:val="24"/>
        </w:rPr>
        <w:t>Art. 12.</w:t>
      </w:r>
      <w:r w:rsidRPr="00F551A2">
        <w:rPr>
          <w:rFonts w:ascii="Arial" w:hAnsi="Arial" w:cs="Arial"/>
          <w:color w:val="000000"/>
          <w:sz w:val="24"/>
          <w:szCs w:val="24"/>
        </w:rPr>
        <w:t xml:space="preserve"> </w:t>
      </w:r>
      <w:r w:rsidRPr="00F551A2">
        <w:rPr>
          <w:rFonts w:ascii="Arial" w:hAnsi="Arial" w:cs="Arial"/>
          <w:sz w:val="24"/>
          <w:szCs w:val="24"/>
        </w:rPr>
        <w:t>Esta Instrução Normativa entra em vigor na data de sua publicação.</w:t>
      </w:r>
    </w:p>
    <w:p w14:paraId="6FD240F7" w14:textId="77777777" w:rsidR="006D0BF2" w:rsidRDefault="006D0BF2" w:rsidP="002C1F32">
      <w:pPr>
        <w:autoSpaceDE/>
        <w:autoSpaceDN/>
        <w:spacing w:before="120" w:after="120"/>
        <w:jc w:val="center"/>
        <w:rPr>
          <w:rFonts w:ascii="Arial" w:eastAsia="Calibri" w:hAnsi="Arial" w:cs="Arial"/>
          <w:sz w:val="24"/>
          <w:szCs w:val="24"/>
          <w:lang w:eastAsia="en-US"/>
        </w:rPr>
      </w:pPr>
    </w:p>
    <w:p w14:paraId="569529F6" w14:textId="5DCBD5B4" w:rsidR="002C1F32" w:rsidRPr="00DC33C6" w:rsidRDefault="002C1F32" w:rsidP="002C1F32">
      <w:pPr>
        <w:autoSpaceDE/>
        <w:autoSpaceDN/>
        <w:spacing w:before="120" w:after="120"/>
        <w:jc w:val="center"/>
        <w:rPr>
          <w:rFonts w:ascii="Arial" w:eastAsia="Calibri" w:hAnsi="Arial" w:cs="Arial"/>
          <w:sz w:val="24"/>
          <w:szCs w:val="24"/>
          <w:lang w:eastAsia="en-US"/>
        </w:rPr>
      </w:pPr>
      <w:r w:rsidRPr="00DC33C6">
        <w:rPr>
          <w:rFonts w:ascii="Arial" w:eastAsia="Calibri" w:hAnsi="Arial" w:cs="Arial"/>
          <w:sz w:val="24"/>
          <w:szCs w:val="24"/>
          <w:lang w:eastAsia="en-US"/>
        </w:rPr>
        <w:t xml:space="preserve">Curitiba, </w:t>
      </w:r>
      <w:r>
        <w:rPr>
          <w:rFonts w:ascii="Arial" w:eastAsia="Calibri" w:hAnsi="Arial" w:cs="Arial"/>
          <w:sz w:val="24"/>
          <w:szCs w:val="24"/>
          <w:lang w:eastAsia="en-US"/>
        </w:rPr>
        <w:t>6</w:t>
      </w:r>
      <w:r w:rsidRPr="00DC33C6">
        <w:rPr>
          <w:rFonts w:ascii="Arial" w:eastAsia="Calibri" w:hAnsi="Arial" w:cs="Arial"/>
          <w:sz w:val="24"/>
          <w:szCs w:val="24"/>
          <w:lang w:eastAsia="en-US"/>
        </w:rPr>
        <w:t xml:space="preserve"> de </w:t>
      </w:r>
      <w:r>
        <w:rPr>
          <w:rFonts w:ascii="Arial" w:eastAsia="Calibri" w:hAnsi="Arial" w:cs="Arial"/>
          <w:sz w:val="24"/>
          <w:szCs w:val="24"/>
          <w:lang w:eastAsia="en-US"/>
        </w:rPr>
        <w:t>fevereiro de 2014</w:t>
      </w:r>
      <w:r w:rsidRPr="00DC33C6">
        <w:rPr>
          <w:rFonts w:ascii="Arial" w:eastAsia="Calibri" w:hAnsi="Arial" w:cs="Arial"/>
          <w:sz w:val="24"/>
          <w:szCs w:val="24"/>
          <w:lang w:eastAsia="en-US"/>
        </w:rPr>
        <w:t>.</w:t>
      </w:r>
    </w:p>
    <w:p w14:paraId="3377A499" w14:textId="77777777" w:rsidR="002C1F32" w:rsidRPr="00DC33C6" w:rsidRDefault="002C1F32" w:rsidP="002C1F32">
      <w:pPr>
        <w:autoSpaceDE/>
        <w:autoSpaceDN/>
        <w:spacing w:before="120" w:after="120"/>
        <w:rPr>
          <w:rFonts w:ascii="Arial" w:eastAsia="Calibri" w:hAnsi="Arial" w:cs="Arial"/>
          <w:sz w:val="24"/>
          <w:szCs w:val="24"/>
          <w:lang w:eastAsia="en-US"/>
        </w:rPr>
      </w:pPr>
    </w:p>
    <w:p w14:paraId="0FF26072" w14:textId="77777777" w:rsidR="002C1F32" w:rsidRPr="00DC33C6" w:rsidRDefault="002C1F32" w:rsidP="002C1F32">
      <w:pPr>
        <w:autoSpaceDE/>
        <w:autoSpaceDN/>
        <w:spacing w:before="120" w:after="120"/>
        <w:jc w:val="center"/>
        <w:rPr>
          <w:rFonts w:ascii="Arial" w:eastAsia="Calibri" w:hAnsi="Arial" w:cs="Arial"/>
          <w:b/>
          <w:sz w:val="24"/>
          <w:szCs w:val="24"/>
          <w:lang w:eastAsia="en-US"/>
        </w:rPr>
      </w:pPr>
    </w:p>
    <w:p w14:paraId="606AA73D" w14:textId="77777777" w:rsidR="002C1F32" w:rsidRPr="00DC33C6" w:rsidRDefault="002C1F32" w:rsidP="002C1F32">
      <w:pPr>
        <w:autoSpaceDE/>
        <w:autoSpaceDN/>
        <w:jc w:val="center"/>
        <w:rPr>
          <w:rFonts w:ascii="Arial" w:eastAsia="Calibri" w:hAnsi="Arial" w:cs="Arial"/>
          <w:b/>
          <w:sz w:val="24"/>
          <w:szCs w:val="24"/>
          <w:lang w:eastAsia="en-US"/>
        </w:rPr>
      </w:pPr>
      <w:r w:rsidRPr="00DC33C6">
        <w:rPr>
          <w:rFonts w:ascii="Arial" w:eastAsia="Calibri" w:hAnsi="Arial" w:cs="Arial"/>
          <w:b/>
          <w:sz w:val="24"/>
          <w:szCs w:val="24"/>
          <w:lang w:eastAsia="en-US"/>
        </w:rPr>
        <w:t>ARTAGÃO DE MATTOS LEÃO</w:t>
      </w:r>
    </w:p>
    <w:p w14:paraId="4452624C" w14:textId="188E6FE9" w:rsidR="002C1F32" w:rsidRPr="00F551A2" w:rsidRDefault="002C1F32" w:rsidP="002A740A">
      <w:pPr>
        <w:autoSpaceDE/>
        <w:autoSpaceDN/>
        <w:jc w:val="center"/>
        <w:rPr>
          <w:rFonts w:ascii="Arial" w:hAnsi="Arial" w:cs="Arial"/>
          <w:color w:val="000000"/>
          <w:sz w:val="24"/>
          <w:szCs w:val="24"/>
        </w:rPr>
      </w:pPr>
      <w:r w:rsidRPr="00DC33C6">
        <w:rPr>
          <w:rFonts w:ascii="Arial" w:eastAsia="Calibri" w:hAnsi="Arial" w:cs="Arial"/>
          <w:sz w:val="24"/>
          <w:szCs w:val="24"/>
          <w:lang w:eastAsia="en-US"/>
        </w:rPr>
        <w:t>Presidente</w:t>
      </w:r>
      <w:r w:rsidRPr="00DC33C6">
        <w:rPr>
          <w:rFonts w:ascii="Arial" w:eastAsia="Calibri" w:hAnsi="Arial" w:cs="Arial"/>
          <w:b/>
          <w:sz w:val="24"/>
          <w:szCs w:val="24"/>
          <w:lang w:eastAsia="en-US"/>
        </w:rPr>
        <w:t xml:space="preserve"> </w:t>
      </w:r>
    </w:p>
    <w:p w14:paraId="2791C3AB" w14:textId="77777777" w:rsidR="002C1F32" w:rsidRPr="00F551A2" w:rsidRDefault="002C1F32" w:rsidP="002C1F32">
      <w:pPr>
        <w:jc w:val="center"/>
        <w:rPr>
          <w:rFonts w:ascii="Arial" w:hAnsi="Arial" w:cs="Arial"/>
          <w:sz w:val="24"/>
          <w:szCs w:val="24"/>
        </w:rPr>
        <w:sectPr w:rsidR="002C1F32" w:rsidRPr="00F551A2" w:rsidSect="000F1DD8">
          <w:headerReference w:type="default" r:id="rId7"/>
          <w:footerReference w:type="default" r:id="rId8"/>
          <w:footnotePr>
            <w:numFmt w:val="chicago"/>
          </w:footnotePr>
          <w:pgSz w:w="11907" w:h="16840" w:code="9"/>
          <w:pgMar w:top="1418" w:right="1701" w:bottom="1418" w:left="1701" w:header="709" w:footer="709" w:gutter="0"/>
          <w:cols w:space="708"/>
          <w:docGrid w:linePitch="360"/>
        </w:sectPr>
      </w:pPr>
    </w:p>
    <w:p w14:paraId="1E0C4A98" w14:textId="77777777" w:rsidR="002C1F32" w:rsidRPr="00F551A2" w:rsidRDefault="002C1F32" w:rsidP="002C1F32">
      <w:pPr>
        <w:rPr>
          <w:rFonts w:ascii="Arial" w:hAnsi="Arial" w:cs="Arial"/>
        </w:rPr>
      </w:pPr>
    </w:p>
    <w:p w14:paraId="58966A08" w14:textId="77777777" w:rsidR="002C1F32" w:rsidRPr="006A5FD2" w:rsidRDefault="002C1F32" w:rsidP="002C1F32">
      <w:pPr>
        <w:jc w:val="center"/>
        <w:rPr>
          <w:rFonts w:ascii="Arial" w:hAnsi="Arial" w:cs="Arial"/>
          <w:b/>
          <w:noProof/>
          <w:sz w:val="28"/>
          <w:szCs w:val="28"/>
        </w:rPr>
      </w:pPr>
      <w:r w:rsidRPr="006A5FD2">
        <w:rPr>
          <w:rFonts w:ascii="Arial" w:hAnsi="Arial" w:cs="Arial"/>
          <w:b/>
          <w:sz w:val="28"/>
          <w:szCs w:val="28"/>
        </w:rPr>
        <w:t xml:space="preserve">INSTRUÇÃO NORMATIVA Nº </w:t>
      </w:r>
      <w:r>
        <w:rPr>
          <w:rFonts w:ascii="Arial" w:hAnsi="Arial" w:cs="Arial"/>
          <w:b/>
          <w:sz w:val="28"/>
          <w:szCs w:val="28"/>
        </w:rPr>
        <w:t>94/2014</w:t>
      </w:r>
    </w:p>
    <w:p w14:paraId="1D6E9351" w14:textId="77777777" w:rsidR="002C1F32" w:rsidRPr="006A5FD2" w:rsidRDefault="002C1F32" w:rsidP="002C1F32">
      <w:pPr>
        <w:jc w:val="center"/>
        <w:rPr>
          <w:rFonts w:ascii="Arial" w:hAnsi="Arial" w:cs="Arial"/>
          <w:b/>
          <w:noProof/>
          <w:sz w:val="28"/>
          <w:szCs w:val="28"/>
        </w:rPr>
      </w:pPr>
    </w:p>
    <w:p w14:paraId="36165F2C" w14:textId="77777777" w:rsidR="002C1F32" w:rsidRPr="006A5FD2" w:rsidRDefault="002C1F32" w:rsidP="002C1F32">
      <w:pPr>
        <w:jc w:val="center"/>
        <w:rPr>
          <w:rFonts w:ascii="Arial" w:hAnsi="Arial" w:cs="Arial"/>
          <w:b/>
          <w:noProof/>
          <w:sz w:val="28"/>
          <w:szCs w:val="28"/>
        </w:rPr>
      </w:pPr>
      <w:r w:rsidRPr="006A5FD2">
        <w:rPr>
          <w:rFonts w:ascii="Arial" w:hAnsi="Arial" w:cs="Arial"/>
          <w:b/>
          <w:noProof/>
          <w:sz w:val="28"/>
          <w:szCs w:val="28"/>
        </w:rPr>
        <w:t>ANEXO I</w:t>
      </w:r>
    </w:p>
    <w:p w14:paraId="134DDF2C" w14:textId="77777777" w:rsidR="002C1F32" w:rsidRPr="00F551A2" w:rsidRDefault="002C1F32" w:rsidP="002C1F32">
      <w:pPr>
        <w:jc w:val="center"/>
        <w:rPr>
          <w:rFonts w:ascii="Arial" w:hAnsi="Arial" w:cs="Arial"/>
          <w:b/>
          <w:noProof/>
        </w:rPr>
      </w:pPr>
    </w:p>
    <w:p w14:paraId="2D7759B3" w14:textId="77777777" w:rsidR="002C1F32" w:rsidRPr="00F551A2" w:rsidRDefault="002C1F32" w:rsidP="004A66EC">
      <w:pPr>
        <w:tabs>
          <w:tab w:val="left" w:pos="1260"/>
          <w:tab w:val="left" w:pos="1440"/>
          <w:tab w:val="left" w:pos="1620"/>
          <w:tab w:val="left" w:pos="1800"/>
          <w:tab w:val="left" w:pos="1980"/>
        </w:tabs>
        <w:autoSpaceDE/>
        <w:autoSpaceDN/>
        <w:spacing w:before="120"/>
        <w:ind w:left="142" w:right="113"/>
        <w:jc w:val="both"/>
        <w:rPr>
          <w:rFonts w:ascii="Arial" w:hAnsi="Arial" w:cs="Arial"/>
          <w:color w:val="000000"/>
        </w:rPr>
      </w:pPr>
      <w:r w:rsidRPr="00F551A2">
        <w:rPr>
          <w:rFonts w:ascii="Arial" w:hAnsi="Arial" w:cs="Arial"/>
          <w:b/>
          <w:bCs/>
          <w:sz w:val="22"/>
          <w:szCs w:val="18"/>
        </w:rPr>
        <w:t xml:space="preserve">Aplicabilidade: </w:t>
      </w:r>
      <w:r w:rsidRPr="00F551A2">
        <w:rPr>
          <w:rFonts w:ascii="Arial" w:hAnsi="Arial" w:cs="Arial"/>
          <w:color w:val="000000"/>
        </w:rPr>
        <w:t>Poderes Executivo e Legislativo, e respectivas entidades da administração indireta, compreendendo: fundos com contabilidade descentralizada; autarquias; fundações de direito público; consórcios intermunicipais e entidades congêneres; secretarias municipais das áreas da saúde e da educação de municípios com população acima de 100 mil habitantes.</w:t>
      </w:r>
    </w:p>
    <w:p w14:paraId="56B90324" w14:textId="77777777" w:rsidR="002C1F32" w:rsidRPr="00F551A2" w:rsidRDefault="002C1F32" w:rsidP="002C1F32">
      <w:pPr>
        <w:jc w:val="center"/>
        <w:rPr>
          <w:rFonts w:ascii="Arial" w:hAnsi="Arial" w:cs="Arial"/>
          <w:b/>
          <w:szCs w:val="18"/>
        </w:rPr>
      </w:pPr>
    </w:p>
    <w:p w14:paraId="12BA5120" w14:textId="77777777" w:rsidR="002C1F32" w:rsidRPr="00F551A2" w:rsidRDefault="002C1F32" w:rsidP="002C1F32">
      <w:pPr>
        <w:jc w:val="center"/>
        <w:rPr>
          <w:rFonts w:ascii="Arial" w:hAnsi="Arial" w:cs="Arial"/>
          <w:b/>
        </w:rPr>
      </w:pPr>
    </w:p>
    <w:tbl>
      <w:tblPr>
        <w:tblW w:w="0" w:type="auto"/>
        <w:jc w:val="center"/>
        <w:tblLayout w:type="fixed"/>
        <w:tblCellMar>
          <w:left w:w="70" w:type="dxa"/>
          <w:right w:w="70" w:type="dxa"/>
        </w:tblCellMar>
        <w:tblLook w:val="04A0" w:firstRow="1" w:lastRow="0" w:firstColumn="1" w:lastColumn="0" w:noHBand="0" w:noVBand="1"/>
      </w:tblPr>
      <w:tblGrid>
        <w:gridCol w:w="659"/>
        <w:gridCol w:w="4743"/>
        <w:gridCol w:w="1559"/>
        <w:gridCol w:w="1276"/>
        <w:gridCol w:w="1134"/>
        <w:gridCol w:w="1134"/>
        <w:gridCol w:w="1134"/>
        <w:gridCol w:w="1134"/>
        <w:gridCol w:w="1276"/>
      </w:tblGrid>
      <w:tr w:rsidR="002C1F32" w:rsidRPr="00F551A2" w14:paraId="5C3922D0" w14:textId="77777777" w:rsidTr="002D7202">
        <w:trPr>
          <w:cantSplit/>
          <w:trHeight w:val="588"/>
          <w:tblHeader/>
          <w:jc w:val="center"/>
        </w:trPr>
        <w:tc>
          <w:tcPr>
            <w:tcW w:w="65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0C6F253" w14:textId="77777777" w:rsidR="002C1F32" w:rsidRPr="00F551A2" w:rsidRDefault="002C1F32" w:rsidP="002D7202">
            <w:pPr>
              <w:jc w:val="center"/>
              <w:rPr>
                <w:rFonts w:ascii="Arial" w:hAnsi="Arial" w:cs="Arial"/>
                <w:b/>
                <w:color w:val="000000"/>
              </w:rPr>
            </w:pPr>
            <w:r w:rsidRPr="00F551A2">
              <w:rPr>
                <w:rFonts w:ascii="Arial" w:hAnsi="Arial" w:cs="Arial"/>
                <w:b/>
                <w:color w:val="000000"/>
              </w:rPr>
              <w:t>Item</w:t>
            </w:r>
          </w:p>
        </w:tc>
        <w:tc>
          <w:tcPr>
            <w:tcW w:w="4743" w:type="dxa"/>
            <w:tcBorders>
              <w:top w:val="single" w:sz="4" w:space="0" w:color="auto"/>
              <w:left w:val="nil"/>
              <w:bottom w:val="single" w:sz="8" w:space="0" w:color="auto"/>
              <w:right w:val="single" w:sz="8" w:space="0" w:color="auto"/>
            </w:tcBorders>
            <w:shd w:val="clear" w:color="auto" w:fill="auto"/>
            <w:noWrap/>
            <w:vAlign w:val="center"/>
          </w:tcPr>
          <w:p w14:paraId="3B4B0862" w14:textId="77777777" w:rsidR="002C1F32" w:rsidRPr="00F551A2" w:rsidRDefault="002C1F32" w:rsidP="002D7202">
            <w:pPr>
              <w:jc w:val="center"/>
              <w:rPr>
                <w:rFonts w:ascii="Arial" w:hAnsi="Arial" w:cs="Arial"/>
                <w:b/>
                <w:color w:val="000000"/>
              </w:rPr>
            </w:pPr>
            <w:r w:rsidRPr="00F551A2">
              <w:rPr>
                <w:rFonts w:ascii="Arial" w:hAnsi="Arial" w:cs="Arial"/>
                <w:b/>
                <w:color w:val="000000"/>
              </w:rPr>
              <w:t>Escopo (Apontamentos da Análise – Anexo I)</w:t>
            </w:r>
          </w:p>
        </w:tc>
        <w:tc>
          <w:tcPr>
            <w:tcW w:w="1559" w:type="dxa"/>
            <w:tcBorders>
              <w:top w:val="single" w:sz="4" w:space="0" w:color="auto"/>
              <w:left w:val="nil"/>
              <w:bottom w:val="single" w:sz="8" w:space="0" w:color="auto"/>
              <w:right w:val="single" w:sz="8" w:space="0" w:color="auto"/>
            </w:tcBorders>
            <w:shd w:val="clear" w:color="auto" w:fill="auto"/>
            <w:noWrap/>
            <w:vAlign w:val="center"/>
          </w:tcPr>
          <w:p w14:paraId="488D7436" w14:textId="77777777" w:rsidR="002C1F32" w:rsidRPr="00F551A2" w:rsidRDefault="002C1F32" w:rsidP="002D7202">
            <w:pPr>
              <w:jc w:val="center"/>
              <w:rPr>
                <w:rFonts w:ascii="Arial" w:hAnsi="Arial" w:cs="Arial"/>
                <w:b/>
                <w:color w:val="000000"/>
                <w:sz w:val="18"/>
                <w:szCs w:val="18"/>
              </w:rPr>
            </w:pPr>
            <w:r w:rsidRPr="00F551A2">
              <w:rPr>
                <w:rFonts w:ascii="Arial" w:hAnsi="Arial" w:cs="Arial"/>
                <w:b/>
                <w:color w:val="000000"/>
                <w:sz w:val="18"/>
                <w:szCs w:val="18"/>
              </w:rPr>
              <w:t>Aspectos</w:t>
            </w:r>
          </w:p>
        </w:tc>
        <w:tc>
          <w:tcPr>
            <w:tcW w:w="1276" w:type="dxa"/>
            <w:tcBorders>
              <w:top w:val="single" w:sz="4" w:space="0" w:color="auto"/>
              <w:left w:val="nil"/>
              <w:bottom w:val="single" w:sz="8" w:space="0" w:color="auto"/>
              <w:right w:val="single" w:sz="8" w:space="0" w:color="auto"/>
            </w:tcBorders>
            <w:shd w:val="clear" w:color="auto" w:fill="auto"/>
            <w:noWrap/>
            <w:vAlign w:val="center"/>
          </w:tcPr>
          <w:p w14:paraId="75B028EF" w14:textId="77777777" w:rsidR="002C1F32" w:rsidRPr="00F551A2" w:rsidRDefault="002C1F32" w:rsidP="002D7202">
            <w:pPr>
              <w:jc w:val="center"/>
              <w:rPr>
                <w:rFonts w:ascii="Arial" w:hAnsi="Arial" w:cs="Arial"/>
                <w:b/>
                <w:color w:val="000000"/>
                <w:sz w:val="18"/>
                <w:szCs w:val="18"/>
              </w:rPr>
            </w:pPr>
            <w:r w:rsidRPr="00F551A2">
              <w:rPr>
                <w:rFonts w:ascii="Arial" w:hAnsi="Arial" w:cs="Arial"/>
                <w:b/>
                <w:color w:val="000000"/>
                <w:sz w:val="18"/>
                <w:szCs w:val="18"/>
              </w:rPr>
              <w:t>Reflexos</w:t>
            </w:r>
          </w:p>
        </w:tc>
        <w:tc>
          <w:tcPr>
            <w:tcW w:w="1134" w:type="dxa"/>
            <w:tcBorders>
              <w:top w:val="single" w:sz="4" w:space="0" w:color="auto"/>
              <w:left w:val="nil"/>
              <w:bottom w:val="single" w:sz="8" w:space="0" w:color="auto"/>
              <w:right w:val="single" w:sz="8" w:space="0" w:color="auto"/>
            </w:tcBorders>
            <w:shd w:val="clear" w:color="auto" w:fill="auto"/>
            <w:vAlign w:val="center"/>
          </w:tcPr>
          <w:p w14:paraId="021F598E" w14:textId="77777777" w:rsidR="002C1F32" w:rsidRPr="00F551A2" w:rsidRDefault="002C1F32" w:rsidP="002D7202">
            <w:pPr>
              <w:jc w:val="center"/>
              <w:rPr>
                <w:rFonts w:ascii="Arial" w:hAnsi="Arial" w:cs="Arial"/>
                <w:b/>
                <w:color w:val="000000"/>
                <w:sz w:val="18"/>
                <w:szCs w:val="18"/>
              </w:rPr>
            </w:pPr>
            <w:r w:rsidRPr="00F551A2">
              <w:rPr>
                <w:rFonts w:ascii="Arial" w:hAnsi="Arial" w:cs="Arial"/>
                <w:b/>
                <w:color w:val="000000"/>
                <w:sz w:val="18"/>
                <w:szCs w:val="18"/>
              </w:rPr>
              <w:t>Poder Executivo</w:t>
            </w:r>
          </w:p>
        </w:tc>
        <w:tc>
          <w:tcPr>
            <w:tcW w:w="1134" w:type="dxa"/>
            <w:tcBorders>
              <w:top w:val="single" w:sz="4" w:space="0" w:color="auto"/>
              <w:left w:val="nil"/>
              <w:bottom w:val="single" w:sz="8" w:space="0" w:color="auto"/>
              <w:right w:val="single" w:sz="8" w:space="0" w:color="auto"/>
            </w:tcBorders>
            <w:shd w:val="clear" w:color="auto" w:fill="auto"/>
            <w:vAlign w:val="center"/>
          </w:tcPr>
          <w:p w14:paraId="07BB5277" w14:textId="77777777" w:rsidR="002C1F32" w:rsidRPr="00F551A2" w:rsidRDefault="002C1F32" w:rsidP="002D7202">
            <w:pPr>
              <w:jc w:val="center"/>
              <w:rPr>
                <w:rFonts w:ascii="Arial" w:hAnsi="Arial" w:cs="Arial"/>
                <w:b/>
                <w:color w:val="000000"/>
                <w:sz w:val="18"/>
                <w:szCs w:val="18"/>
              </w:rPr>
            </w:pPr>
            <w:r w:rsidRPr="00F551A2">
              <w:rPr>
                <w:rFonts w:ascii="Arial" w:hAnsi="Arial" w:cs="Arial"/>
                <w:b/>
                <w:color w:val="000000"/>
                <w:sz w:val="18"/>
                <w:szCs w:val="18"/>
              </w:rPr>
              <w:t>Poder Legislativo</w:t>
            </w:r>
          </w:p>
        </w:tc>
        <w:tc>
          <w:tcPr>
            <w:tcW w:w="1134" w:type="dxa"/>
            <w:tcBorders>
              <w:top w:val="single" w:sz="4" w:space="0" w:color="auto"/>
              <w:left w:val="nil"/>
              <w:bottom w:val="single" w:sz="8" w:space="0" w:color="auto"/>
              <w:right w:val="single" w:sz="8" w:space="0" w:color="auto"/>
            </w:tcBorders>
            <w:shd w:val="clear" w:color="auto" w:fill="auto"/>
            <w:vAlign w:val="center"/>
          </w:tcPr>
          <w:p w14:paraId="38574359" w14:textId="77777777" w:rsidR="002C1F32" w:rsidRPr="00F551A2" w:rsidRDefault="002C1F32" w:rsidP="002D7202">
            <w:pPr>
              <w:jc w:val="center"/>
              <w:rPr>
                <w:rFonts w:ascii="Arial" w:hAnsi="Arial" w:cs="Arial"/>
                <w:b/>
                <w:color w:val="000000"/>
                <w:sz w:val="18"/>
                <w:szCs w:val="18"/>
              </w:rPr>
            </w:pPr>
            <w:r w:rsidRPr="00F551A2">
              <w:rPr>
                <w:rFonts w:ascii="Arial" w:hAnsi="Arial" w:cs="Arial"/>
                <w:b/>
                <w:color w:val="000000"/>
                <w:sz w:val="18"/>
                <w:szCs w:val="18"/>
              </w:rPr>
              <w:t xml:space="preserve">Indiretas </w:t>
            </w:r>
          </w:p>
        </w:tc>
        <w:tc>
          <w:tcPr>
            <w:tcW w:w="1134" w:type="dxa"/>
            <w:tcBorders>
              <w:top w:val="single" w:sz="4" w:space="0" w:color="auto"/>
              <w:left w:val="nil"/>
              <w:bottom w:val="single" w:sz="8" w:space="0" w:color="auto"/>
              <w:right w:val="single" w:sz="8" w:space="0" w:color="auto"/>
            </w:tcBorders>
            <w:vAlign w:val="center"/>
          </w:tcPr>
          <w:p w14:paraId="06BF8CEF" w14:textId="77777777" w:rsidR="002C1F32" w:rsidRPr="00F551A2" w:rsidRDefault="002C1F32" w:rsidP="002D7202">
            <w:pPr>
              <w:jc w:val="center"/>
              <w:rPr>
                <w:rFonts w:ascii="Arial" w:hAnsi="Arial" w:cs="Arial"/>
                <w:b/>
                <w:color w:val="000000"/>
                <w:sz w:val="18"/>
                <w:szCs w:val="18"/>
              </w:rPr>
            </w:pPr>
            <w:r w:rsidRPr="00F551A2">
              <w:rPr>
                <w:rFonts w:ascii="Arial" w:hAnsi="Arial" w:cs="Arial"/>
                <w:b/>
                <w:color w:val="000000"/>
                <w:sz w:val="18"/>
                <w:szCs w:val="18"/>
              </w:rPr>
              <w:t>Secretarias</w:t>
            </w:r>
          </w:p>
        </w:tc>
        <w:tc>
          <w:tcPr>
            <w:tcW w:w="1276" w:type="dxa"/>
            <w:tcBorders>
              <w:top w:val="single" w:sz="4" w:space="0" w:color="auto"/>
              <w:left w:val="nil"/>
              <w:bottom w:val="single" w:sz="8" w:space="0" w:color="auto"/>
              <w:right w:val="single" w:sz="8" w:space="0" w:color="auto"/>
            </w:tcBorders>
            <w:vAlign w:val="center"/>
          </w:tcPr>
          <w:p w14:paraId="7D8E6EAF" w14:textId="77777777" w:rsidR="002C1F32" w:rsidRPr="00F551A2" w:rsidRDefault="002C1F32" w:rsidP="002D7202">
            <w:pPr>
              <w:jc w:val="center"/>
              <w:rPr>
                <w:rFonts w:ascii="Arial" w:hAnsi="Arial" w:cs="Arial"/>
                <w:b/>
                <w:color w:val="000000"/>
                <w:sz w:val="18"/>
                <w:szCs w:val="18"/>
              </w:rPr>
            </w:pPr>
            <w:r w:rsidRPr="00F551A2">
              <w:rPr>
                <w:rFonts w:ascii="Arial" w:hAnsi="Arial" w:cs="Arial"/>
                <w:b/>
                <w:color w:val="000000"/>
                <w:sz w:val="18"/>
                <w:szCs w:val="18"/>
              </w:rPr>
              <w:t>RPPS</w:t>
            </w:r>
          </w:p>
        </w:tc>
      </w:tr>
      <w:tr w:rsidR="002C1F32" w:rsidRPr="00F551A2" w14:paraId="5CB2FB80" w14:textId="77777777" w:rsidTr="002D7202">
        <w:trPr>
          <w:cantSplit/>
          <w:trHeight w:val="525"/>
          <w:jc w:val="center"/>
        </w:trPr>
        <w:tc>
          <w:tcPr>
            <w:tcW w:w="659" w:type="dxa"/>
            <w:tcBorders>
              <w:top w:val="nil"/>
              <w:left w:val="single" w:sz="8" w:space="0" w:color="auto"/>
              <w:bottom w:val="single" w:sz="8" w:space="0" w:color="auto"/>
              <w:right w:val="single" w:sz="8" w:space="0" w:color="auto"/>
            </w:tcBorders>
            <w:shd w:val="clear" w:color="auto" w:fill="auto"/>
            <w:noWrap/>
            <w:vAlign w:val="center"/>
          </w:tcPr>
          <w:p w14:paraId="16F96D7E"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1</w:t>
            </w:r>
          </w:p>
        </w:tc>
        <w:tc>
          <w:tcPr>
            <w:tcW w:w="4743" w:type="dxa"/>
            <w:tcBorders>
              <w:top w:val="nil"/>
              <w:left w:val="nil"/>
              <w:bottom w:val="single" w:sz="8" w:space="0" w:color="auto"/>
              <w:right w:val="single" w:sz="8" w:space="0" w:color="auto"/>
            </w:tcBorders>
            <w:shd w:val="clear" w:color="auto" w:fill="auto"/>
            <w:noWrap/>
            <w:vAlign w:val="center"/>
          </w:tcPr>
          <w:p w14:paraId="79EA2BC6"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Funções técnicas da contabilidade realizadas de forma contrária ao Prejulgado nº 6, do Tribunal de Contas.</w:t>
            </w:r>
          </w:p>
        </w:tc>
        <w:tc>
          <w:tcPr>
            <w:tcW w:w="1559" w:type="dxa"/>
            <w:tcBorders>
              <w:top w:val="nil"/>
              <w:left w:val="nil"/>
              <w:bottom w:val="single" w:sz="8" w:space="0" w:color="auto"/>
              <w:right w:val="single" w:sz="8" w:space="0" w:color="auto"/>
            </w:tcBorders>
            <w:shd w:val="clear" w:color="auto" w:fill="auto"/>
            <w:noWrap/>
            <w:vAlign w:val="center"/>
          </w:tcPr>
          <w:p w14:paraId="279E4331"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Constitucionais. Normas TCE-PR</w:t>
            </w:r>
          </w:p>
        </w:tc>
        <w:tc>
          <w:tcPr>
            <w:tcW w:w="1276" w:type="dxa"/>
            <w:tcBorders>
              <w:top w:val="nil"/>
              <w:left w:val="nil"/>
              <w:bottom w:val="single" w:sz="8" w:space="0" w:color="auto"/>
              <w:right w:val="single" w:sz="8" w:space="0" w:color="auto"/>
            </w:tcBorders>
            <w:shd w:val="clear" w:color="auto" w:fill="auto"/>
            <w:noWrap/>
            <w:vAlign w:val="center"/>
          </w:tcPr>
          <w:p w14:paraId="7D8476CE"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8" w:space="0" w:color="auto"/>
              <w:right w:val="single" w:sz="8" w:space="0" w:color="auto"/>
            </w:tcBorders>
            <w:shd w:val="clear" w:color="auto" w:fill="auto"/>
            <w:vAlign w:val="center"/>
          </w:tcPr>
          <w:p w14:paraId="5DCEAC0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tcPr>
          <w:p w14:paraId="5CAA77A9"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tcPr>
          <w:p w14:paraId="12BD768C"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vAlign w:val="center"/>
          </w:tcPr>
          <w:p w14:paraId="09799EC5" w14:textId="77777777" w:rsidR="002C1F32" w:rsidRPr="00F551A2" w:rsidRDefault="002C1F32" w:rsidP="002D7202">
            <w:pPr>
              <w:spacing w:before="60" w:after="60"/>
              <w:rPr>
                <w:rFonts w:ascii="Arial" w:hAnsi="Arial" w:cs="Arial"/>
              </w:rPr>
            </w:pPr>
          </w:p>
        </w:tc>
        <w:tc>
          <w:tcPr>
            <w:tcW w:w="1276" w:type="dxa"/>
            <w:tcBorders>
              <w:top w:val="nil"/>
              <w:left w:val="nil"/>
              <w:bottom w:val="single" w:sz="8" w:space="0" w:color="auto"/>
              <w:right w:val="single" w:sz="8" w:space="0" w:color="auto"/>
            </w:tcBorders>
            <w:vAlign w:val="center"/>
          </w:tcPr>
          <w:p w14:paraId="19CCB11A"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0426BE68" w14:textId="77777777" w:rsidTr="002D7202">
        <w:trPr>
          <w:cantSplit/>
          <w:trHeight w:val="525"/>
          <w:jc w:val="center"/>
        </w:trPr>
        <w:tc>
          <w:tcPr>
            <w:tcW w:w="659" w:type="dxa"/>
            <w:tcBorders>
              <w:top w:val="nil"/>
              <w:left w:val="single" w:sz="8" w:space="0" w:color="auto"/>
              <w:bottom w:val="single" w:sz="8" w:space="0" w:color="auto"/>
              <w:right w:val="single" w:sz="8" w:space="0" w:color="auto"/>
            </w:tcBorders>
            <w:shd w:val="clear" w:color="auto" w:fill="auto"/>
            <w:noWrap/>
            <w:vAlign w:val="center"/>
          </w:tcPr>
          <w:p w14:paraId="59673B29"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2</w:t>
            </w:r>
          </w:p>
        </w:tc>
        <w:tc>
          <w:tcPr>
            <w:tcW w:w="4743" w:type="dxa"/>
            <w:tcBorders>
              <w:top w:val="nil"/>
              <w:left w:val="nil"/>
              <w:bottom w:val="single" w:sz="8" w:space="0" w:color="auto"/>
              <w:right w:val="single" w:sz="8" w:space="0" w:color="auto"/>
            </w:tcBorders>
            <w:shd w:val="clear" w:color="auto" w:fill="auto"/>
            <w:noWrap/>
            <w:vAlign w:val="center"/>
          </w:tcPr>
          <w:p w14:paraId="68556FAE"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Funções da assessoria jurídica realizadas de forma contrária ao Prejulgado nº 6, do Tribunal de Contas.</w:t>
            </w:r>
          </w:p>
        </w:tc>
        <w:tc>
          <w:tcPr>
            <w:tcW w:w="1559" w:type="dxa"/>
            <w:tcBorders>
              <w:top w:val="nil"/>
              <w:left w:val="nil"/>
              <w:bottom w:val="single" w:sz="8" w:space="0" w:color="auto"/>
              <w:right w:val="single" w:sz="8" w:space="0" w:color="auto"/>
            </w:tcBorders>
            <w:shd w:val="clear" w:color="auto" w:fill="auto"/>
            <w:noWrap/>
            <w:vAlign w:val="center"/>
          </w:tcPr>
          <w:p w14:paraId="30AA539C"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Constitucionais. Normas TCE-PR</w:t>
            </w:r>
          </w:p>
        </w:tc>
        <w:tc>
          <w:tcPr>
            <w:tcW w:w="1276" w:type="dxa"/>
            <w:tcBorders>
              <w:top w:val="nil"/>
              <w:left w:val="nil"/>
              <w:bottom w:val="single" w:sz="8" w:space="0" w:color="auto"/>
              <w:right w:val="single" w:sz="8" w:space="0" w:color="auto"/>
            </w:tcBorders>
            <w:shd w:val="clear" w:color="auto" w:fill="auto"/>
            <w:noWrap/>
            <w:vAlign w:val="center"/>
          </w:tcPr>
          <w:p w14:paraId="115642A5"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8" w:space="0" w:color="auto"/>
              <w:right w:val="single" w:sz="8" w:space="0" w:color="auto"/>
            </w:tcBorders>
            <w:shd w:val="clear" w:color="auto" w:fill="auto"/>
            <w:vAlign w:val="center"/>
          </w:tcPr>
          <w:p w14:paraId="3547658B"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tcPr>
          <w:p w14:paraId="0F0F68C8"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tcPr>
          <w:p w14:paraId="5D33679E"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vAlign w:val="center"/>
          </w:tcPr>
          <w:p w14:paraId="181B03A0" w14:textId="77777777" w:rsidR="002C1F32" w:rsidRPr="00F551A2" w:rsidRDefault="002C1F32" w:rsidP="002D7202">
            <w:pPr>
              <w:spacing w:before="60" w:after="60"/>
              <w:rPr>
                <w:rFonts w:ascii="Arial" w:hAnsi="Arial" w:cs="Arial"/>
              </w:rPr>
            </w:pPr>
          </w:p>
        </w:tc>
        <w:tc>
          <w:tcPr>
            <w:tcW w:w="1276" w:type="dxa"/>
            <w:tcBorders>
              <w:top w:val="nil"/>
              <w:left w:val="nil"/>
              <w:bottom w:val="single" w:sz="8" w:space="0" w:color="auto"/>
              <w:right w:val="single" w:sz="8" w:space="0" w:color="auto"/>
            </w:tcBorders>
            <w:vAlign w:val="center"/>
          </w:tcPr>
          <w:p w14:paraId="5F66C1D4"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2423832B" w14:textId="77777777" w:rsidTr="002D7202">
        <w:trPr>
          <w:cantSplit/>
          <w:trHeight w:val="525"/>
          <w:jc w:val="center"/>
        </w:trPr>
        <w:tc>
          <w:tcPr>
            <w:tcW w:w="659" w:type="dxa"/>
            <w:tcBorders>
              <w:top w:val="nil"/>
              <w:left w:val="single" w:sz="8" w:space="0" w:color="auto"/>
              <w:bottom w:val="single" w:sz="8" w:space="0" w:color="auto"/>
              <w:right w:val="single" w:sz="8" w:space="0" w:color="auto"/>
            </w:tcBorders>
            <w:shd w:val="clear" w:color="auto" w:fill="auto"/>
            <w:noWrap/>
            <w:vAlign w:val="center"/>
          </w:tcPr>
          <w:p w14:paraId="5D634DD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3</w:t>
            </w:r>
          </w:p>
        </w:tc>
        <w:tc>
          <w:tcPr>
            <w:tcW w:w="4743" w:type="dxa"/>
            <w:tcBorders>
              <w:top w:val="nil"/>
              <w:left w:val="nil"/>
              <w:bottom w:val="single" w:sz="8" w:space="0" w:color="auto"/>
              <w:right w:val="single" w:sz="8" w:space="0" w:color="auto"/>
            </w:tcBorders>
            <w:shd w:val="clear" w:color="auto" w:fill="auto"/>
            <w:noWrap/>
            <w:vAlign w:val="center"/>
          </w:tcPr>
          <w:p w14:paraId="45ADCB1B"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Falta de encaminhamento de informações para comprovação da aderência e conformidade das funções da assessoria jurídica e funções técnicas do responsável pela contabilidade ao Prejulgado nº 6, do Tribunal de Contas.</w:t>
            </w:r>
          </w:p>
        </w:tc>
        <w:tc>
          <w:tcPr>
            <w:tcW w:w="1559" w:type="dxa"/>
            <w:tcBorders>
              <w:top w:val="nil"/>
              <w:left w:val="nil"/>
              <w:bottom w:val="single" w:sz="8" w:space="0" w:color="auto"/>
              <w:right w:val="single" w:sz="8" w:space="0" w:color="auto"/>
            </w:tcBorders>
            <w:shd w:val="clear" w:color="auto" w:fill="auto"/>
            <w:noWrap/>
            <w:vAlign w:val="center"/>
          </w:tcPr>
          <w:p w14:paraId="3755A5C6"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Constitucionais. Normas TCE-PR</w:t>
            </w:r>
          </w:p>
        </w:tc>
        <w:tc>
          <w:tcPr>
            <w:tcW w:w="1276" w:type="dxa"/>
            <w:tcBorders>
              <w:top w:val="nil"/>
              <w:left w:val="nil"/>
              <w:bottom w:val="single" w:sz="8" w:space="0" w:color="auto"/>
              <w:right w:val="single" w:sz="8" w:space="0" w:color="auto"/>
            </w:tcBorders>
            <w:shd w:val="clear" w:color="auto" w:fill="auto"/>
            <w:noWrap/>
            <w:vAlign w:val="center"/>
          </w:tcPr>
          <w:p w14:paraId="6BC56409"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8" w:space="0" w:color="auto"/>
              <w:right w:val="single" w:sz="8" w:space="0" w:color="auto"/>
            </w:tcBorders>
            <w:shd w:val="clear" w:color="auto" w:fill="auto"/>
            <w:vAlign w:val="center"/>
          </w:tcPr>
          <w:p w14:paraId="0E9B9593"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tcPr>
          <w:p w14:paraId="01C5D5E3"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tcPr>
          <w:p w14:paraId="1DAB22C2"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vAlign w:val="center"/>
          </w:tcPr>
          <w:p w14:paraId="49613648" w14:textId="77777777" w:rsidR="002C1F32" w:rsidRPr="00F551A2" w:rsidRDefault="002C1F32" w:rsidP="002D7202">
            <w:pPr>
              <w:spacing w:before="60" w:after="60"/>
              <w:rPr>
                <w:rFonts w:ascii="Arial" w:hAnsi="Arial" w:cs="Arial"/>
              </w:rPr>
            </w:pPr>
          </w:p>
        </w:tc>
        <w:tc>
          <w:tcPr>
            <w:tcW w:w="1276" w:type="dxa"/>
            <w:tcBorders>
              <w:top w:val="nil"/>
              <w:left w:val="nil"/>
              <w:bottom w:val="single" w:sz="8" w:space="0" w:color="auto"/>
              <w:right w:val="single" w:sz="8" w:space="0" w:color="auto"/>
            </w:tcBorders>
            <w:vAlign w:val="center"/>
          </w:tcPr>
          <w:p w14:paraId="316C55C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7AF3D95B" w14:textId="77777777" w:rsidTr="002D7202">
        <w:trPr>
          <w:cantSplit/>
          <w:trHeight w:val="525"/>
          <w:jc w:val="center"/>
        </w:trPr>
        <w:tc>
          <w:tcPr>
            <w:tcW w:w="65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16BD43A"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4</w:t>
            </w:r>
          </w:p>
        </w:tc>
        <w:tc>
          <w:tcPr>
            <w:tcW w:w="4743" w:type="dxa"/>
            <w:tcBorders>
              <w:top w:val="single" w:sz="4" w:space="0" w:color="auto"/>
              <w:left w:val="nil"/>
              <w:bottom w:val="single" w:sz="4" w:space="0" w:color="auto"/>
              <w:right w:val="single" w:sz="8" w:space="0" w:color="auto"/>
            </w:tcBorders>
            <w:shd w:val="clear" w:color="auto" w:fill="auto"/>
            <w:vAlign w:val="center"/>
          </w:tcPr>
          <w:p w14:paraId="20B9731D" w14:textId="77777777" w:rsidR="002C1F32" w:rsidRPr="00F551A2" w:rsidRDefault="002C1F32" w:rsidP="002D7202">
            <w:pPr>
              <w:spacing w:before="60" w:after="60"/>
              <w:jc w:val="both"/>
              <w:rPr>
                <w:rFonts w:ascii="Arial" w:hAnsi="Arial" w:cs="Arial"/>
                <w:color w:val="000000"/>
              </w:rPr>
            </w:pPr>
            <w:r w:rsidRPr="00F551A2">
              <w:rPr>
                <w:rFonts w:ascii="Arial" w:hAnsi="Arial" w:cs="Arial"/>
              </w:rPr>
              <w:t xml:space="preserve">Controle interno executado por ocupante de </w:t>
            </w:r>
            <w:proofErr w:type="gramStart"/>
            <w:r w:rsidRPr="00F551A2">
              <w:rPr>
                <w:rFonts w:ascii="Arial" w:hAnsi="Arial" w:cs="Arial"/>
              </w:rPr>
              <w:t>cargo  comissionado</w:t>
            </w:r>
            <w:proofErr w:type="gramEnd"/>
            <w:r w:rsidRPr="00F551A2">
              <w:rPr>
                <w:rFonts w:ascii="Arial" w:hAnsi="Arial" w:cs="Arial"/>
              </w:rPr>
              <w:t xml:space="preserve"> não pertencente ao quadro efetivo.</w:t>
            </w:r>
          </w:p>
        </w:tc>
        <w:tc>
          <w:tcPr>
            <w:tcW w:w="1559" w:type="dxa"/>
            <w:tcBorders>
              <w:top w:val="single" w:sz="4" w:space="0" w:color="auto"/>
              <w:left w:val="nil"/>
              <w:bottom w:val="single" w:sz="4" w:space="0" w:color="auto"/>
              <w:right w:val="single" w:sz="8" w:space="0" w:color="auto"/>
            </w:tcBorders>
            <w:shd w:val="clear" w:color="auto" w:fill="auto"/>
            <w:vAlign w:val="center"/>
          </w:tcPr>
          <w:p w14:paraId="0581E24D"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Controle interno</w:t>
            </w:r>
          </w:p>
        </w:tc>
        <w:tc>
          <w:tcPr>
            <w:tcW w:w="1276" w:type="dxa"/>
            <w:tcBorders>
              <w:top w:val="single" w:sz="4" w:space="0" w:color="auto"/>
              <w:left w:val="nil"/>
              <w:bottom w:val="single" w:sz="4" w:space="0" w:color="auto"/>
              <w:right w:val="single" w:sz="8" w:space="0" w:color="auto"/>
            </w:tcBorders>
            <w:shd w:val="clear" w:color="auto" w:fill="auto"/>
            <w:noWrap/>
            <w:vAlign w:val="center"/>
          </w:tcPr>
          <w:p w14:paraId="62D35CE1"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4" w:space="0" w:color="auto"/>
              <w:right w:val="single" w:sz="8" w:space="0" w:color="auto"/>
            </w:tcBorders>
            <w:shd w:val="clear" w:color="auto" w:fill="auto"/>
            <w:vAlign w:val="center"/>
          </w:tcPr>
          <w:p w14:paraId="619F0F12"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tcPr>
          <w:p w14:paraId="2E121A4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tcPr>
          <w:p w14:paraId="0786EF7C"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vAlign w:val="center"/>
          </w:tcPr>
          <w:p w14:paraId="5E9E2BC8"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4" w:space="0" w:color="auto"/>
              <w:right w:val="single" w:sz="8" w:space="0" w:color="auto"/>
            </w:tcBorders>
            <w:vAlign w:val="center"/>
          </w:tcPr>
          <w:p w14:paraId="75027949"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599EEC73" w14:textId="77777777" w:rsidTr="002D7202">
        <w:trPr>
          <w:cantSplit/>
          <w:trHeight w:val="525"/>
          <w:jc w:val="center"/>
        </w:trPr>
        <w:tc>
          <w:tcPr>
            <w:tcW w:w="65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7E6715D"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5</w:t>
            </w:r>
          </w:p>
        </w:tc>
        <w:tc>
          <w:tcPr>
            <w:tcW w:w="4743" w:type="dxa"/>
            <w:tcBorders>
              <w:top w:val="single" w:sz="4" w:space="0" w:color="auto"/>
              <w:left w:val="nil"/>
              <w:bottom w:val="single" w:sz="4" w:space="0" w:color="auto"/>
              <w:right w:val="single" w:sz="8" w:space="0" w:color="auto"/>
            </w:tcBorders>
            <w:shd w:val="clear" w:color="auto" w:fill="auto"/>
            <w:vAlign w:val="center"/>
          </w:tcPr>
          <w:p w14:paraId="5E97FFFC" w14:textId="77777777" w:rsidR="002C1F32" w:rsidRPr="00F551A2" w:rsidRDefault="002C1F32" w:rsidP="002D7202">
            <w:pPr>
              <w:spacing w:before="60" w:after="60"/>
              <w:jc w:val="both"/>
              <w:rPr>
                <w:rFonts w:ascii="Arial" w:hAnsi="Arial" w:cs="Arial"/>
              </w:rPr>
            </w:pPr>
            <w:r w:rsidRPr="00F551A2">
              <w:rPr>
                <w:rFonts w:ascii="Arial" w:hAnsi="Arial" w:cs="Arial"/>
              </w:rPr>
              <w:t>Controle Interno executado por serviços de terceiros.</w:t>
            </w:r>
          </w:p>
        </w:tc>
        <w:tc>
          <w:tcPr>
            <w:tcW w:w="1559" w:type="dxa"/>
            <w:tcBorders>
              <w:top w:val="single" w:sz="4" w:space="0" w:color="auto"/>
              <w:left w:val="nil"/>
              <w:bottom w:val="single" w:sz="4" w:space="0" w:color="auto"/>
              <w:right w:val="single" w:sz="8" w:space="0" w:color="auto"/>
            </w:tcBorders>
            <w:shd w:val="clear" w:color="auto" w:fill="auto"/>
            <w:vAlign w:val="center"/>
          </w:tcPr>
          <w:p w14:paraId="0844427D"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Controle interno</w:t>
            </w:r>
          </w:p>
        </w:tc>
        <w:tc>
          <w:tcPr>
            <w:tcW w:w="1276" w:type="dxa"/>
            <w:tcBorders>
              <w:top w:val="single" w:sz="4" w:space="0" w:color="auto"/>
              <w:left w:val="nil"/>
              <w:bottom w:val="single" w:sz="4" w:space="0" w:color="auto"/>
              <w:right w:val="single" w:sz="8" w:space="0" w:color="auto"/>
            </w:tcBorders>
            <w:shd w:val="clear" w:color="auto" w:fill="auto"/>
            <w:noWrap/>
            <w:vAlign w:val="center"/>
          </w:tcPr>
          <w:p w14:paraId="3DB76404"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4" w:space="0" w:color="auto"/>
              <w:right w:val="single" w:sz="8" w:space="0" w:color="auto"/>
            </w:tcBorders>
            <w:shd w:val="clear" w:color="auto" w:fill="auto"/>
            <w:vAlign w:val="center"/>
          </w:tcPr>
          <w:p w14:paraId="3F84C68B"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tcPr>
          <w:p w14:paraId="63C19B36"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tcPr>
          <w:p w14:paraId="156C42DB"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vAlign w:val="center"/>
          </w:tcPr>
          <w:p w14:paraId="754D9609"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4" w:space="0" w:color="auto"/>
              <w:right w:val="single" w:sz="8" w:space="0" w:color="auto"/>
            </w:tcBorders>
            <w:vAlign w:val="center"/>
          </w:tcPr>
          <w:p w14:paraId="3C81C63D"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040A3860" w14:textId="77777777" w:rsidTr="002D7202">
        <w:trPr>
          <w:cantSplit/>
          <w:trHeight w:val="315"/>
          <w:jc w:val="center"/>
        </w:trPr>
        <w:tc>
          <w:tcPr>
            <w:tcW w:w="659" w:type="dxa"/>
            <w:tcBorders>
              <w:top w:val="nil"/>
              <w:left w:val="single" w:sz="8" w:space="0" w:color="auto"/>
              <w:bottom w:val="single" w:sz="4" w:space="0" w:color="auto"/>
              <w:right w:val="single" w:sz="8" w:space="0" w:color="auto"/>
            </w:tcBorders>
            <w:shd w:val="clear" w:color="auto" w:fill="auto"/>
            <w:noWrap/>
            <w:vAlign w:val="center"/>
            <w:hideMark/>
          </w:tcPr>
          <w:p w14:paraId="40E1CCE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6</w:t>
            </w:r>
          </w:p>
        </w:tc>
        <w:tc>
          <w:tcPr>
            <w:tcW w:w="4743" w:type="dxa"/>
            <w:tcBorders>
              <w:top w:val="nil"/>
              <w:left w:val="nil"/>
              <w:bottom w:val="single" w:sz="4" w:space="0" w:color="auto"/>
              <w:right w:val="single" w:sz="8" w:space="0" w:color="auto"/>
            </w:tcBorders>
            <w:shd w:val="clear" w:color="auto" w:fill="auto"/>
            <w:noWrap/>
            <w:vAlign w:val="center"/>
            <w:hideMark/>
          </w:tcPr>
          <w:p w14:paraId="317E5438"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Falta de encaminhamento do Relatório do Controle Interno.</w:t>
            </w:r>
          </w:p>
        </w:tc>
        <w:tc>
          <w:tcPr>
            <w:tcW w:w="1559" w:type="dxa"/>
            <w:tcBorders>
              <w:top w:val="nil"/>
              <w:left w:val="nil"/>
              <w:bottom w:val="single" w:sz="4" w:space="0" w:color="auto"/>
              <w:right w:val="single" w:sz="8" w:space="0" w:color="auto"/>
            </w:tcBorders>
            <w:shd w:val="clear" w:color="auto" w:fill="auto"/>
            <w:noWrap/>
            <w:vAlign w:val="center"/>
            <w:hideMark/>
          </w:tcPr>
          <w:p w14:paraId="5671B8D1"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Controle interno</w:t>
            </w:r>
          </w:p>
        </w:tc>
        <w:tc>
          <w:tcPr>
            <w:tcW w:w="1276" w:type="dxa"/>
            <w:tcBorders>
              <w:top w:val="nil"/>
              <w:left w:val="nil"/>
              <w:bottom w:val="single" w:sz="4" w:space="0" w:color="auto"/>
              <w:right w:val="single" w:sz="8" w:space="0" w:color="auto"/>
            </w:tcBorders>
            <w:shd w:val="clear" w:color="auto" w:fill="auto"/>
            <w:noWrap/>
            <w:vAlign w:val="center"/>
            <w:hideMark/>
          </w:tcPr>
          <w:p w14:paraId="63CC06E9"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4" w:space="0" w:color="auto"/>
              <w:right w:val="single" w:sz="8" w:space="0" w:color="auto"/>
            </w:tcBorders>
            <w:shd w:val="clear" w:color="auto" w:fill="auto"/>
            <w:vAlign w:val="center"/>
            <w:hideMark/>
          </w:tcPr>
          <w:p w14:paraId="25320272"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shd w:val="clear" w:color="auto" w:fill="auto"/>
            <w:vAlign w:val="center"/>
            <w:hideMark/>
          </w:tcPr>
          <w:p w14:paraId="0A94952D"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shd w:val="clear" w:color="auto" w:fill="auto"/>
            <w:vAlign w:val="center"/>
            <w:hideMark/>
          </w:tcPr>
          <w:p w14:paraId="012B96F3"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vAlign w:val="center"/>
          </w:tcPr>
          <w:p w14:paraId="004A9337" w14:textId="77777777" w:rsidR="002C1F32" w:rsidRPr="00F551A2" w:rsidRDefault="002C1F32" w:rsidP="002D7202">
            <w:pPr>
              <w:spacing w:before="60" w:after="60"/>
              <w:rPr>
                <w:rFonts w:ascii="Arial" w:hAnsi="Arial" w:cs="Arial"/>
              </w:rPr>
            </w:pPr>
          </w:p>
        </w:tc>
        <w:tc>
          <w:tcPr>
            <w:tcW w:w="1276" w:type="dxa"/>
            <w:tcBorders>
              <w:top w:val="nil"/>
              <w:left w:val="nil"/>
              <w:bottom w:val="single" w:sz="4" w:space="0" w:color="auto"/>
              <w:right w:val="single" w:sz="8" w:space="0" w:color="auto"/>
            </w:tcBorders>
            <w:vAlign w:val="center"/>
          </w:tcPr>
          <w:p w14:paraId="47FE5B8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0EB598F6" w14:textId="77777777" w:rsidTr="002D7202">
        <w:trPr>
          <w:cantSplit/>
          <w:trHeight w:val="525"/>
          <w:jc w:val="center"/>
        </w:trPr>
        <w:tc>
          <w:tcPr>
            <w:tcW w:w="65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7217F4A"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7</w:t>
            </w:r>
          </w:p>
        </w:tc>
        <w:tc>
          <w:tcPr>
            <w:tcW w:w="4743" w:type="dxa"/>
            <w:tcBorders>
              <w:top w:val="single" w:sz="4" w:space="0" w:color="auto"/>
              <w:left w:val="nil"/>
              <w:bottom w:val="single" w:sz="8" w:space="0" w:color="auto"/>
              <w:right w:val="single" w:sz="8" w:space="0" w:color="auto"/>
            </w:tcBorders>
            <w:shd w:val="clear" w:color="auto" w:fill="auto"/>
            <w:noWrap/>
            <w:vAlign w:val="center"/>
            <w:hideMark/>
          </w:tcPr>
          <w:p w14:paraId="7B1CE723"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Relatório do Controle Interno encaminhado não apresenta os conteúdos mínimos prescritos pelo Tribunal.</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1EDC1ED5"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Controle interno</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7D978141"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38469D70"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0812B13A"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5025A1E3"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8" w:space="0" w:color="auto"/>
              <w:right w:val="single" w:sz="8" w:space="0" w:color="auto"/>
            </w:tcBorders>
            <w:vAlign w:val="center"/>
          </w:tcPr>
          <w:p w14:paraId="4EC0548F"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8" w:space="0" w:color="auto"/>
              <w:right w:val="single" w:sz="8" w:space="0" w:color="auto"/>
            </w:tcBorders>
            <w:vAlign w:val="center"/>
          </w:tcPr>
          <w:p w14:paraId="4378DCA6"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49DD8827" w14:textId="77777777" w:rsidTr="002D7202">
        <w:trPr>
          <w:cantSplit/>
          <w:trHeight w:val="315"/>
          <w:jc w:val="center"/>
        </w:trPr>
        <w:tc>
          <w:tcPr>
            <w:tcW w:w="659" w:type="dxa"/>
            <w:tcBorders>
              <w:top w:val="nil"/>
              <w:left w:val="single" w:sz="8" w:space="0" w:color="auto"/>
              <w:bottom w:val="single" w:sz="4" w:space="0" w:color="auto"/>
              <w:right w:val="single" w:sz="8" w:space="0" w:color="auto"/>
            </w:tcBorders>
            <w:shd w:val="clear" w:color="auto" w:fill="auto"/>
            <w:noWrap/>
            <w:vAlign w:val="center"/>
            <w:hideMark/>
          </w:tcPr>
          <w:p w14:paraId="67B9C1DF"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lastRenderedPageBreak/>
              <w:t>8</w:t>
            </w:r>
          </w:p>
        </w:tc>
        <w:tc>
          <w:tcPr>
            <w:tcW w:w="4743" w:type="dxa"/>
            <w:tcBorders>
              <w:top w:val="nil"/>
              <w:left w:val="nil"/>
              <w:bottom w:val="single" w:sz="4" w:space="0" w:color="auto"/>
              <w:right w:val="single" w:sz="8" w:space="0" w:color="auto"/>
            </w:tcBorders>
            <w:shd w:val="clear" w:color="auto" w:fill="auto"/>
            <w:noWrap/>
            <w:vAlign w:val="center"/>
            <w:hideMark/>
          </w:tcPr>
          <w:p w14:paraId="5C4F842B"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O Relatório do Controle Interno apresenta ocorrência de irregularidade passível de desaprovação da gestão.</w:t>
            </w:r>
          </w:p>
        </w:tc>
        <w:tc>
          <w:tcPr>
            <w:tcW w:w="1559" w:type="dxa"/>
            <w:tcBorders>
              <w:top w:val="nil"/>
              <w:left w:val="nil"/>
              <w:bottom w:val="single" w:sz="4" w:space="0" w:color="auto"/>
              <w:right w:val="single" w:sz="8" w:space="0" w:color="auto"/>
            </w:tcBorders>
            <w:shd w:val="clear" w:color="auto" w:fill="auto"/>
            <w:noWrap/>
            <w:vAlign w:val="center"/>
            <w:hideMark/>
          </w:tcPr>
          <w:p w14:paraId="718E3EA2"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Controle interno</w:t>
            </w:r>
          </w:p>
        </w:tc>
        <w:tc>
          <w:tcPr>
            <w:tcW w:w="1276" w:type="dxa"/>
            <w:tcBorders>
              <w:top w:val="nil"/>
              <w:left w:val="nil"/>
              <w:bottom w:val="single" w:sz="4" w:space="0" w:color="auto"/>
              <w:right w:val="single" w:sz="8" w:space="0" w:color="auto"/>
            </w:tcBorders>
            <w:shd w:val="clear" w:color="auto" w:fill="auto"/>
            <w:noWrap/>
            <w:vAlign w:val="center"/>
            <w:hideMark/>
          </w:tcPr>
          <w:p w14:paraId="7905C4F5"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4" w:space="0" w:color="auto"/>
              <w:right w:val="single" w:sz="8" w:space="0" w:color="auto"/>
            </w:tcBorders>
            <w:shd w:val="clear" w:color="auto" w:fill="auto"/>
            <w:vAlign w:val="center"/>
            <w:hideMark/>
          </w:tcPr>
          <w:p w14:paraId="6D61F1CC"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shd w:val="clear" w:color="auto" w:fill="auto"/>
            <w:vAlign w:val="center"/>
            <w:hideMark/>
          </w:tcPr>
          <w:p w14:paraId="6186169E"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shd w:val="clear" w:color="auto" w:fill="auto"/>
            <w:vAlign w:val="center"/>
            <w:hideMark/>
          </w:tcPr>
          <w:p w14:paraId="701EA0CF"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vAlign w:val="center"/>
          </w:tcPr>
          <w:p w14:paraId="620C173D" w14:textId="77777777" w:rsidR="002C1F32" w:rsidRPr="00F551A2" w:rsidRDefault="002C1F32" w:rsidP="002D7202">
            <w:pPr>
              <w:spacing w:before="60" w:after="60"/>
              <w:rPr>
                <w:rFonts w:ascii="Arial" w:hAnsi="Arial" w:cs="Arial"/>
              </w:rPr>
            </w:pPr>
          </w:p>
        </w:tc>
        <w:tc>
          <w:tcPr>
            <w:tcW w:w="1276" w:type="dxa"/>
            <w:tcBorders>
              <w:top w:val="nil"/>
              <w:left w:val="nil"/>
              <w:bottom w:val="single" w:sz="4" w:space="0" w:color="auto"/>
              <w:right w:val="single" w:sz="8" w:space="0" w:color="auto"/>
            </w:tcBorders>
            <w:vAlign w:val="center"/>
          </w:tcPr>
          <w:p w14:paraId="04E46AB0"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5FC8A739" w14:textId="77777777" w:rsidTr="002D7202">
        <w:trPr>
          <w:cantSplit/>
          <w:trHeight w:val="315"/>
          <w:jc w:val="center"/>
        </w:trPr>
        <w:tc>
          <w:tcPr>
            <w:tcW w:w="65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2BD0C12"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9</w:t>
            </w:r>
          </w:p>
        </w:tc>
        <w:tc>
          <w:tcPr>
            <w:tcW w:w="4743" w:type="dxa"/>
            <w:tcBorders>
              <w:top w:val="single" w:sz="4" w:space="0" w:color="auto"/>
              <w:left w:val="nil"/>
              <w:bottom w:val="single" w:sz="8" w:space="0" w:color="auto"/>
              <w:right w:val="single" w:sz="8" w:space="0" w:color="auto"/>
            </w:tcBorders>
            <w:shd w:val="clear" w:color="auto" w:fill="auto"/>
            <w:noWrap/>
            <w:vAlign w:val="center"/>
            <w:hideMark/>
          </w:tcPr>
          <w:p w14:paraId="3984E874"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Déficit orçamentário de fontes financeiras não vinculadas. Análise da situação consolidada do Município, exceto Autarquias.</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3AD682C8"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Orçamentários</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526407ED"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6290DDB2"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6A95E442" w14:textId="77777777" w:rsidR="002C1F32" w:rsidRPr="00F551A2" w:rsidRDefault="002C1F32" w:rsidP="002D7202">
            <w:pPr>
              <w:spacing w:before="60" w:after="60"/>
              <w:jc w:val="center"/>
              <w:rPr>
                <w:rFonts w:ascii="Arial" w:hAnsi="Arial" w:cs="Arial"/>
                <w:color w:val="000000"/>
                <w:sz w:val="22"/>
                <w:szCs w:val="22"/>
              </w:rPr>
            </w:pP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136295B7" w14:textId="77777777" w:rsidR="002C1F32" w:rsidRPr="00F551A2" w:rsidRDefault="002C1F32" w:rsidP="002D7202">
            <w:pPr>
              <w:spacing w:before="60" w:after="60"/>
              <w:rPr>
                <w:rFonts w:ascii="Arial" w:hAnsi="Arial" w:cs="Arial"/>
                <w:color w:val="000000"/>
                <w:sz w:val="22"/>
                <w:szCs w:val="22"/>
              </w:rPr>
            </w:pPr>
            <w:r w:rsidRPr="00F551A2">
              <w:rPr>
                <w:rFonts w:ascii="Arial" w:hAnsi="Arial" w:cs="Arial"/>
                <w:color w:val="000000"/>
              </w:rPr>
              <w:t>Autarquias</w:t>
            </w:r>
          </w:p>
        </w:tc>
        <w:tc>
          <w:tcPr>
            <w:tcW w:w="1134" w:type="dxa"/>
            <w:tcBorders>
              <w:top w:val="single" w:sz="4" w:space="0" w:color="auto"/>
              <w:left w:val="nil"/>
              <w:bottom w:val="single" w:sz="8" w:space="0" w:color="auto"/>
              <w:right w:val="single" w:sz="8" w:space="0" w:color="auto"/>
            </w:tcBorders>
            <w:vAlign w:val="center"/>
          </w:tcPr>
          <w:p w14:paraId="481649DF"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8" w:space="0" w:color="auto"/>
              <w:right w:val="single" w:sz="8" w:space="0" w:color="auto"/>
            </w:tcBorders>
            <w:vAlign w:val="center"/>
          </w:tcPr>
          <w:p w14:paraId="1A1CD94A" w14:textId="77777777" w:rsidR="002C1F32" w:rsidRPr="00F551A2" w:rsidRDefault="002C1F32" w:rsidP="002D7202">
            <w:pPr>
              <w:spacing w:before="60" w:after="60"/>
              <w:rPr>
                <w:rFonts w:ascii="Arial" w:hAnsi="Arial" w:cs="Arial"/>
              </w:rPr>
            </w:pPr>
          </w:p>
        </w:tc>
      </w:tr>
      <w:tr w:rsidR="002C1F32" w:rsidRPr="00F551A2" w14:paraId="623E3A56" w14:textId="77777777" w:rsidTr="002D7202">
        <w:trPr>
          <w:cantSplit/>
          <w:trHeight w:val="525"/>
          <w:jc w:val="center"/>
        </w:trPr>
        <w:tc>
          <w:tcPr>
            <w:tcW w:w="659" w:type="dxa"/>
            <w:tcBorders>
              <w:top w:val="nil"/>
              <w:left w:val="single" w:sz="8" w:space="0" w:color="auto"/>
              <w:bottom w:val="single" w:sz="8" w:space="0" w:color="auto"/>
              <w:right w:val="single" w:sz="8" w:space="0" w:color="auto"/>
            </w:tcBorders>
            <w:shd w:val="clear" w:color="auto" w:fill="auto"/>
            <w:noWrap/>
            <w:vAlign w:val="center"/>
          </w:tcPr>
          <w:p w14:paraId="2FC43084"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10</w:t>
            </w:r>
          </w:p>
        </w:tc>
        <w:tc>
          <w:tcPr>
            <w:tcW w:w="4743" w:type="dxa"/>
            <w:tcBorders>
              <w:top w:val="nil"/>
              <w:left w:val="nil"/>
              <w:bottom w:val="single" w:sz="8" w:space="0" w:color="auto"/>
              <w:right w:val="single" w:sz="8" w:space="0" w:color="auto"/>
            </w:tcBorders>
            <w:shd w:val="clear" w:color="auto" w:fill="auto"/>
            <w:noWrap/>
            <w:vAlign w:val="center"/>
          </w:tcPr>
          <w:p w14:paraId="148606A1"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Ilegalidade das alterações orçamentárias com ênfase especial quanto à abertura de créditos adicionais suplementares e especiais, configurando execução de créditos orçamentários sem autorização do Legislativo.</w:t>
            </w:r>
          </w:p>
          <w:p w14:paraId="74B91DAF" w14:textId="77777777" w:rsidR="002C1F32" w:rsidRPr="00F551A2" w:rsidRDefault="002C1F32" w:rsidP="002D7202">
            <w:pPr>
              <w:spacing w:before="60" w:after="60"/>
              <w:jc w:val="both"/>
              <w:rPr>
                <w:rFonts w:ascii="Arial" w:hAnsi="Arial" w:cs="Arial"/>
                <w:color w:val="000000"/>
              </w:rPr>
            </w:pPr>
          </w:p>
          <w:p w14:paraId="7CB4C28C" w14:textId="77777777" w:rsidR="002C1F32" w:rsidRPr="00F551A2" w:rsidRDefault="002C1F32" w:rsidP="002D7202">
            <w:pPr>
              <w:spacing w:before="60" w:after="60"/>
              <w:jc w:val="both"/>
              <w:rPr>
                <w:rFonts w:ascii="Arial" w:hAnsi="Arial" w:cs="Arial"/>
                <w:b/>
                <w:color w:val="000000"/>
              </w:rPr>
            </w:pPr>
            <w:r w:rsidRPr="00F551A2">
              <w:rPr>
                <w:rFonts w:ascii="Arial" w:hAnsi="Arial" w:cs="Arial"/>
                <w:color w:val="000000"/>
              </w:rPr>
              <w:t>(Amostragem abrangendo apenas contas com ocorrências de déficit).</w:t>
            </w:r>
          </w:p>
        </w:tc>
        <w:tc>
          <w:tcPr>
            <w:tcW w:w="1559" w:type="dxa"/>
            <w:tcBorders>
              <w:top w:val="nil"/>
              <w:left w:val="nil"/>
              <w:bottom w:val="single" w:sz="8" w:space="0" w:color="auto"/>
              <w:right w:val="single" w:sz="8" w:space="0" w:color="auto"/>
            </w:tcBorders>
            <w:shd w:val="clear" w:color="auto" w:fill="auto"/>
            <w:noWrap/>
            <w:vAlign w:val="center"/>
          </w:tcPr>
          <w:p w14:paraId="3D987E5A"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Orçamentários</w:t>
            </w:r>
          </w:p>
        </w:tc>
        <w:tc>
          <w:tcPr>
            <w:tcW w:w="1276" w:type="dxa"/>
            <w:tcBorders>
              <w:top w:val="nil"/>
              <w:left w:val="nil"/>
              <w:bottom w:val="single" w:sz="8" w:space="0" w:color="auto"/>
              <w:right w:val="single" w:sz="8" w:space="0" w:color="auto"/>
            </w:tcBorders>
            <w:shd w:val="clear" w:color="auto" w:fill="auto"/>
            <w:noWrap/>
            <w:vAlign w:val="center"/>
          </w:tcPr>
          <w:p w14:paraId="1E342886"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8" w:space="0" w:color="auto"/>
              <w:right w:val="single" w:sz="8" w:space="0" w:color="auto"/>
            </w:tcBorders>
            <w:shd w:val="clear" w:color="auto" w:fill="auto"/>
            <w:vAlign w:val="center"/>
          </w:tcPr>
          <w:p w14:paraId="520370C0"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tcPr>
          <w:p w14:paraId="690947F2"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tcPr>
          <w:p w14:paraId="2419F2B8"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vAlign w:val="center"/>
          </w:tcPr>
          <w:p w14:paraId="12815496" w14:textId="77777777" w:rsidR="002C1F32" w:rsidRPr="00F551A2" w:rsidRDefault="002C1F32" w:rsidP="002D7202">
            <w:pPr>
              <w:spacing w:before="60" w:after="60"/>
              <w:jc w:val="center"/>
              <w:rPr>
                <w:rFonts w:ascii="Arial" w:hAnsi="Arial" w:cs="Arial"/>
                <w:color w:val="000000"/>
              </w:rPr>
            </w:pPr>
          </w:p>
        </w:tc>
        <w:tc>
          <w:tcPr>
            <w:tcW w:w="1276" w:type="dxa"/>
            <w:tcBorders>
              <w:top w:val="nil"/>
              <w:left w:val="nil"/>
              <w:bottom w:val="single" w:sz="8" w:space="0" w:color="auto"/>
              <w:right w:val="single" w:sz="8" w:space="0" w:color="auto"/>
            </w:tcBorders>
            <w:vAlign w:val="center"/>
          </w:tcPr>
          <w:p w14:paraId="0696CCDF"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028E5850" w14:textId="77777777" w:rsidTr="002D7202">
        <w:trPr>
          <w:cantSplit/>
          <w:trHeight w:val="315"/>
          <w:jc w:val="center"/>
        </w:trPr>
        <w:tc>
          <w:tcPr>
            <w:tcW w:w="65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850DF58"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11</w:t>
            </w:r>
          </w:p>
        </w:tc>
        <w:tc>
          <w:tcPr>
            <w:tcW w:w="4743" w:type="dxa"/>
            <w:tcBorders>
              <w:top w:val="single" w:sz="4" w:space="0" w:color="auto"/>
              <w:left w:val="nil"/>
              <w:bottom w:val="single" w:sz="8" w:space="0" w:color="auto"/>
              <w:right w:val="single" w:sz="8" w:space="0" w:color="auto"/>
            </w:tcBorders>
            <w:shd w:val="clear" w:color="auto" w:fill="auto"/>
            <w:noWrap/>
            <w:vAlign w:val="center"/>
          </w:tcPr>
          <w:p w14:paraId="2194EE3D"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 xml:space="preserve">Despesas de Exercícios Anteriores (DEA) sem preexistência de créditos suficientes no orçamento respectivo à competência da despesa. </w:t>
            </w:r>
          </w:p>
          <w:p w14:paraId="698467A2" w14:textId="77777777" w:rsidR="002C1F32" w:rsidRPr="00F551A2" w:rsidRDefault="002C1F32" w:rsidP="002D7202">
            <w:pPr>
              <w:spacing w:before="60" w:after="60"/>
              <w:jc w:val="both"/>
              <w:rPr>
                <w:rFonts w:ascii="Arial" w:hAnsi="Arial" w:cs="Arial"/>
                <w:color w:val="000000"/>
              </w:rPr>
            </w:pPr>
          </w:p>
          <w:p w14:paraId="1788AB03"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 xml:space="preserve">(Amostragem abrangendo apenas municípios com mandatários reeleitos). </w:t>
            </w:r>
          </w:p>
        </w:tc>
        <w:tc>
          <w:tcPr>
            <w:tcW w:w="1559" w:type="dxa"/>
            <w:tcBorders>
              <w:top w:val="single" w:sz="4" w:space="0" w:color="auto"/>
              <w:left w:val="nil"/>
              <w:bottom w:val="single" w:sz="8" w:space="0" w:color="auto"/>
              <w:right w:val="single" w:sz="8" w:space="0" w:color="auto"/>
            </w:tcBorders>
            <w:shd w:val="clear" w:color="auto" w:fill="auto"/>
            <w:noWrap/>
            <w:vAlign w:val="center"/>
          </w:tcPr>
          <w:p w14:paraId="711560E9"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Orçamentários</w:t>
            </w:r>
          </w:p>
        </w:tc>
        <w:tc>
          <w:tcPr>
            <w:tcW w:w="1276" w:type="dxa"/>
            <w:tcBorders>
              <w:top w:val="single" w:sz="4" w:space="0" w:color="auto"/>
              <w:left w:val="nil"/>
              <w:bottom w:val="single" w:sz="8" w:space="0" w:color="auto"/>
              <w:right w:val="single" w:sz="8" w:space="0" w:color="auto"/>
            </w:tcBorders>
            <w:shd w:val="clear" w:color="auto" w:fill="auto"/>
            <w:noWrap/>
            <w:vAlign w:val="center"/>
          </w:tcPr>
          <w:p w14:paraId="5C33CE24"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8" w:space="0" w:color="auto"/>
              <w:right w:val="single" w:sz="8" w:space="0" w:color="auto"/>
            </w:tcBorders>
            <w:shd w:val="clear" w:color="auto" w:fill="auto"/>
            <w:vAlign w:val="center"/>
          </w:tcPr>
          <w:p w14:paraId="4A7832E3"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8" w:space="0" w:color="auto"/>
              <w:right w:val="single" w:sz="8" w:space="0" w:color="auto"/>
            </w:tcBorders>
            <w:shd w:val="clear" w:color="auto" w:fill="auto"/>
            <w:vAlign w:val="center"/>
          </w:tcPr>
          <w:p w14:paraId="00451951"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8" w:space="0" w:color="auto"/>
              <w:right w:val="single" w:sz="8" w:space="0" w:color="auto"/>
            </w:tcBorders>
            <w:shd w:val="clear" w:color="auto" w:fill="auto"/>
            <w:vAlign w:val="center"/>
          </w:tcPr>
          <w:p w14:paraId="75E8ECA6" w14:textId="77777777" w:rsidR="002C1F32" w:rsidRPr="00F551A2" w:rsidRDefault="002C1F32" w:rsidP="002D7202">
            <w:pPr>
              <w:spacing w:before="60" w:after="60"/>
              <w:jc w:val="center"/>
              <w:rPr>
                <w:rFonts w:ascii="Arial" w:hAnsi="Arial" w:cs="Arial"/>
                <w:color w:val="000000"/>
              </w:rPr>
            </w:pPr>
          </w:p>
        </w:tc>
        <w:tc>
          <w:tcPr>
            <w:tcW w:w="1134" w:type="dxa"/>
            <w:tcBorders>
              <w:top w:val="single" w:sz="4" w:space="0" w:color="auto"/>
              <w:left w:val="nil"/>
              <w:bottom w:val="single" w:sz="8" w:space="0" w:color="auto"/>
              <w:right w:val="single" w:sz="8" w:space="0" w:color="auto"/>
            </w:tcBorders>
            <w:vAlign w:val="center"/>
          </w:tcPr>
          <w:p w14:paraId="03CB8D4D" w14:textId="77777777" w:rsidR="002C1F32" w:rsidRPr="00F551A2" w:rsidRDefault="002C1F32" w:rsidP="002D7202">
            <w:pPr>
              <w:spacing w:before="60" w:after="60"/>
              <w:jc w:val="center"/>
              <w:rPr>
                <w:rFonts w:ascii="Arial" w:hAnsi="Arial" w:cs="Arial"/>
                <w:color w:val="000000"/>
              </w:rPr>
            </w:pPr>
          </w:p>
        </w:tc>
        <w:tc>
          <w:tcPr>
            <w:tcW w:w="1276" w:type="dxa"/>
            <w:tcBorders>
              <w:top w:val="single" w:sz="4" w:space="0" w:color="auto"/>
              <w:left w:val="nil"/>
              <w:bottom w:val="single" w:sz="8" w:space="0" w:color="auto"/>
              <w:right w:val="single" w:sz="8" w:space="0" w:color="auto"/>
            </w:tcBorders>
            <w:vAlign w:val="center"/>
          </w:tcPr>
          <w:p w14:paraId="32F8818A" w14:textId="77777777" w:rsidR="002C1F32" w:rsidRPr="00F551A2" w:rsidRDefault="002C1F32" w:rsidP="002D7202">
            <w:pPr>
              <w:spacing w:before="60" w:after="60"/>
              <w:jc w:val="center"/>
              <w:rPr>
                <w:rFonts w:ascii="Arial" w:hAnsi="Arial" w:cs="Arial"/>
                <w:color w:val="000000"/>
              </w:rPr>
            </w:pPr>
          </w:p>
        </w:tc>
      </w:tr>
      <w:tr w:rsidR="002C1F32" w:rsidRPr="00F551A2" w14:paraId="28A1AD52" w14:textId="77777777" w:rsidTr="002D7202">
        <w:trPr>
          <w:cantSplit/>
          <w:trHeight w:val="525"/>
          <w:jc w:val="center"/>
        </w:trPr>
        <w:tc>
          <w:tcPr>
            <w:tcW w:w="659" w:type="dxa"/>
            <w:tcBorders>
              <w:top w:val="nil"/>
              <w:left w:val="single" w:sz="8" w:space="0" w:color="auto"/>
              <w:bottom w:val="single" w:sz="8" w:space="0" w:color="auto"/>
              <w:right w:val="single" w:sz="8" w:space="0" w:color="auto"/>
            </w:tcBorders>
            <w:shd w:val="clear" w:color="auto" w:fill="auto"/>
            <w:noWrap/>
            <w:vAlign w:val="center"/>
          </w:tcPr>
          <w:p w14:paraId="29DEABFD"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12</w:t>
            </w:r>
          </w:p>
        </w:tc>
        <w:tc>
          <w:tcPr>
            <w:tcW w:w="4743" w:type="dxa"/>
            <w:tcBorders>
              <w:top w:val="nil"/>
              <w:left w:val="nil"/>
              <w:bottom w:val="single" w:sz="8" w:space="0" w:color="auto"/>
              <w:right w:val="single" w:sz="8" w:space="0" w:color="auto"/>
            </w:tcBorders>
            <w:shd w:val="clear" w:color="auto" w:fill="auto"/>
            <w:noWrap/>
            <w:vAlign w:val="center"/>
          </w:tcPr>
          <w:p w14:paraId="5E78C1DB"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Diferenças nos registros de Transferências Constitucionais. Amostragem considera os repasses de FPM, ICMS, IPVA e Royalties da Itaipu Binacional.</w:t>
            </w:r>
          </w:p>
        </w:tc>
        <w:tc>
          <w:tcPr>
            <w:tcW w:w="1559" w:type="dxa"/>
            <w:tcBorders>
              <w:top w:val="nil"/>
              <w:left w:val="nil"/>
              <w:bottom w:val="single" w:sz="8" w:space="0" w:color="auto"/>
              <w:right w:val="single" w:sz="8" w:space="0" w:color="auto"/>
            </w:tcBorders>
            <w:shd w:val="clear" w:color="auto" w:fill="auto"/>
            <w:noWrap/>
            <w:vAlign w:val="center"/>
          </w:tcPr>
          <w:p w14:paraId="59B1E133"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Financeiros</w:t>
            </w:r>
          </w:p>
        </w:tc>
        <w:tc>
          <w:tcPr>
            <w:tcW w:w="1276" w:type="dxa"/>
            <w:tcBorders>
              <w:top w:val="nil"/>
              <w:left w:val="nil"/>
              <w:bottom w:val="single" w:sz="8" w:space="0" w:color="auto"/>
              <w:right w:val="single" w:sz="8" w:space="0" w:color="auto"/>
            </w:tcBorders>
            <w:shd w:val="clear" w:color="auto" w:fill="auto"/>
            <w:noWrap/>
            <w:vAlign w:val="center"/>
          </w:tcPr>
          <w:p w14:paraId="181937EC"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8" w:space="0" w:color="auto"/>
              <w:right w:val="single" w:sz="8" w:space="0" w:color="auto"/>
            </w:tcBorders>
            <w:shd w:val="clear" w:color="auto" w:fill="auto"/>
            <w:vAlign w:val="center"/>
          </w:tcPr>
          <w:p w14:paraId="1A831CC6"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tcPr>
          <w:p w14:paraId="32F388B6" w14:textId="77777777" w:rsidR="002C1F32" w:rsidRPr="00F551A2" w:rsidRDefault="002C1F32" w:rsidP="002D7202">
            <w:pPr>
              <w:spacing w:before="60" w:after="60"/>
              <w:rPr>
                <w:rFonts w:ascii="Arial" w:hAnsi="Arial" w:cs="Arial"/>
              </w:rPr>
            </w:pPr>
          </w:p>
        </w:tc>
        <w:tc>
          <w:tcPr>
            <w:tcW w:w="1134" w:type="dxa"/>
            <w:tcBorders>
              <w:top w:val="nil"/>
              <w:left w:val="nil"/>
              <w:bottom w:val="single" w:sz="8" w:space="0" w:color="auto"/>
              <w:right w:val="single" w:sz="8" w:space="0" w:color="auto"/>
            </w:tcBorders>
            <w:shd w:val="clear" w:color="auto" w:fill="auto"/>
            <w:vAlign w:val="center"/>
          </w:tcPr>
          <w:p w14:paraId="43D06B1C" w14:textId="77777777" w:rsidR="002C1F32" w:rsidRPr="00F551A2" w:rsidRDefault="002C1F32" w:rsidP="002D7202">
            <w:pPr>
              <w:spacing w:before="60" w:after="60"/>
              <w:rPr>
                <w:rFonts w:ascii="Arial" w:hAnsi="Arial" w:cs="Arial"/>
              </w:rPr>
            </w:pPr>
          </w:p>
        </w:tc>
        <w:tc>
          <w:tcPr>
            <w:tcW w:w="1134" w:type="dxa"/>
            <w:tcBorders>
              <w:top w:val="nil"/>
              <w:left w:val="nil"/>
              <w:bottom w:val="single" w:sz="8" w:space="0" w:color="auto"/>
              <w:right w:val="single" w:sz="8" w:space="0" w:color="auto"/>
            </w:tcBorders>
            <w:vAlign w:val="center"/>
          </w:tcPr>
          <w:p w14:paraId="2DA9E578" w14:textId="77777777" w:rsidR="002C1F32" w:rsidRPr="00F551A2" w:rsidRDefault="002C1F32" w:rsidP="002D7202">
            <w:pPr>
              <w:spacing w:before="60" w:after="60"/>
              <w:rPr>
                <w:rFonts w:ascii="Arial" w:hAnsi="Arial" w:cs="Arial"/>
              </w:rPr>
            </w:pPr>
          </w:p>
        </w:tc>
        <w:tc>
          <w:tcPr>
            <w:tcW w:w="1276" w:type="dxa"/>
            <w:tcBorders>
              <w:top w:val="nil"/>
              <w:left w:val="nil"/>
              <w:bottom w:val="single" w:sz="8" w:space="0" w:color="auto"/>
              <w:right w:val="single" w:sz="8" w:space="0" w:color="auto"/>
            </w:tcBorders>
            <w:vAlign w:val="center"/>
          </w:tcPr>
          <w:p w14:paraId="69D4ED54" w14:textId="77777777" w:rsidR="002C1F32" w:rsidRPr="00F551A2" w:rsidRDefault="002C1F32" w:rsidP="002D7202">
            <w:pPr>
              <w:spacing w:before="60" w:after="60"/>
              <w:rPr>
                <w:rFonts w:ascii="Arial" w:hAnsi="Arial" w:cs="Arial"/>
              </w:rPr>
            </w:pPr>
          </w:p>
        </w:tc>
      </w:tr>
      <w:tr w:rsidR="002C1F32" w:rsidRPr="00F551A2" w14:paraId="213AF6F3" w14:textId="77777777" w:rsidTr="002D7202">
        <w:trPr>
          <w:cantSplit/>
          <w:trHeight w:val="525"/>
          <w:jc w:val="center"/>
        </w:trPr>
        <w:tc>
          <w:tcPr>
            <w:tcW w:w="659" w:type="dxa"/>
            <w:tcBorders>
              <w:top w:val="nil"/>
              <w:left w:val="single" w:sz="8" w:space="0" w:color="auto"/>
              <w:bottom w:val="single" w:sz="8" w:space="0" w:color="auto"/>
              <w:right w:val="single" w:sz="8" w:space="0" w:color="auto"/>
            </w:tcBorders>
            <w:shd w:val="clear" w:color="auto" w:fill="auto"/>
            <w:noWrap/>
            <w:vAlign w:val="center"/>
            <w:hideMark/>
          </w:tcPr>
          <w:p w14:paraId="5D82FBA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13</w:t>
            </w:r>
          </w:p>
        </w:tc>
        <w:tc>
          <w:tcPr>
            <w:tcW w:w="4743" w:type="dxa"/>
            <w:tcBorders>
              <w:top w:val="nil"/>
              <w:left w:val="nil"/>
              <w:bottom w:val="single" w:sz="8" w:space="0" w:color="auto"/>
              <w:right w:val="single" w:sz="8" w:space="0" w:color="auto"/>
            </w:tcBorders>
            <w:shd w:val="clear" w:color="auto" w:fill="auto"/>
            <w:noWrap/>
            <w:vAlign w:val="center"/>
            <w:hideMark/>
          </w:tcPr>
          <w:p w14:paraId="04FD1FD8"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 xml:space="preserve">Avaliação da obrigatoriedade de prévio empenho de despesas – existência de despesas pagas e não empenhadas no exercício. Falta de medidas para regularização de saldos anteriores e ocorrência de incremento no saldo anterior. </w:t>
            </w:r>
          </w:p>
        </w:tc>
        <w:tc>
          <w:tcPr>
            <w:tcW w:w="1559" w:type="dxa"/>
            <w:tcBorders>
              <w:top w:val="nil"/>
              <w:left w:val="nil"/>
              <w:bottom w:val="single" w:sz="8" w:space="0" w:color="auto"/>
              <w:right w:val="single" w:sz="8" w:space="0" w:color="auto"/>
            </w:tcBorders>
            <w:shd w:val="clear" w:color="auto" w:fill="auto"/>
            <w:noWrap/>
            <w:vAlign w:val="center"/>
            <w:hideMark/>
          </w:tcPr>
          <w:p w14:paraId="7DBB63B4"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Orçamentários/</w:t>
            </w:r>
          </w:p>
          <w:p w14:paraId="18ECE01D"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Financeiros</w:t>
            </w:r>
          </w:p>
        </w:tc>
        <w:tc>
          <w:tcPr>
            <w:tcW w:w="1276" w:type="dxa"/>
            <w:tcBorders>
              <w:top w:val="nil"/>
              <w:left w:val="nil"/>
              <w:bottom w:val="single" w:sz="8" w:space="0" w:color="auto"/>
              <w:right w:val="single" w:sz="8" w:space="0" w:color="auto"/>
            </w:tcBorders>
            <w:shd w:val="clear" w:color="auto" w:fill="auto"/>
            <w:noWrap/>
            <w:vAlign w:val="center"/>
            <w:hideMark/>
          </w:tcPr>
          <w:p w14:paraId="525E656B"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8" w:space="0" w:color="auto"/>
              <w:right w:val="single" w:sz="8" w:space="0" w:color="auto"/>
            </w:tcBorders>
            <w:shd w:val="clear" w:color="auto" w:fill="auto"/>
            <w:vAlign w:val="center"/>
            <w:hideMark/>
          </w:tcPr>
          <w:p w14:paraId="0A658C2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hideMark/>
          </w:tcPr>
          <w:p w14:paraId="74BE2BD9"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hideMark/>
          </w:tcPr>
          <w:p w14:paraId="3EA51DD1"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vAlign w:val="center"/>
          </w:tcPr>
          <w:p w14:paraId="5F75A9AC" w14:textId="77777777" w:rsidR="002C1F32" w:rsidRPr="00F551A2" w:rsidRDefault="002C1F32" w:rsidP="002D7202">
            <w:pPr>
              <w:spacing w:before="60" w:after="60"/>
              <w:jc w:val="center"/>
              <w:rPr>
                <w:rFonts w:ascii="Arial" w:hAnsi="Arial" w:cs="Arial"/>
              </w:rPr>
            </w:pPr>
            <w:r w:rsidRPr="00F551A2">
              <w:rPr>
                <w:rFonts w:ascii="Arial" w:hAnsi="Arial" w:cs="Arial"/>
                <w:color w:val="000000"/>
              </w:rPr>
              <w:t>X</w:t>
            </w:r>
          </w:p>
        </w:tc>
        <w:tc>
          <w:tcPr>
            <w:tcW w:w="1276" w:type="dxa"/>
            <w:tcBorders>
              <w:top w:val="nil"/>
              <w:left w:val="nil"/>
              <w:bottom w:val="single" w:sz="8" w:space="0" w:color="auto"/>
              <w:right w:val="single" w:sz="8" w:space="0" w:color="auto"/>
            </w:tcBorders>
            <w:vAlign w:val="center"/>
          </w:tcPr>
          <w:p w14:paraId="3FFB2804" w14:textId="77777777" w:rsidR="002C1F32" w:rsidRPr="00F551A2" w:rsidRDefault="002C1F32" w:rsidP="002D7202">
            <w:pPr>
              <w:spacing w:before="60" w:after="60"/>
              <w:jc w:val="center"/>
              <w:rPr>
                <w:rFonts w:ascii="Arial" w:hAnsi="Arial" w:cs="Arial"/>
              </w:rPr>
            </w:pPr>
            <w:r w:rsidRPr="00F551A2">
              <w:rPr>
                <w:rFonts w:ascii="Arial" w:hAnsi="Arial" w:cs="Arial"/>
                <w:color w:val="000000"/>
              </w:rPr>
              <w:t>X</w:t>
            </w:r>
          </w:p>
        </w:tc>
      </w:tr>
      <w:tr w:rsidR="002C1F32" w:rsidRPr="00F551A2" w14:paraId="78CD1339" w14:textId="77777777" w:rsidTr="002D7202">
        <w:trPr>
          <w:cantSplit/>
          <w:trHeight w:val="525"/>
          <w:jc w:val="center"/>
        </w:trPr>
        <w:tc>
          <w:tcPr>
            <w:tcW w:w="659" w:type="dxa"/>
            <w:tcBorders>
              <w:top w:val="nil"/>
              <w:left w:val="single" w:sz="8" w:space="0" w:color="auto"/>
              <w:bottom w:val="single" w:sz="8" w:space="0" w:color="auto"/>
              <w:right w:val="single" w:sz="8" w:space="0" w:color="auto"/>
            </w:tcBorders>
            <w:shd w:val="clear" w:color="auto" w:fill="auto"/>
            <w:noWrap/>
            <w:vAlign w:val="center"/>
            <w:hideMark/>
          </w:tcPr>
          <w:p w14:paraId="6E20856B"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lastRenderedPageBreak/>
              <w:t>14</w:t>
            </w:r>
          </w:p>
        </w:tc>
        <w:tc>
          <w:tcPr>
            <w:tcW w:w="4743" w:type="dxa"/>
            <w:tcBorders>
              <w:top w:val="nil"/>
              <w:left w:val="nil"/>
              <w:bottom w:val="single" w:sz="8" w:space="0" w:color="auto"/>
              <w:right w:val="single" w:sz="8" w:space="0" w:color="auto"/>
            </w:tcBorders>
            <w:shd w:val="clear" w:color="auto" w:fill="auto"/>
            <w:noWrap/>
            <w:vAlign w:val="center"/>
            <w:hideMark/>
          </w:tcPr>
          <w:p w14:paraId="70AB3C19"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Conta bancária com divergência de saldo não comprovada. (Responsáveis por diferenças em conta bancária a apurar).  Imputação de responsabilidade ao gestor por diferenças em contas correntes bancárias. Falta de medidas para regularização de saldos anteriores e ocorrência de incremento no saldo anterior.</w:t>
            </w:r>
          </w:p>
        </w:tc>
        <w:tc>
          <w:tcPr>
            <w:tcW w:w="1559" w:type="dxa"/>
            <w:tcBorders>
              <w:top w:val="nil"/>
              <w:left w:val="nil"/>
              <w:bottom w:val="single" w:sz="8" w:space="0" w:color="auto"/>
              <w:right w:val="single" w:sz="8" w:space="0" w:color="auto"/>
            </w:tcBorders>
            <w:shd w:val="clear" w:color="auto" w:fill="auto"/>
            <w:noWrap/>
            <w:vAlign w:val="center"/>
            <w:hideMark/>
          </w:tcPr>
          <w:p w14:paraId="742D9060"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Financeiros</w:t>
            </w:r>
          </w:p>
        </w:tc>
        <w:tc>
          <w:tcPr>
            <w:tcW w:w="1276" w:type="dxa"/>
            <w:tcBorders>
              <w:top w:val="nil"/>
              <w:left w:val="nil"/>
              <w:bottom w:val="single" w:sz="8" w:space="0" w:color="auto"/>
              <w:right w:val="single" w:sz="8" w:space="0" w:color="auto"/>
            </w:tcBorders>
            <w:shd w:val="clear" w:color="auto" w:fill="auto"/>
            <w:noWrap/>
            <w:vAlign w:val="center"/>
            <w:hideMark/>
          </w:tcPr>
          <w:p w14:paraId="1308B87A"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8" w:space="0" w:color="auto"/>
              <w:right w:val="single" w:sz="8" w:space="0" w:color="auto"/>
            </w:tcBorders>
            <w:shd w:val="clear" w:color="auto" w:fill="auto"/>
            <w:vAlign w:val="center"/>
            <w:hideMark/>
          </w:tcPr>
          <w:p w14:paraId="5099CEB3"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hideMark/>
          </w:tcPr>
          <w:p w14:paraId="379B9394"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hideMark/>
          </w:tcPr>
          <w:p w14:paraId="6679537B"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vAlign w:val="center"/>
          </w:tcPr>
          <w:p w14:paraId="578470CC" w14:textId="77777777" w:rsidR="002C1F32" w:rsidRPr="00F551A2" w:rsidRDefault="002C1F32" w:rsidP="002D7202">
            <w:pPr>
              <w:spacing w:before="60" w:after="60"/>
              <w:jc w:val="center"/>
              <w:rPr>
                <w:rFonts w:ascii="Arial" w:hAnsi="Arial" w:cs="Arial"/>
              </w:rPr>
            </w:pPr>
            <w:r w:rsidRPr="00F551A2">
              <w:rPr>
                <w:rFonts w:ascii="Arial" w:hAnsi="Arial" w:cs="Arial"/>
                <w:color w:val="000000"/>
              </w:rPr>
              <w:t>X</w:t>
            </w:r>
          </w:p>
        </w:tc>
        <w:tc>
          <w:tcPr>
            <w:tcW w:w="1276" w:type="dxa"/>
            <w:tcBorders>
              <w:top w:val="nil"/>
              <w:left w:val="nil"/>
              <w:bottom w:val="single" w:sz="8" w:space="0" w:color="auto"/>
              <w:right w:val="single" w:sz="8" w:space="0" w:color="auto"/>
            </w:tcBorders>
            <w:vAlign w:val="center"/>
          </w:tcPr>
          <w:p w14:paraId="0EE81728" w14:textId="77777777" w:rsidR="002C1F32" w:rsidRPr="00F551A2" w:rsidRDefault="002C1F32" w:rsidP="002D7202">
            <w:pPr>
              <w:spacing w:before="60" w:after="60"/>
              <w:jc w:val="center"/>
              <w:rPr>
                <w:rFonts w:ascii="Arial" w:hAnsi="Arial" w:cs="Arial"/>
              </w:rPr>
            </w:pPr>
            <w:r w:rsidRPr="00F551A2">
              <w:rPr>
                <w:rFonts w:ascii="Arial" w:hAnsi="Arial" w:cs="Arial"/>
                <w:color w:val="000000"/>
              </w:rPr>
              <w:t>X</w:t>
            </w:r>
          </w:p>
        </w:tc>
      </w:tr>
      <w:tr w:rsidR="002C1F32" w:rsidRPr="00F551A2" w14:paraId="4C590BE4" w14:textId="77777777" w:rsidTr="002D7202">
        <w:trPr>
          <w:cantSplit/>
          <w:trHeight w:val="525"/>
          <w:jc w:val="center"/>
        </w:trPr>
        <w:tc>
          <w:tcPr>
            <w:tcW w:w="659" w:type="dxa"/>
            <w:tcBorders>
              <w:top w:val="nil"/>
              <w:left w:val="single" w:sz="8" w:space="0" w:color="auto"/>
              <w:bottom w:val="single" w:sz="8" w:space="0" w:color="auto"/>
              <w:right w:val="single" w:sz="8" w:space="0" w:color="auto"/>
            </w:tcBorders>
            <w:shd w:val="clear" w:color="auto" w:fill="auto"/>
            <w:noWrap/>
            <w:vAlign w:val="center"/>
          </w:tcPr>
          <w:p w14:paraId="6E676CA9"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15</w:t>
            </w:r>
          </w:p>
        </w:tc>
        <w:tc>
          <w:tcPr>
            <w:tcW w:w="4743" w:type="dxa"/>
            <w:tcBorders>
              <w:top w:val="nil"/>
              <w:left w:val="nil"/>
              <w:bottom w:val="single" w:sz="8" w:space="0" w:color="auto"/>
              <w:right w:val="single" w:sz="8" w:space="0" w:color="auto"/>
            </w:tcBorders>
            <w:shd w:val="clear" w:color="auto" w:fill="auto"/>
            <w:noWrap/>
            <w:vAlign w:val="center"/>
          </w:tcPr>
          <w:p w14:paraId="10C09273"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Contas bancárias com saldos a descoberto.</w:t>
            </w:r>
          </w:p>
        </w:tc>
        <w:tc>
          <w:tcPr>
            <w:tcW w:w="1559" w:type="dxa"/>
            <w:tcBorders>
              <w:top w:val="nil"/>
              <w:left w:val="nil"/>
              <w:bottom w:val="single" w:sz="8" w:space="0" w:color="auto"/>
              <w:right w:val="single" w:sz="8" w:space="0" w:color="auto"/>
            </w:tcBorders>
            <w:shd w:val="clear" w:color="auto" w:fill="auto"/>
            <w:noWrap/>
            <w:vAlign w:val="center"/>
          </w:tcPr>
          <w:p w14:paraId="46BEED6A"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Financeiros</w:t>
            </w:r>
          </w:p>
        </w:tc>
        <w:tc>
          <w:tcPr>
            <w:tcW w:w="1276" w:type="dxa"/>
            <w:tcBorders>
              <w:top w:val="nil"/>
              <w:left w:val="nil"/>
              <w:bottom w:val="single" w:sz="8" w:space="0" w:color="auto"/>
              <w:right w:val="single" w:sz="8" w:space="0" w:color="auto"/>
            </w:tcBorders>
            <w:shd w:val="clear" w:color="auto" w:fill="auto"/>
            <w:noWrap/>
            <w:vAlign w:val="center"/>
          </w:tcPr>
          <w:p w14:paraId="25A6D8B8"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8" w:space="0" w:color="auto"/>
              <w:right w:val="single" w:sz="8" w:space="0" w:color="auto"/>
            </w:tcBorders>
            <w:shd w:val="clear" w:color="auto" w:fill="auto"/>
            <w:vAlign w:val="center"/>
          </w:tcPr>
          <w:p w14:paraId="0CD4E330"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tcPr>
          <w:p w14:paraId="5E1C61D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tcPr>
          <w:p w14:paraId="01E20778"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vAlign w:val="center"/>
          </w:tcPr>
          <w:p w14:paraId="574526F6" w14:textId="77777777" w:rsidR="002C1F32" w:rsidRPr="00F551A2" w:rsidRDefault="002C1F32" w:rsidP="002D7202">
            <w:pPr>
              <w:spacing w:before="60" w:after="60"/>
              <w:jc w:val="center"/>
              <w:rPr>
                <w:rFonts w:ascii="Arial" w:hAnsi="Arial" w:cs="Arial"/>
              </w:rPr>
            </w:pPr>
            <w:r w:rsidRPr="00F551A2">
              <w:rPr>
                <w:rFonts w:ascii="Arial" w:hAnsi="Arial" w:cs="Arial"/>
                <w:color w:val="000000"/>
              </w:rPr>
              <w:t>X</w:t>
            </w:r>
          </w:p>
        </w:tc>
        <w:tc>
          <w:tcPr>
            <w:tcW w:w="1276" w:type="dxa"/>
            <w:tcBorders>
              <w:top w:val="nil"/>
              <w:left w:val="nil"/>
              <w:bottom w:val="single" w:sz="8" w:space="0" w:color="auto"/>
              <w:right w:val="single" w:sz="8" w:space="0" w:color="auto"/>
            </w:tcBorders>
            <w:vAlign w:val="center"/>
          </w:tcPr>
          <w:p w14:paraId="12F49732" w14:textId="77777777" w:rsidR="002C1F32" w:rsidRPr="00F551A2" w:rsidRDefault="002C1F32" w:rsidP="002D7202">
            <w:pPr>
              <w:spacing w:before="60" w:after="60"/>
              <w:jc w:val="center"/>
              <w:rPr>
                <w:rFonts w:ascii="Arial" w:hAnsi="Arial" w:cs="Arial"/>
              </w:rPr>
            </w:pPr>
            <w:r w:rsidRPr="00F551A2">
              <w:rPr>
                <w:rFonts w:ascii="Arial" w:hAnsi="Arial" w:cs="Arial"/>
                <w:color w:val="000000"/>
              </w:rPr>
              <w:t>X</w:t>
            </w:r>
          </w:p>
        </w:tc>
      </w:tr>
      <w:tr w:rsidR="002C1F32" w:rsidRPr="00F551A2" w14:paraId="46147FD2" w14:textId="77777777" w:rsidTr="002D7202">
        <w:trPr>
          <w:cantSplit/>
          <w:trHeight w:val="525"/>
          <w:jc w:val="center"/>
        </w:trPr>
        <w:tc>
          <w:tcPr>
            <w:tcW w:w="659" w:type="dxa"/>
            <w:tcBorders>
              <w:top w:val="nil"/>
              <w:left w:val="single" w:sz="8" w:space="0" w:color="auto"/>
              <w:bottom w:val="single" w:sz="8" w:space="0" w:color="auto"/>
              <w:right w:val="single" w:sz="8" w:space="0" w:color="auto"/>
            </w:tcBorders>
            <w:shd w:val="clear" w:color="auto" w:fill="auto"/>
            <w:noWrap/>
            <w:vAlign w:val="center"/>
            <w:hideMark/>
          </w:tcPr>
          <w:p w14:paraId="0F2A028C"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16</w:t>
            </w:r>
          </w:p>
        </w:tc>
        <w:tc>
          <w:tcPr>
            <w:tcW w:w="4743" w:type="dxa"/>
            <w:tcBorders>
              <w:top w:val="nil"/>
              <w:left w:val="nil"/>
              <w:bottom w:val="single" w:sz="8" w:space="0" w:color="auto"/>
              <w:right w:val="single" w:sz="8" w:space="0" w:color="auto"/>
            </w:tcBorders>
            <w:shd w:val="clear" w:color="auto" w:fill="auto"/>
            <w:noWrap/>
            <w:vAlign w:val="center"/>
            <w:hideMark/>
          </w:tcPr>
          <w:p w14:paraId="59B06ABB"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Fontes de recursos com saldos a descoberto (Saldo financeiro negativo por fonte de recursos). Utilização de receita vinculada em finalidade diversa da arrecadação, contrariando regras de gestão fiscal, contidas no parágrafo único do art. 8º e ao art. 50, inciso I da LRF.</w:t>
            </w:r>
          </w:p>
        </w:tc>
        <w:tc>
          <w:tcPr>
            <w:tcW w:w="1559" w:type="dxa"/>
            <w:tcBorders>
              <w:top w:val="nil"/>
              <w:left w:val="nil"/>
              <w:bottom w:val="single" w:sz="8" w:space="0" w:color="auto"/>
              <w:right w:val="single" w:sz="8" w:space="0" w:color="auto"/>
            </w:tcBorders>
            <w:shd w:val="clear" w:color="auto" w:fill="auto"/>
            <w:noWrap/>
            <w:vAlign w:val="center"/>
            <w:hideMark/>
          </w:tcPr>
          <w:p w14:paraId="5FFB78C6"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Financeiros</w:t>
            </w:r>
          </w:p>
        </w:tc>
        <w:tc>
          <w:tcPr>
            <w:tcW w:w="1276" w:type="dxa"/>
            <w:tcBorders>
              <w:top w:val="nil"/>
              <w:left w:val="nil"/>
              <w:bottom w:val="single" w:sz="8" w:space="0" w:color="auto"/>
              <w:right w:val="single" w:sz="8" w:space="0" w:color="auto"/>
            </w:tcBorders>
            <w:shd w:val="clear" w:color="auto" w:fill="auto"/>
            <w:noWrap/>
            <w:vAlign w:val="center"/>
            <w:hideMark/>
          </w:tcPr>
          <w:p w14:paraId="4D5532E6"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8" w:space="0" w:color="auto"/>
              <w:right w:val="single" w:sz="8" w:space="0" w:color="auto"/>
            </w:tcBorders>
            <w:shd w:val="clear" w:color="auto" w:fill="auto"/>
            <w:vAlign w:val="center"/>
            <w:hideMark/>
          </w:tcPr>
          <w:p w14:paraId="588E7BC4"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hideMark/>
          </w:tcPr>
          <w:p w14:paraId="6D2F02B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hideMark/>
          </w:tcPr>
          <w:p w14:paraId="3F8811A1"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vAlign w:val="center"/>
          </w:tcPr>
          <w:p w14:paraId="62191DBC" w14:textId="77777777" w:rsidR="002C1F32" w:rsidRPr="00F551A2" w:rsidRDefault="002C1F32" w:rsidP="002D7202">
            <w:pPr>
              <w:spacing w:before="60" w:after="60"/>
              <w:jc w:val="center"/>
              <w:rPr>
                <w:rFonts w:ascii="Arial" w:hAnsi="Arial" w:cs="Arial"/>
              </w:rPr>
            </w:pPr>
            <w:r w:rsidRPr="00F551A2">
              <w:rPr>
                <w:rFonts w:ascii="Arial" w:hAnsi="Arial" w:cs="Arial"/>
                <w:color w:val="000000"/>
              </w:rPr>
              <w:t>X</w:t>
            </w:r>
          </w:p>
        </w:tc>
        <w:tc>
          <w:tcPr>
            <w:tcW w:w="1276" w:type="dxa"/>
            <w:tcBorders>
              <w:top w:val="nil"/>
              <w:left w:val="nil"/>
              <w:bottom w:val="single" w:sz="8" w:space="0" w:color="auto"/>
              <w:right w:val="single" w:sz="8" w:space="0" w:color="auto"/>
            </w:tcBorders>
            <w:vAlign w:val="center"/>
          </w:tcPr>
          <w:p w14:paraId="7896A3BD" w14:textId="77777777" w:rsidR="002C1F32" w:rsidRPr="00F551A2" w:rsidRDefault="002C1F32" w:rsidP="002D7202">
            <w:pPr>
              <w:spacing w:before="60" w:after="60"/>
              <w:jc w:val="center"/>
              <w:rPr>
                <w:rFonts w:ascii="Arial" w:hAnsi="Arial" w:cs="Arial"/>
              </w:rPr>
            </w:pPr>
            <w:r w:rsidRPr="00F551A2">
              <w:rPr>
                <w:rFonts w:ascii="Arial" w:hAnsi="Arial" w:cs="Arial"/>
                <w:color w:val="000000"/>
              </w:rPr>
              <w:t>X</w:t>
            </w:r>
          </w:p>
        </w:tc>
      </w:tr>
      <w:tr w:rsidR="002C1F32" w:rsidRPr="00F551A2" w14:paraId="529AD632" w14:textId="77777777" w:rsidTr="002D7202">
        <w:trPr>
          <w:cantSplit/>
          <w:trHeight w:val="525"/>
          <w:jc w:val="center"/>
        </w:trPr>
        <w:tc>
          <w:tcPr>
            <w:tcW w:w="65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B78865D"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17</w:t>
            </w:r>
          </w:p>
        </w:tc>
        <w:tc>
          <w:tcPr>
            <w:tcW w:w="4743" w:type="dxa"/>
            <w:tcBorders>
              <w:top w:val="single" w:sz="8" w:space="0" w:color="auto"/>
              <w:left w:val="nil"/>
              <w:bottom w:val="single" w:sz="4" w:space="0" w:color="auto"/>
              <w:right w:val="single" w:sz="8" w:space="0" w:color="auto"/>
            </w:tcBorders>
            <w:shd w:val="clear" w:color="auto" w:fill="auto"/>
            <w:noWrap/>
            <w:vAlign w:val="center"/>
            <w:hideMark/>
          </w:tcPr>
          <w:p w14:paraId="79C766E9"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Falta de encaminhamento do balanço patrimonial emitido pela Contabilidade e/ou da respectiva publicação. Considera ainda a hipóte</w:t>
            </w:r>
            <w:r>
              <w:rPr>
                <w:rFonts w:ascii="Arial" w:hAnsi="Arial" w:cs="Arial"/>
                <w:color w:val="000000"/>
              </w:rPr>
              <w:t>se de a publicação não atender à</w:t>
            </w:r>
            <w:r w:rsidRPr="00F551A2">
              <w:rPr>
                <w:rFonts w:ascii="Arial" w:hAnsi="Arial" w:cs="Arial"/>
                <w:color w:val="000000"/>
              </w:rPr>
              <w:t xml:space="preserve">s especificações. </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14:paraId="71C403A2"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Contábeis</w:t>
            </w: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14:paraId="07CC5BF6"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45F09474"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397C06CD"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661DA616"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8" w:space="0" w:color="auto"/>
              <w:left w:val="nil"/>
              <w:bottom w:val="single" w:sz="4" w:space="0" w:color="auto"/>
              <w:right w:val="single" w:sz="8" w:space="0" w:color="auto"/>
            </w:tcBorders>
            <w:vAlign w:val="center"/>
          </w:tcPr>
          <w:p w14:paraId="1A797C00" w14:textId="77777777" w:rsidR="002C1F32" w:rsidRPr="00F551A2" w:rsidRDefault="002C1F32" w:rsidP="002D7202">
            <w:pPr>
              <w:spacing w:before="60" w:after="60"/>
              <w:rPr>
                <w:rFonts w:ascii="Arial" w:hAnsi="Arial" w:cs="Arial"/>
              </w:rPr>
            </w:pPr>
          </w:p>
        </w:tc>
        <w:tc>
          <w:tcPr>
            <w:tcW w:w="1276" w:type="dxa"/>
            <w:tcBorders>
              <w:top w:val="single" w:sz="8" w:space="0" w:color="auto"/>
              <w:left w:val="nil"/>
              <w:bottom w:val="single" w:sz="4" w:space="0" w:color="auto"/>
              <w:right w:val="single" w:sz="8" w:space="0" w:color="auto"/>
            </w:tcBorders>
            <w:vAlign w:val="center"/>
          </w:tcPr>
          <w:p w14:paraId="4196D5F4"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3F43A30E" w14:textId="77777777" w:rsidTr="002D7202">
        <w:trPr>
          <w:cantSplit/>
          <w:trHeight w:val="525"/>
          <w:jc w:val="center"/>
        </w:trPr>
        <w:tc>
          <w:tcPr>
            <w:tcW w:w="65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9180CDD"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18</w:t>
            </w:r>
          </w:p>
        </w:tc>
        <w:tc>
          <w:tcPr>
            <w:tcW w:w="4743" w:type="dxa"/>
            <w:tcBorders>
              <w:top w:val="single" w:sz="4" w:space="0" w:color="auto"/>
              <w:left w:val="nil"/>
              <w:bottom w:val="single" w:sz="4" w:space="0" w:color="auto"/>
              <w:right w:val="single" w:sz="8" w:space="0" w:color="auto"/>
            </w:tcBorders>
            <w:shd w:val="clear" w:color="auto" w:fill="auto"/>
            <w:vAlign w:val="center"/>
          </w:tcPr>
          <w:p w14:paraId="4AB245D0"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Divergências de saldos em quaisquer das classes ou grupos do balanço patrimonial entre os dados do SIM-AM e a Contabilidade.</w:t>
            </w:r>
          </w:p>
        </w:tc>
        <w:tc>
          <w:tcPr>
            <w:tcW w:w="1559" w:type="dxa"/>
            <w:tcBorders>
              <w:top w:val="single" w:sz="4" w:space="0" w:color="auto"/>
              <w:left w:val="nil"/>
              <w:bottom w:val="single" w:sz="4" w:space="0" w:color="auto"/>
              <w:right w:val="single" w:sz="8" w:space="0" w:color="auto"/>
            </w:tcBorders>
            <w:shd w:val="clear" w:color="auto" w:fill="auto"/>
            <w:vAlign w:val="center"/>
          </w:tcPr>
          <w:p w14:paraId="342D1A00"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Contábeis</w:t>
            </w:r>
          </w:p>
        </w:tc>
        <w:tc>
          <w:tcPr>
            <w:tcW w:w="1276" w:type="dxa"/>
            <w:tcBorders>
              <w:top w:val="single" w:sz="4" w:space="0" w:color="auto"/>
              <w:left w:val="nil"/>
              <w:bottom w:val="single" w:sz="4" w:space="0" w:color="auto"/>
              <w:right w:val="single" w:sz="8" w:space="0" w:color="auto"/>
            </w:tcBorders>
            <w:shd w:val="clear" w:color="auto" w:fill="auto"/>
            <w:noWrap/>
            <w:vAlign w:val="center"/>
          </w:tcPr>
          <w:p w14:paraId="414B38E2"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4" w:space="0" w:color="auto"/>
              <w:right w:val="single" w:sz="8" w:space="0" w:color="auto"/>
            </w:tcBorders>
            <w:shd w:val="clear" w:color="auto" w:fill="auto"/>
            <w:vAlign w:val="center"/>
          </w:tcPr>
          <w:p w14:paraId="7DD2097E"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tcPr>
          <w:p w14:paraId="7DC32D5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tcPr>
          <w:p w14:paraId="43AF6B80"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vAlign w:val="center"/>
          </w:tcPr>
          <w:p w14:paraId="3BBBE1F2"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4" w:space="0" w:color="auto"/>
              <w:right w:val="single" w:sz="8" w:space="0" w:color="auto"/>
            </w:tcBorders>
            <w:vAlign w:val="center"/>
          </w:tcPr>
          <w:p w14:paraId="31D7CF9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2E7A1FF9" w14:textId="77777777" w:rsidTr="002D7202">
        <w:trPr>
          <w:cantSplit/>
          <w:trHeight w:val="525"/>
          <w:jc w:val="center"/>
        </w:trPr>
        <w:tc>
          <w:tcPr>
            <w:tcW w:w="65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0D329B4"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19</w:t>
            </w:r>
          </w:p>
        </w:tc>
        <w:tc>
          <w:tcPr>
            <w:tcW w:w="4743" w:type="dxa"/>
            <w:tcBorders>
              <w:top w:val="single" w:sz="4" w:space="0" w:color="auto"/>
              <w:left w:val="nil"/>
              <w:bottom w:val="single" w:sz="4" w:space="0" w:color="auto"/>
              <w:right w:val="single" w:sz="8" w:space="0" w:color="auto"/>
            </w:tcBorders>
            <w:shd w:val="clear" w:color="auto" w:fill="auto"/>
            <w:vAlign w:val="center"/>
            <w:hideMark/>
          </w:tcPr>
          <w:p w14:paraId="5FF39B28" w14:textId="77777777" w:rsidR="002C1F32" w:rsidRPr="00F551A2" w:rsidRDefault="002C1F32" w:rsidP="002D7202">
            <w:pPr>
              <w:spacing w:before="60" w:after="60"/>
              <w:jc w:val="both"/>
              <w:rPr>
                <w:rFonts w:ascii="Arial" w:hAnsi="Arial" w:cs="Arial"/>
                <w:b/>
                <w:color w:val="000000"/>
              </w:rPr>
            </w:pPr>
            <w:r w:rsidRPr="00F551A2">
              <w:rPr>
                <w:rFonts w:ascii="Arial" w:hAnsi="Arial" w:cs="Arial"/>
                <w:color w:val="000000"/>
              </w:rPr>
              <w:t xml:space="preserve">Falta de inscrição na dívida fundada de precatórios notificados entre 04/05/2000 e 01/07/2012. </w:t>
            </w:r>
          </w:p>
        </w:tc>
        <w:tc>
          <w:tcPr>
            <w:tcW w:w="1559" w:type="dxa"/>
            <w:tcBorders>
              <w:top w:val="single" w:sz="4" w:space="0" w:color="auto"/>
              <w:left w:val="nil"/>
              <w:bottom w:val="single" w:sz="4" w:space="0" w:color="auto"/>
              <w:right w:val="single" w:sz="8" w:space="0" w:color="auto"/>
            </w:tcBorders>
            <w:shd w:val="clear" w:color="auto" w:fill="auto"/>
            <w:vAlign w:val="center"/>
            <w:hideMark/>
          </w:tcPr>
          <w:p w14:paraId="1F943349"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Contábeis</w:t>
            </w:r>
          </w:p>
        </w:tc>
        <w:tc>
          <w:tcPr>
            <w:tcW w:w="1276" w:type="dxa"/>
            <w:tcBorders>
              <w:top w:val="single" w:sz="4" w:space="0" w:color="auto"/>
              <w:left w:val="nil"/>
              <w:bottom w:val="single" w:sz="4" w:space="0" w:color="auto"/>
              <w:right w:val="single" w:sz="8" w:space="0" w:color="auto"/>
            </w:tcBorders>
            <w:shd w:val="clear" w:color="auto" w:fill="auto"/>
            <w:noWrap/>
            <w:vAlign w:val="center"/>
            <w:hideMark/>
          </w:tcPr>
          <w:p w14:paraId="138044A0"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3AD55E14"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268708B3"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25656FEE"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vAlign w:val="center"/>
          </w:tcPr>
          <w:p w14:paraId="3F83BA14"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4" w:space="0" w:color="auto"/>
              <w:right w:val="single" w:sz="8" w:space="0" w:color="auto"/>
            </w:tcBorders>
            <w:vAlign w:val="center"/>
          </w:tcPr>
          <w:p w14:paraId="3B866915" w14:textId="77777777" w:rsidR="002C1F32" w:rsidRPr="00F551A2" w:rsidRDefault="002C1F32" w:rsidP="002D7202">
            <w:pPr>
              <w:spacing w:before="60" w:after="60"/>
              <w:rPr>
                <w:rFonts w:ascii="Arial" w:hAnsi="Arial" w:cs="Arial"/>
              </w:rPr>
            </w:pPr>
          </w:p>
        </w:tc>
      </w:tr>
      <w:tr w:rsidR="002C1F32" w:rsidRPr="00F551A2" w14:paraId="1C914BB0" w14:textId="77777777" w:rsidTr="002D7202">
        <w:trPr>
          <w:cantSplit/>
          <w:trHeight w:val="525"/>
          <w:jc w:val="center"/>
        </w:trPr>
        <w:tc>
          <w:tcPr>
            <w:tcW w:w="65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E29690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20</w:t>
            </w:r>
          </w:p>
        </w:tc>
        <w:tc>
          <w:tcPr>
            <w:tcW w:w="4743" w:type="dxa"/>
            <w:tcBorders>
              <w:top w:val="single" w:sz="4" w:space="0" w:color="auto"/>
              <w:left w:val="nil"/>
              <w:bottom w:val="single" w:sz="4" w:space="0" w:color="auto"/>
              <w:right w:val="single" w:sz="8" w:space="0" w:color="auto"/>
            </w:tcBorders>
            <w:shd w:val="clear" w:color="auto" w:fill="auto"/>
            <w:vAlign w:val="center"/>
          </w:tcPr>
          <w:p w14:paraId="35AEF5A7"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Existência de baixas indevidas de contas do Passivo Financeiro.</w:t>
            </w:r>
          </w:p>
        </w:tc>
        <w:tc>
          <w:tcPr>
            <w:tcW w:w="1559" w:type="dxa"/>
            <w:tcBorders>
              <w:top w:val="single" w:sz="4" w:space="0" w:color="auto"/>
              <w:left w:val="nil"/>
              <w:bottom w:val="single" w:sz="4" w:space="0" w:color="auto"/>
              <w:right w:val="single" w:sz="8" w:space="0" w:color="auto"/>
            </w:tcBorders>
            <w:shd w:val="clear" w:color="auto" w:fill="auto"/>
            <w:vAlign w:val="center"/>
          </w:tcPr>
          <w:p w14:paraId="1412E5C8"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Contábeis</w:t>
            </w:r>
          </w:p>
        </w:tc>
        <w:tc>
          <w:tcPr>
            <w:tcW w:w="1276" w:type="dxa"/>
            <w:tcBorders>
              <w:top w:val="single" w:sz="4" w:space="0" w:color="auto"/>
              <w:left w:val="nil"/>
              <w:bottom w:val="single" w:sz="4" w:space="0" w:color="auto"/>
              <w:right w:val="single" w:sz="8" w:space="0" w:color="auto"/>
            </w:tcBorders>
            <w:shd w:val="clear" w:color="auto" w:fill="auto"/>
            <w:noWrap/>
            <w:vAlign w:val="center"/>
          </w:tcPr>
          <w:p w14:paraId="3405E287"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4" w:space="0" w:color="auto"/>
              <w:right w:val="single" w:sz="8" w:space="0" w:color="auto"/>
            </w:tcBorders>
            <w:shd w:val="clear" w:color="auto" w:fill="auto"/>
            <w:vAlign w:val="center"/>
          </w:tcPr>
          <w:p w14:paraId="60D029B6"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tcPr>
          <w:p w14:paraId="2CDD0EB3"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tcPr>
          <w:p w14:paraId="3789ABDD"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vAlign w:val="center"/>
          </w:tcPr>
          <w:p w14:paraId="37931806" w14:textId="77777777" w:rsidR="002C1F32" w:rsidRPr="00F551A2" w:rsidRDefault="002C1F32" w:rsidP="002D7202">
            <w:pPr>
              <w:spacing w:before="60" w:after="60"/>
              <w:jc w:val="center"/>
              <w:rPr>
                <w:rFonts w:ascii="Arial" w:hAnsi="Arial" w:cs="Arial"/>
              </w:rPr>
            </w:pPr>
          </w:p>
        </w:tc>
        <w:tc>
          <w:tcPr>
            <w:tcW w:w="1276" w:type="dxa"/>
            <w:tcBorders>
              <w:top w:val="single" w:sz="4" w:space="0" w:color="auto"/>
              <w:left w:val="nil"/>
              <w:bottom w:val="single" w:sz="4" w:space="0" w:color="auto"/>
              <w:right w:val="single" w:sz="8" w:space="0" w:color="auto"/>
            </w:tcBorders>
            <w:vAlign w:val="center"/>
          </w:tcPr>
          <w:p w14:paraId="210D76BF"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6A33116C" w14:textId="77777777" w:rsidTr="002D7202">
        <w:trPr>
          <w:cantSplit/>
          <w:trHeight w:val="525"/>
          <w:jc w:val="center"/>
        </w:trPr>
        <w:tc>
          <w:tcPr>
            <w:tcW w:w="659" w:type="dxa"/>
            <w:tcBorders>
              <w:top w:val="nil"/>
              <w:left w:val="single" w:sz="8" w:space="0" w:color="auto"/>
              <w:bottom w:val="single" w:sz="4" w:space="0" w:color="auto"/>
              <w:right w:val="single" w:sz="8" w:space="0" w:color="auto"/>
            </w:tcBorders>
            <w:shd w:val="clear" w:color="auto" w:fill="auto"/>
            <w:noWrap/>
            <w:vAlign w:val="center"/>
            <w:hideMark/>
          </w:tcPr>
          <w:p w14:paraId="0D1171A9"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21</w:t>
            </w:r>
          </w:p>
        </w:tc>
        <w:tc>
          <w:tcPr>
            <w:tcW w:w="4743" w:type="dxa"/>
            <w:tcBorders>
              <w:top w:val="nil"/>
              <w:left w:val="nil"/>
              <w:bottom w:val="single" w:sz="4" w:space="0" w:color="auto"/>
              <w:right w:val="single" w:sz="8" w:space="0" w:color="auto"/>
            </w:tcBorders>
            <w:shd w:val="clear" w:color="auto" w:fill="auto"/>
            <w:noWrap/>
            <w:vAlign w:val="center"/>
            <w:hideMark/>
          </w:tcPr>
          <w:p w14:paraId="71422840"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Não atingimento do índice mínimo de 25% em manutenção e desenvolvimento da educação básica.</w:t>
            </w:r>
          </w:p>
        </w:tc>
        <w:tc>
          <w:tcPr>
            <w:tcW w:w="1559" w:type="dxa"/>
            <w:tcBorders>
              <w:top w:val="nil"/>
              <w:left w:val="nil"/>
              <w:bottom w:val="single" w:sz="4" w:space="0" w:color="auto"/>
              <w:right w:val="single" w:sz="8" w:space="0" w:color="auto"/>
            </w:tcBorders>
            <w:shd w:val="clear" w:color="auto" w:fill="auto"/>
            <w:noWrap/>
            <w:vAlign w:val="center"/>
            <w:hideMark/>
          </w:tcPr>
          <w:p w14:paraId="120F0083"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Aplicações em Educação Básica</w:t>
            </w:r>
          </w:p>
        </w:tc>
        <w:tc>
          <w:tcPr>
            <w:tcW w:w="1276" w:type="dxa"/>
            <w:tcBorders>
              <w:top w:val="nil"/>
              <w:left w:val="nil"/>
              <w:bottom w:val="single" w:sz="4" w:space="0" w:color="auto"/>
              <w:right w:val="single" w:sz="8" w:space="0" w:color="auto"/>
            </w:tcBorders>
            <w:shd w:val="clear" w:color="auto" w:fill="auto"/>
            <w:noWrap/>
            <w:vAlign w:val="center"/>
            <w:hideMark/>
          </w:tcPr>
          <w:p w14:paraId="64934C5F"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4" w:space="0" w:color="auto"/>
              <w:right w:val="single" w:sz="8" w:space="0" w:color="auto"/>
            </w:tcBorders>
            <w:shd w:val="clear" w:color="auto" w:fill="auto"/>
            <w:vAlign w:val="center"/>
            <w:hideMark/>
          </w:tcPr>
          <w:p w14:paraId="01E5CDDB"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shd w:val="clear" w:color="auto" w:fill="auto"/>
            <w:vAlign w:val="center"/>
          </w:tcPr>
          <w:p w14:paraId="6816E8E7" w14:textId="77777777" w:rsidR="002C1F32" w:rsidRPr="00F551A2" w:rsidRDefault="002C1F32" w:rsidP="002D7202">
            <w:pPr>
              <w:spacing w:before="60" w:after="60"/>
              <w:rPr>
                <w:rFonts w:ascii="Arial" w:hAnsi="Arial" w:cs="Arial"/>
              </w:rPr>
            </w:pPr>
          </w:p>
        </w:tc>
        <w:tc>
          <w:tcPr>
            <w:tcW w:w="1134" w:type="dxa"/>
            <w:tcBorders>
              <w:top w:val="nil"/>
              <w:left w:val="nil"/>
              <w:bottom w:val="single" w:sz="4" w:space="0" w:color="auto"/>
              <w:right w:val="single" w:sz="8" w:space="0" w:color="auto"/>
            </w:tcBorders>
            <w:shd w:val="clear" w:color="auto" w:fill="auto"/>
            <w:vAlign w:val="center"/>
          </w:tcPr>
          <w:p w14:paraId="51F1D56A" w14:textId="77777777" w:rsidR="002C1F32" w:rsidRPr="00F551A2" w:rsidRDefault="002C1F32" w:rsidP="002D7202">
            <w:pPr>
              <w:spacing w:before="60" w:after="60"/>
              <w:rPr>
                <w:rFonts w:ascii="Arial" w:hAnsi="Arial" w:cs="Arial"/>
              </w:rPr>
            </w:pPr>
          </w:p>
        </w:tc>
        <w:tc>
          <w:tcPr>
            <w:tcW w:w="1134" w:type="dxa"/>
            <w:tcBorders>
              <w:top w:val="nil"/>
              <w:left w:val="nil"/>
              <w:bottom w:val="single" w:sz="4" w:space="0" w:color="auto"/>
              <w:right w:val="single" w:sz="8" w:space="0" w:color="auto"/>
            </w:tcBorders>
            <w:vAlign w:val="center"/>
          </w:tcPr>
          <w:p w14:paraId="459518C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276" w:type="dxa"/>
            <w:tcBorders>
              <w:top w:val="nil"/>
              <w:left w:val="nil"/>
              <w:bottom w:val="single" w:sz="4" w:space="0" w:color="auto"/>
              <w:right w:val="single" w:sz="8" w:space="0" w:color="auto"/>
            </w:tcBorders>
            <w:vAlign w:val="center"/>
          </w:tcPr>
          <w:p w14:paraId="03E458E6" w14:textId="77777777" w:rsidR="002C1F32" w:rsidRPr="00F551A2" w:rsidRDefault="002C1F32" w:rsidP="002D7202">
            <w:pPr>
              <w:spacing w:before="60" w:after="60"/>
              <w:rPr>
                <w:rFonts w:ascii="Arial" w:hAnsi="Arial" w:cs="Arial"/>
              </w:rPr>
            </w:pPr>
          </w:p>
        </w:tc>
      </w:tr>
      <w:tr w:rsidR="002C1F32" w:rsidRPr="00F551A2" w14:paraId="051B640C" w14:textId="77777777" w:rsidTr="002D7202">
        <w:trPr>
          <w:cantSplit/>
          <w:trHeight w:val="525"/>
          <w:jc w:val="center"/>
        </w:trPr>
        <w:tc>
          <w:tcPr>
            <w:tcW w:w="659" w:type="dxa"/>
            <w:tcBorders>
              <w:top w:val="nil"/>
              <w:left w:val="single" w:sz="8" w:space="0" w:color="auto"/>
              <w:bottom w:val="single" w:sz="4" w:space="0" w:color="auto"/>
              <w:right w:val="single" w:sz="8" w:space="0" w:color="auto"/>
            </w:tcBorders>
            <w:shd w:val="clear" w:color="auto" w:fill="auto"/>
            <w:noWrap/>
            <w:vAlign w:val="center"/>
          </w:tcPr>
          <w:p w14:paraId="443039F8"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lastRenderedPageBreak/>
              <w:t>22</w:t>
            </w:r>
          </w:p>
        </w:tc>
        <w:tc>
          <w:tcPr>
            <w:tcW w:w="4743" w:type="dxa"/>
            <w:tcBorders>
              <w:top w:val="nil"/>
              <w:left w:val="nil"/>
              <w:bottom w:val="single" w:sz="4" w:space="0" w:color="auto"/>
              <w:right w:val="single" w:sz="8" w:space="0" w:color="auto"/>
            </w:tcBorders>
            <w:shd w:val="clear" w:color="auto" w:fill="auto"/>
            <w:noWrap/>
            <w:vAlign w:val="center"/>
          </w:tcPr>
          <w:p w14:paraId="092CC1DA"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A utilização dos recursos do FUNDEB ficou abaixo de 95% da arrecadação do exercício. Saldo deixado para aplicar no primeiro trimestre do exercício seguinte excede a 5%.</w:t>
            </w:r>
          </w:p>
        </w:tc>
        <w:tc>
          <w:tcPr>
            <w:tcW w:w="1559" w:type="dxa"/>
            <w:tcBorders>
              <w:top w:val="nil"/>
              <w:left w:val="nil"/>
              <w:bottom w:val="single" w:sz="4" w:space="0" w:color="auto"/>
              <w:right w:val="single" w:sz="8" w:space="0" w:color="auto"/>
            </w:tcBorders>
            <w:shd w:val="clear" w:color="auto" w:fill="auto"/>
            <w:noWrap/>
            <w:vAlign w:val="center"/>
          </w:tcPr>
          <w:p w14:paraId="15158B1C"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Gestão do FUNDEB</w:t>
            </w:r>
          </w:p>
        </w:tc>
        <w:tc>
          <w:tcPr>
            <w:tcW w:w="1276" w:type="dxa"/>
            <w:tcBorders>
              <w:top w:val="nil"/>
              <w:left w:val="nil"/>
              <w:bottom w:val="single" w:sz="4" w:space="0" w:color="auto"/>
              <w:right w:val="single" w:sz="8" w:space="0" w:color="auto"/>
            </w:tcBorders>
            <w:shd w:val="clear" w:color="auto" w:fill="auto"/>
            <w:noWrap/>
            <w:vAlign w:val="center"/>
          </w:tcPr>
          <w:p w14:paraId="76866C83"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4" w:space="0" w:color="auto"/>
              <w:right w:val="single" w:sz="8" w:space="0" w:color="auto"/>
            </w:tcBorders>
            <w:shd w:val="clear" w:color="auto" w:fill="auto"/>
            <w:vAlign w:val="center"/>
          </w:tcPr>
          <w:p w14:paraId="1DFDD866"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shd w:val="clear" w:color="auto" w:fill="auto"/>
            <w:vAlign w:val="center"/>
          </w:tcPr>
          <w:p w14:paraId="2E638FCE" w14:textId="77777777" w:rsidR="002C1F32" w:rsidRPr="00F551A2" w:rsidRDefault="002C1F32" w:rsidP="002D7202">
            <w:pPr>
              <w:spacing w:before="60" w:after="60"/>
              <w:rPr>
                <w:rFonts w:ascii="Arial" w:hAnsi="Arial" w:cs="Arial"/>
              </w:rPr>
            </w:pPr>
          </w:p>
        </w:tc>
        <w:tc>
          <w:tcPr>
            <w:tcW w:w="1134" w:type="dxa"/>
            <w:tcBorders>
              <w:top w:val="nil"/>
              <w:left w:val="nil"/>
              <w:bottom w:val="single" w:sz="4" w:space="0" w:color="auto"/>
              <w:right w:val="single" w:sz="8" w:space="0" w:color="auto"/>
            </w:tcBorders>
            <w:shd w:val="clear" w:color="auto" w:fill="auto"/>
            <w:vAlign w:val="center"/>
          </w:tcPr>
          <w:p w14:paraId="3C90A801" w14:textId="77777777" w:rsidR="002C1F32" w:rsidRPr="00F551A2" w:rsidRDefault="002C1F32" w:rsidP="002D7202">
            <w:pPr>
              <w:spacing w:before="60" w:after="60"/>
              <w:rPr>
                <w:rFonts w:ascii="Arial" w:hAnsi="Arial" w:cs="Arial"/>
              </w:rPr>
            </w:pPr>
          </w:p>
        </w:tc>
        <w:tc>
          <w:tcPr>
            <w:tcW w:w="1134" w:type="dxa"/>
            <w:tcBorders>
              <w:top w:val="nil"/>
              <w:left w:val="nil"/>
              <w:bottom w:val="single" w:sz="4" w:space="0" w:color="auto"/>
              <w:right w:val="single" w:sz="8" w:space="0" w:color="auto"/>
            </w:tcBorders>
            <w:vAlign w:val="center"/>
          </w:tcPr>
          <w:p w14:paraId="148A03DC"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276" w:type="dxa"/>
            <w:tcBorders>
              <w:top w:val="nil"/>
              <w:left w:val="nil"/>
              <w:bottom w:val="single" w:sz="4" w:space="0" w:color="auto"/>
              <w:right w:val="single" w:sz="8" w:space="0" w:color="auto"/>
            </w:tcBorders>
            <w:vAlign w:val="center"/>
          </w:tcPr>
          <w:p w14:paraId="0DC2CC11" w14:textId="77777777" w:rsidR="002C1F32" w:rsidRPr="00F551A2" w:rsidRDefault="002C1F32" w:rsidP="002D7202">
            <w:pPr>
              <w:spacing w:before="60" w:after="60"/>
              <w:rPr>
                <w:rFonts w:ascii="Arial" w:hAnsi="Arial" w:cs="Arial"/>
              </w:rPr>
            </w:pPr>
          </w:p>
        </w:tc>
      </w:tr>
      <w:tr w:rsidR="002C1F32" w:rsidRPr="00F551A2" w14:paraId="5F7A582B" w14:textId="77777777" w:rsidTr="002D7202">
        <w:trPr>
          <w:cantSplit/>
          <w:trHeight w:val="525"/>
          <w:jc w:val="center"/>
        </w:trPr>
        <w:tc>
          <w:tcPr>
            <w:tcW w:w="65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6D9D8DC"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23</w:t>
            </w:r>
          </w:p>
        </w:tc>
        <w:tc>
          <w:tcPr>
            <w:tcW w:w="4743" w:type="dxa"/>
            <w:tcBorders>
              <w:top w:val="single" w:sz="4" w:space="0" w:color="auto"/>
              <w:left w:val="nil"/>
              <w:bottom w:val="single" w:sz="4" w:space="0" w:color="auto"/>
              <w:right w:val="single" w:sz="8" w:space="0" w:color="auto"/>
            </w:tcBorders>
            <w:shd w:val="clear" w:color="auto" w:fill="auto"/>
            <w:noWrap/>
            <w:vAlign w:val="center"/>
            <w:hideMark/>
          </w:tcPr>
          <w:p w14:paraId="6E6121BF"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Não atingimento do índice mínimo de 60% dos recursos do FUNDEB na remuneração do magistério.</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14:paraId="1F589493"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Gestão do FUNDEB</w:t>
            </w:r>
          </w:p>
        </w:tc>
        <w:tc>
          <w:tcPr>
            <w:tcW w:w="1276" w:type="dxa"/>
            <w:tcBorders>
              <w:top w:val="single" w:sz="4" w:space="0" w:color="auto"/>
              <w:left w:val="nil"/>
              <w:bottom w:val="single" w:sz="4" w:space="0" w:color="auto"/>
              <w:right w:val="single" w:sz="8" w:space="0" w:color="auto"/>
            </w:tcBorders>
            <w:shd w:val="clear" w:color="auto" w:fill="auto"/>
            <w:noWrap/>
            <w:vAlign w:val="center"/>
            <w:hideMark/>
          </w:tcPr>
          <w:p w14:paraId="24488C5E"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0E3DB823"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70CDBCDA"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1FD2E27F"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4" w:space="0" w:color="auto"/>
              <w:right w:val="single" w:sz="8" w:space="0" w:color="auto"/>
            </w:tcBorders>
            <w:vAlign w:val="center"/>
          </w:tcPr>
          <w:p w14:paraId="7847D9CE"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276" w:type="dxa"/>
            <w:tcBorders>
              <w:top w:val="single" w:sz="4" w:space="0" w:color="auto"/>
              <w:left w:val="nil"/>
              <w:bottom w:val="single" w:sz="4" w:space="0" w:color="auto"/>
              <w:right w:val="single" w:sz="8" w:space="0" w:color="auto"/>
            </w:tcBorders>
            <w:vAlign w:val="center"/>
          </w:tcPr>
          <w:p w14:paraId="777BB276" w14:textId="77777777" w:rsidR="002C1F32" w:rsidRPr="00F551A2" w:rsidRDefault="002C1F32" w:rsidP="002D7202">
            <w:pPr>
              <w:spacing w:before="60" w:after="60"/>
              <w:rPr>
                <w:rFonts w:ascii="Arial" w:hAnsi="Arial" w:cs="Arial"/>
              </w:rPr>
            </w:pPr>
          </w:p>
        </w:tc>
      </w:tr>
      <w:tr w:rsidR="002C1F32" w:rsidRPr="00F551A2" w14:paraId="4CA0E378" w14:textId="77777777" w:rsidTr="002D7202">
        <w:trPr>
          <w:cantSplit/>
          <w:trHeight w:val="525"/>
          <w:jc w:val="center"/>
        </w:trPr>
        <w:tc>
          <w:tcPr>
            <w:tcW w:w="65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3955AD6"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24</w:t>
            </w:r>
          </w:p>
        </w:tc>
        <w:tc>
          <w:tcPr>
            <w:tcW w:w="4743" w:type="dxa"/>
            <w:tcBorders>
              <w:top w:val="single" w:sz="4" w:space="0" w:color="auto"/>
              <w:left w:val="nil"/>
              <w:bottom w:val="single" w:sz="8" w:space="0" w:color="auto"/>
              <w:right w:val="single" w:sz="8" w:space="0" w:color="auto"/>
            </w:tcBorders>
            <w:shd w:val="clear" w:color="auto" w:fill="auto"/>
            <w:noWrap/>
            <w:vAlign w:val="center"/>
            <w:hideMark/>
          </w:tcPr>
          <w:p w14:paraId="43CAAF31" w14:textId="77777777" w:rsidR="002C1F32" w:rsidRPr="00F551A2" w:rsidRDefault="002C1F32" w:rsidP="002D7202">
            <w:pPr>
              <w:spacing w:before="60" w:after="60"/>
              <w:jc w:val="both"/>
              <w:rPr>
                <w:rFonts w:ascii="Arial" w:hAnsi="Arial" w:cs="Arial"/>
                <w:b/>
                <w:color w:val="000000"/>
              </w:rPr>
            </w:pPr>
            <w:r w:rsidRPr="00F551A2">
              <w:rPr>
                <w:rFonts w:ascii="Arial" w:hAnsi="Arial" w:cs="Arial"/>
                <w:color w:val="000000"/>
              </w:rPr>
              <w:t>Falta de Parecer do Conselho Municipal de Acompanhamento do FUN</w:t>
            </w:r>
            <w:r>
              <w:rPr>
                <w:rFonts w:ascii="Arial" w:hAnsi="Arial" w:cs="Arial"/>
                <w:color w:val="000000"/>
              </w:rPr>
              <w:t>DEB</w:t>
            </w:r>
            <w:r w:rsidRPr="00F551A2">
              <w:rPr>
                <w:rFonts w:ascii="Arial" w:hAnsi="Arial" w:cs="Arial"/>
                <w:color w:val="000000"/>
              </w:rPr>
              <w:t xml:space="preserve"> ou não apresentação de esclarecimentos pelo seu não encaminhamento.</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51AFB08F"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Gestão do FUNDEB</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5C153BE8"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35A82AF1"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0F843C77"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5F105DB2"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8" w:space="0" w:color="auto"/>
              <w:right w:val="single" w:sz="8" w:space="0" w:color="auto"/>
            </w:tcBorders>
            <w:vAlign w:val="center"/>
          </w:tcPr>
          <w:p w14:paraId="11E765E9"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276" w:type="dxa"/>
            <w:tcBorders>
              <w:top w:val="single" w:sz="4" w:space="0" w:color="auto"/>
              <w:left w:val="nil"/>
              <w:bottom w:val="single" w:sz="8" w:space="0" w:color="auto"/>
              <w:right w:val="single" w:sz="8" w:space="0" w:color="auto"/>
            </w:tcBorders>
            <w:vAlign w:val="center"/>
          </w:tcPr>
          <w:p w14:paraId="753D52DD" w14:textId="77777777" w:rsidR="002C1F32" w:rsidRPr="00F551A2" w:rsidRDefault="002C1F32" w:rsidP="002D7202">
            <w:pPr>
              <w:spacing w:before="60" w:after="60"/>
              <w:rPr>
                <w:rFonts w:ascii="Arial" w:hAnsi="Arial" w:cs="Arial"/>
              </w:rPr>
            </w:pPr>
          </w:p>
        </w:tc>
      </w:tr>
      <w:tr w:rsidR="002C1F32" w:rsidRPr="00F551A2" w14:paraId="2A1901C5" w14:textId="77777777" w:rsidTr="002D7202">
        <w:trPr>
          <w:cantSplit/>
          <w:trHeight w:val="525"/>
          <w:jc w:val="center"/>
        </w:trPr>
        <w:tc>
          <w:tcPr>
            <w:tcW w:w="659" w:type="dxa"/>
            <w:tcBorders>
              <w:top w:val="nil"/>
              <w:left w:val="single" w:sz="8" w:space="0" w:color="auto"/>
              <w:bottom w:val="single" w:sz="4" w:space="0" w:color="auto"/>
              <w:right w:val="single" w:sz="8" w:space="0" w:color="auto"/>
            </w:tcBorders>
            <w:shd w:val="clear" w:color="auto" w:fill="auto"/>
            <w:noWrap/>
            <w:vAlign w:val="center"/>
            <w:hideMark/>
          </w:tcPr>
          <w:p w14:paraId="53433DBF"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25</w:t>
            </w:r>
          </w:p>
        </w:tc>
        <w:tc>
          <w:tcPr>
            <w:tcW w:w="4743" w:type="dxa"/>
            <w:tcBorders>
              <w:top w:val="nil"/>
              <w:left w:val="nil"/>
              <w:bottom w:val="single" w:sz="4" w:space="0" w:color="auto"/>
              <w:right w:val="single" w:sz="8" w:space="0" w:color="auto"/>
            </w:tcBorders>
            <w:shd w:val="clear" w:color="auto" w:fill="auto"/>
            <w:noWrap/>
            <w:vAlign w:val="center"/>
            <w:hideMark/>
          </w:tcPr>
          <w:p w14:paraId="55A4A958"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O Parecer do Conselho Municipal de Acompanhamento do FUNDEB apresenta conclusão por irregularidade.</w:t>
            </w:r>
          </w:p>
        </w:tc>
        <w:tc>
          <w:tcPr>
            <w:tcW w:w="1559" w:type="dxa"/>
            <w:tcBorders>
              <w:top w:val="nil"/>
              <w:left w:val="nil"/>
              <w:bottom w:val="single" w:sz="4" w:space="0" w:color="auto"/>
              <w:right w:val="single" w:sz="8" w:space="0" w:color="auto"/>
            </w:tcBorders>
            <w:shd w:val="clear" w:color="auto" w:fill="auto"/>
            <w:noWrap/>
            <w:vAlign w:val="center"/>
            <w:hideMark/>
          </w:tcPr>
          <w:p w14:paraId="29017075"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Gestão do FUNDEB</w:t>
            </w:r>
          </w:p>
        </w:tc>
        <w:tc>
          <w:tcPr>
            <w:tcW w:w="1276" w:type="dxa"/>
            <w:tcBorders>
              <w:top w:val="nil"/>
              <w:left w:val="nil"/>
              <w:bottom w:val="single" w:sz="4" w:space="0" w:color="auto"/>
              <w:right w:val="single" w:sz="8" w:space="0" w:color="auto"/>
            </w:tcBorders>
            <w:shd w:val="clear" w:color="auto" w:fill="auto"/>
            <w:noWrap/>
            <w:vAlign w:val="center"/>
            <w:hideMark/>
          </w:tcPr>
          <w:p w14:paraId="37440A07"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4" w:space="0" w:color="auto"/>
              <w:right w:val="single" w:sz="8" w:space="0" w:color="auto"/>
            </w:tcBorders>
            <w:shd w:val="clear" w:color="auto" w:fill="auto"/>
            <w:vAlign w:val="center"/>
            <w:hideMark/>
          </w:tcPr>
          <w:p w14:paraId="484179FF"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shd w:val="clear" w:color="auto" w:fill="auto"/>
            <w:vAlign w:val="center"/>
            <w:hideMark/>
          </w:tcPr>
          <w:p w14:paraId="12F2021B" w14:textId="77777777" w:rsidR="002C1F32" w:rsidRPr="00F551A2" w:rsidRDefault="002C1F32" w:rsidP="002D7202">
            <w:pPr>
              <w:spacing w:before="60" w:after="60"/>
              <w:rPr>
                <w:rFonts w:ascii="Arial" w:hAnsi="Arial" w:cs="Arial"/>
              </w:rPr>
            </w:pPr>
          </w:p>
        </w:tc>
        <w:tc>
          <w:tcPr>
            <w:tcW w:w="1134" w:type="dxa"/>
            <w:tcBorders>
              <w:top w:val="nil"/>
              <w:left w:val="nil"/>
              <w:bottom w:val="single" w:sz="4" w:space="0" w:color="auto"/>
              <w:right w:val="single" w:sz="8" w:space="0" w:color="auto"/>
            </w:tcBorders>
            <w:shd w:val="clear" w:color="auto" w:fill="auto"/>
            <w:vAlign w:val="center"/>
            <w:hideMark/>
          </w:tcPr>
          <w:p w14:paraId="694790CF" w14:textId="77777777" w:rsidR="002C1F32" w:rsidRPr="00F551A2" w:rsidRDefault="002C1F32" w:rsidP="002D7202">
            <w:pPr>
              <w:spacing w:before="60" w:after="60"/>
              <w:rPr>
                <w:rFonts w:ascii="Arial" w:hAnsi="Arial" w:cs="Arial"/>
              </w:rPr>
            </w:pPr>
          </w:p>
        </w:tc>
        <w:tc>
          <w:tcPr>
            <w:tcW w:w="1134" w:type="dxa"/>
            <w:tcBorders>
              <w:top w:val="nil"/>
              <w:left w:val="nil"/>
              <w:bottom w:val="single" w:sz="4" w:space="0" w:color="auto"/>
              <w:right w:val="single" w:sz="8" w:space="0" w:color="auto"/>
            </w:tcBorders>
            <w:vAlign w:val="center"/>
          </w:tcPr>
          <w:p w14:paraId="798B4E94"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276" w:type="dxa"/>
            <w:tcBorders>
              <w:top w:val="nil"/>
              <w:left w:val="nil"/>
              <w:bottom w:val="single" w:sz="4" w:space="0" w:color="auto"/>
              <w:right w:val="single" w:sz="8" w:space="0" w:color="auto"/>
            </w:tcBorders>
            <w:vAlign w:val="center"/>
          </w:tcPr>
          <w:p w14:paraId="70528DDB" w14:textId="77777777" w:rsidR="002C1F32" w:rsidRPr="00F551A2" w:rsidRDefault="002C1F32" w:rsidP="002D7202">
            <w:pPr>
              <w:spacing w:before="60" w:after="60"/>
              <w:rPr>
                <w:rFonts w:ascii="Arial" w:hAnsi="Arial" w:cs="Arial"/>
              </w:rPr>
            </w:pPr>
          </w:p>
        </w:tc>
      </w:tr>
      <w:tr w:rsidR="002C1F32" w:rsidRPr="00F551A2" w14:paraId="795598CB" w14:textId="77777777" w:rsidTr="002D7202">
        <w:trPr>
          <w:cantSplit/>
          <w:trHeight w:val="525"/>
          <w:jc w:val="center"/>
        </w:trPr>
        <w:tc>
          <w:tcPr>
            <w:tcW w:w="65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C65BC1C"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26</w:t>
            </w:r>
          </w:p>
        </w:tc>
        <w:tc>
          <w:tcPr>
            <w:tcW w:w="4743" w:type="dxa"/>
            <w:tcBorders>
              <w:top w:val="single" w:sz="4" w:space="0" w:color="auto"/>
              <w:left w:val="nil"/>
              <w:bottom w:val="single" w:sz="8" w:space="0" w:color="auto"/>
              <w:right w:val="single" w:sz="8" w:space="0" w:color="auto"/>
            </w:tcBorders>
            <w:shd w:val="clear" w:color="auto" w:fill="auto"/>
            <w:noWrap/>
            <w:vAlign w:val="center"/>
            <w:hideMark/>
          </w:tcPr>
          <w:p w14:paraId="05EE33F9"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Não atingimento do percentual mínimo de 15% em serviços e ações de saúde pública.</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1E4C9AF8"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Aplicações em Saúde</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7BE1E8D1"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24AD9A21"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32FEB5BC"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708ECDA7"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8" w:space="0" w:color="auto"/>
              <w:right w:val="single" w:sz="8" w:space="0" w:color="auto"/>
            </w:tcBorders>
            <w:vAlign w:val="center"/>
          </w:tcPr>
          <w:p w14:paraId="31747023"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276" w:type="dxa"/>
            <w:tcBorders>
              <w:top w:val="single" w:sz="4" w:space="0" w:color="auto"/>
              <w:left w:val="nil"/>
              <w:bottom w:val="single" w:sz="8" w:space="0" w:color="auto"/>
              <w:right w:val="single" w:sz="8" w:space="0" w:color="auto"/>
            </w:tcBorders>
            <w:vAlign w:val="center"/>
          </w:tcPr>
          <w:p w14:paraId="5AFEBAEA" w14:textId="77777777" w:rsidR="002C1F32" w:rsidRPr="00F551A2" w:rsidRDefault="002C1F32" w:rsidP="002D7202">
            <w:pPr>
              <w:spacing w:before="60" w:after="60"/>
              <w:rPr>
                <w:rFonts w:ascii="Arial" w:hAnsi="Arial" w:cs="Arial"/>
              </w:rPr>
            </w:pPr>
          </w:p>
        </w:tc>
      </w:tr>
      <w:tr w:rsidR="002C1F32" w:rsidRPr="00F551A2" w14:paraId="3F877720" w14:textId="77777777" w:rsidTr="002D7202">
        <w:trPr>
          <w:cantSplit/>
          <w:trHeight w:val="525"/>
          <w:jc w:val="center"/>
        </w:trPr>
        <w:tc>
          <w:tcPr>
            <w:tcW w:w="65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3D39243"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27</w:t>
            </w:r>
          </w:p>
        </w:tc>
        <w:tc>
          <w:tcPr>
            <w:tcW w:w="4743" w:type="dxa"/>
            <w:tcBorders>
              <w:top w:val="single" w:sz="4" w:space="0" w:color="auto"/>
              <w:left w:val="nil"/>
              <w:bottom w:val="single" w:sz="8" w:space="0" w:color="auto"/>
              <w:right w:val="single" w:sz="8" w:space="0" w:color="auto"/>
            </w:tcBorders>
            <w:shd w:val="clear" w:color="auto" w:fill="auto"/>
            <w:noWrap/>
            <w:vAlign w:val="center"/>
            <w:hideMark/>
          </w:tcPr>
          <w:p w14:paraId="469F118C"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Falta da Resolução e/ou Parecer</w:t>
            </w:r>
            <w:r>
              <w:rPr>
                <w:rFonts w:ascii="Arial" w:hAnsi="Arial" w:cs="Arial"/>
                <w:color w:val="000000"/>
              </w:rPr>
              <w:t xml:space="preserve"> do Conselho Municipal de Saúde</w:t>
            </w:r>
            <w:r w:rsidRPr="00F551A2">
              <w:rPr>
                <w:rFonts w:ascii="Arial" w:hAnsi="Arial" w:cs="Arial"/>
                <w:color w:val="000000"/>
              </w:rPr>
              <w:t xml:space="preserve"> ou não apresentação de esclarecimentos pelo seu não encaminhamento.</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5F70EF57"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Aplicações em Saúde</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0A9AC163"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6DF9B234"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1F365A6C"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03379982"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8" w:space="0" w:color="auto"/>
              <w:right w:val="single" w:sz="8" w:space="0" w:color="auto"/>
            </w:tcBorders>
            <w:vAlign w:val="center"/>
          </w:tcPr>
          <w:p w14:paraId="0708D384"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276" w:type="dxa"/>
            <w:tcBorders>
              <w:top w:val="single" w:sz="4" w:space="0" w:color="auto"/>
              <w:left w:val="nil"/>
              <w:bottom w:val="single" w:sz="8" w:space="0" w:color="auto"/>
              <w:right w:val="single" w:sz="8" w:space="0" w:color="auto"/>
            </w:tcBorders>
            <w:vAlign w:val="center"/>
          </w:tcPr>
          <w:p w14:paraId="78A726C6" w14:textId="77777777" w:rsidR="002C1F32" w:rsidRPr="00F551A2" w:rsidRDefault="002C1F32" w:rsidP="002D7202">
            <w:pPr>
              <w:spacing w:before="60" w:after="60"/>
              <w:jc w:val="center"/>
              <w:rPr>
                <w:rFonts w:ascii="Arial" w:hAnsi="Arial" w:cs="Arial"/>
                <w:color w:val="000000"/>
              </w:rPr>
            </w:pPr>
          </w:p>
        </w:tc>
      </w:tr>
      <w:tr w:rsidR="002C1F32" w:rsidRPr="00F551A2" w14:paraId="57CFB535" w14:textId="77777777" w:rsidTr="002D7202">
        <w:trPr>
          <w:cantSplit/>
          <w:trHeight w:val="525"/>
          <w:jc w:val="center"/>
        </w:trPr>
        <w:tc>
          <w:tcPr>
            <w:tcW w:w="659" w:type="dxa"/>
            <w:tcBorders>
              <w:top w:val="nil"/>
              <w:left w:val="single" w:sz="8" w:space="0" w:color="auto"/>
              <w:bottom w:val="single" w:sz="4" w:space="0" w:color="auto"/>
              <w:right w:val="single" w:sz="8" w:space="0" w:color="auto"/>
            </w:tcBorders>
            <w:shd w:val="clear" w:color="auto" w:fill="auto"/>
            <w:noWrap/>
            <w:vAlign w:val="center"/>
            <w:hideMark/>
          </w:tcPr>
          <w:p w14:paraId="4AF1E542"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28</w:t>
            </w:r>
          </w:p>
        </w:tc>
        <w:tc>
          <w:tcPr>
            <w:tcW w:w="4743" w:type="dxa"/>
            <w:tcBorders>
              <w:top w:val="nil"/>
              <w:left w:val="nil"/>
              <w:bottom w:val="single" w:sz="4" w:space="0" w:color="auto"/>
              <w:right w:val="single" w:sz="8" w:space="0" w:color="auto"/>
            </w:tcBorders>
            <w:shd w:val="clear" w:color="auto" w:fill="auto"/>
            <w:noWrap/>
            <w:vAlign w:val="center"/>
            <w:hideMark/>
          </w:tcPr>
          <w:p w14:paraId="3CF4FEA0"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A Resolução e/ou Parecer do Conselho Municipal de Saúde apresenta conclusão por irregularidade.</w:t>
            </w:r>
          </w:p>
        </w:tc>
        <w:tc>
          <w:tcPr>
            <w:tcW w:w="1559" w:type="dxa"/>
            <w:tcBorders>
              <w:top w:val="nil"/>
              <w:left w:val="nil"/>
              <w:bottom w:val="single" w:sz="4" w:space="0" w:color="auto"/>
              <w:right w:val="single" w:sz="8" w:space="0" w:color="auto"/>
            </w:tcBorders>
            <w:shd w:val="clear" w:color="auto" w:fill="auto"/>
            <w:noWrap/>
            <w:vAlign w:val="center"/>
            <w:hideMark/>
          </w:tcPr>
          <w:p w14:paraId="1DD91E50"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Aplicações em Saúde</w:t>
            </w:r>
          </w:p>
        </w:tc>
        <w:tc>
          <w:tcPr>
            <w:tcW w:w="1276" w:type="dxa"/>
            <w:tcBorders>
              <w:top w:val="nil"/>
              <w:left w:val="nil"/>
              <w:bottom w:val="single" w:sz="4" w:space="0" w:color="auto"/>
              <w:right w:val="single" w:sz="8" w:space="0" w:color="auto"/>
            </w:tcBorders>
            <w:shd w:val="clear" w:color="auto" w:fill="auto"/>
            <w:noWrap/>
            <w:vAlign w:val="center"/>
            <w:hideMark/>
          </w:tcPr>
          <w:p w14:paraId="2D6CA2E7"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4" w:space="0" w:color="auto"/>
              <w:right w:val="single" w:sz="8" w:space="0" w:color="auto"/>
            </w:tcBorders>
            <w:shd w:val="clear" w:color="auto" w:fill="auto"/>
            <w:vAlign w:val="center"/>
            <w:hideMark/>
          </w:tcPr>
          <w:p w14:paraId="3BB2487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shd w:val="clear" w:color="auto" w:fill="auto"/>
            <w:vAlign w:val="center"/>
            <w:hideMark/>
          </w:tcPr>
          <w:p w14:paraId="4192E12F" w14:textId="77777777" w:rsidR="002C1F32" w:rsidRPr="00F551A2" w:rsidRDefault="002C1F32" w:rsidP="002D7202">
            <w:pPr>
              <w:spacing w:before="60" w:after="60"/>
              <w:rPr>
                <w:rFonts w:ascii="Arial" w:hAnsi="Arial" w:cs="Arial"/>
              </w:rPr>
            </w:pPr>
          </w:p>
        </w:tc>
        <w:tc>
          <w:tcPr>
            <w:tcW w:w="1134" w:type="dxa"/>
            <w:tcBorders>
              <w:top w:val="nil"/>
              <w:left w:val="nil"/>
              <w:bottom w:val="single" w:sz="4" w:space="0" w:color="auto"/>
              <w:right w:val="single" w:sz="8" w:space="0" w:color="auto"/>
            </w:tcBorders>
            <w:shd w:val="clear" w:color="auto" w:fill="auto"/>
            <w:vAlign w:val="center"/>
            <w:hideMark/>
          </w:tcPr>
          <w:p w14:paraId="3AD5ADC1" w14:textId="77777777" w:rsidR="002C1F32" w:rsidRPr="00F551A2" w:rsidRDefault="002C1F32" w:rsidP="002D7202">
            <w:pPr>
              <w:spacing w:before="60" w:after="60"/>
              <w:rPr>
                <w:rFonts w:ascii="Arial" w:hAnsi="Arial" w:cs="Arial"/>
              </w:rPr>
            </w:pPr>
          </w:p>
        </w:tc>
        <w:tc>
          <w:tcPr>
            <w:tcW w:w="1134" w:type="dxa"/>
            <w:tcBorders>
              <w:top w:val="nil"/>
              <w:left w:val="nil"/>
              <w:bottom w:val="single" w:sz="4" w:space="0" w:color="auto"/>
              <w:right w:val="single" w:sz="8" w:space="0" w:color="auto"/>
            </w:tcBorders>
            <w:vAlign w:val="center"/>
          </w:tcPr>
          <w:p w14:paraId="32778B3F"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276" w:type="dxa"/>
            <w:tcBorders>
              <w:top w:val="nil"/>
              <w:left w:val="nil"/>
              <w:bottom w:val="single" w:sz="4" w:space="0" w:color="auto"/>
              <w:right w:val="single" w:sz="8" w:space="0" w:color="auto"/>
            </w:tcBorders>
            <w:vAlign w:val="center"/>
          </w:tcPr>
          <w:p w14:paraId="2F25CA54" w14:textId="77777777" w:rsidR="002C1F32" w:rsidRPr="00F551A2" w:rsidRDefault="002C1F32" w:rsidP="002D7202">
            <w:pPr>
              <w:spacing w:before="60" w:after="60"/>
              <w:jc w:val="center"/>
              <w:rPr>
                <w:rFonts w:ascii="Arial" w:hAnsi="Arial" w:cs="Arial"/>
                <w:color w:val="000000"/>
              </w:rPr>
            </w:pPr>
          </w:p>
        </w:tc>
      </w:tr>
      <w:tr w:rsidR="002C1F32" w:rsidRPr="00F551A2" w14:paraId="078EB3C7" w14:textId="77777777" w:rsidTr="002D7202">
        <w:trPr>
          <w:cantSplit/>
          <w:trHeight w:val="525"/>
          <w:jc w:val="center"/>
        </w:trPr>
        <w:tc>
          <w:tcPr>
            <w:tcW w:w="659" w:type="dxa"/>
            <w:tcBorders>
              <w:top w:val="nil"/>
              <w:left w:val="single" w:sz="8" w:space="0" w:color="auto"/>
              <w:bottom w:val="single" w:sz="8" w:space="0" w:color="auto"/>
              <w:right w:val="single" w:sz="8" w:space="0" w:color="auto"/>
            </w:tcBorders>
            <w:shd w:val="clear" w:color="auto" w:fill="auto"/>
            <w:noWrap/>
            <w:vAlign w:val="center"/>
            <w:hideMark/>
          </w:tcPr>
          <w:p w14:paraId="5667910A" w14:textId="77777777" w:rsidR="002C1F32" w:rsidRPr="00F551A2" w:rsidRDefault="002C1F32" w:rsidP="002D7202">
            <w:pPr>
              <w:spacing w:before="60" w:after="60"/>
              <w:jc w:val="center"/>
              <w:rPr>
                <w:rFonts w:ascii="Arial" w:hAnsi="Arial" w:cs="Arial"/>
              </w:rPr>
            </w:pPr>
            <w:r w:rsidRPr="00F551A2">
              <w:rPr>
                <w:rFonts w:ascii="Arial" w:hAnsi="Arial" w:cs="Arial"/>
              </w:rPr>
              <w:t>29</w:t>
            </w:r>
          </w:p>
        </w:tc>
        <w:tc>
          <w:tcPr>
            <w:tcW w:w="4743" w:type="dxa"/>
            <w:tcBorders>
              <w:top w:val="nil"/>
              <w:left w:val="nil"/>
              <w:bottom w:val="single" w:sz="8" w:space="0" w:color="auto"/>
              <w:right w:val="single" w:sz="8" w:space="0" w:color="auto"/>
            </w:tcBorders>
            <w:shd w:val="clear" w:color="auto" w:fill="auto"/>
            <w:vAlign w:val="center"/>
            <w:hideMark/>
          </w:tcPr>
          <w:p w14:paraId="5E33FDDB" w14:textId="77777777" w:rsidR="002C1F32" w:rsidRPr="00F551A2" w:rsidRDefault="002C1F32" w:rsidP="002D7202">
            <w:pPr>
              <w:spacing w:before="60" w:after="60"/>
              <w:jc w:val="both"/>
              <w:rPr>
                <w:rFonts w:ascii="Arial" w:hAnsi="Arial" w:cs="Arial"/>
              </w:rPr>
            </w:pPr>
            <w:r w:rsidRPr="00F551A2">
              <w:rPr>
                <w:rFonts w:ascii="Arial" w:hAnsi="Arial" w:cs="Arial"/>
              </w:rPr>
              <w:t>Falta de repasse de contribuições retidas dos servidores para o Regime Próprio de Previdência.</w:t>
            </w:r>
          </w:p>
        </w:tc>
        <w:tc>
          <w:tcPr>
            <w:tcW w:w="1559" w:type="dxa"/>
            <w:tcBorders>
              <w:top w:val="nil"/>
              <w:left w:val="nil"/>
              <w:bottom w:val="single" w:sz="8" w:space="0" w:color="auto"/>
              <w:right w:val="single" w:sz="8" w:space="0" w:color="auto"/>
            </w:tcBorders>
            <w:shd w:val="clear" w:color="auto" w:fill="auto"/>
            <w:vAlign w:val="center"/>
            <w:hideMark/>
          </w:tcPr>
          <w:p w14:paraId="0B9E9081" w14:textId="77777777" w:rsidR="002C1F32" w:rsidRPr="00F551A2" w:rsidRDefault="002C1F32" w:rsidP="002D7202">
            <w:pPr>
              <w:spacing w:before="60" w:after="60"/>
              <w:rPr>
                <w:rFonts w:ascii="Arial" w:hAnsi="Arial" w:cs="Arial"/>
              </w:rPr>
            </w:pPr>
            <w:r w:rsidRPr="00F551A2">
              <w:rPr>
                <w:rFonts w:ascii="Arial" w:hAnsi="Arial" w:cs="Arial"/>
              </w:rPr>
              <w:t>Gestão do RPPS</w:t>
            </w:r>
          </w:p>
        </w:tc>
        <w:tc>
          <w:tcPr>
            <w:tcW w:w="1276" w:type="dxa"/>
            <w:tcBorders>
              <w:top w:val="nil"/>
              <w:left w:val="nil"/>
              <w:bottom w:val="single" w:sz="8" w:space="0" w:color="auto"/>
              <w:right w:val="single" w:sz="8" w:space="0" w:color="auto"/>
            </w:tcBorders>
            <w:shd w:val="clear" w:color="auto" w:fill="auto"/>
            <w:noWrap/>
            <w:vAlign w:val="center"/>
            <w:hideMark/>
          </w:tcPr>
          <w:p w14:paraId="5D1A6573" w14:textId="77777777" w:rsidR="002C1F32" w:rsidRPr="00F551A2" w:rsidRDefault="002C1F32" w:rsidP="002D7202">
            <w:pPr>
              <w:spacing w:before="60" w:after="60"/>
              <w:rPr>
                <w:rFonts w:ascii="Arial" w:hAnsi="Arial" w:cs="Arial"/>
              </w:rPr>
            </w:pPr>
            <w:r w:rsidRPr="00F551A2">
              <w:rPr>
                <w:rFonts w:ascii="Arial" w:hAnsi="Arial" w:cs="Arial"/>
              </w:rPr>
              <w:t>Restrição</w:t>
            </w:r>
          </w:p>
        </w:tc>
        <w:tc>
          <w:tcPr>
            <w:tcW w:w="1134" w:type="dxa"/>
            <w:tcBorders>
              <w:top w:val="nil"/>
              <w:left w:val="nil"/>
              <w:bottom w:val="single" w:sz="8" w:space="0" w:color="auto"/>
              <w:right w:val="single" w:sz="8" w:space="0" w:color="auto"/>
            </w:tcBorders>
            <w:shd w:val="clear" w:color="auto" w:fill="auto"/>
            <w:vAlign w:val="center"/>
            <w:hideMark/>
          </w:tcPr>
          <w:p w14:paraId="58B2DCA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hideMark/>
          </w:tcPr>
          <w:p w14:paraId="60C7870C"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hideMark/>
          </w:tcPr>
          <w:p w14:paraId="6194C0C8"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vAlign w:val="center"/>
          </w:tcPr>
          <w:p w14:paraId="22B4A84D" w14:textId="77777777" w:rsidR="002C1F32" w:rsidRPr="00F551A2" w:rsidRDefault="002C1F32" w:rsidP="002D7202">
            <w:pPr>
              <w:spacing w:before="60" w:after="60"/>
              <w:rPr>
                <w:rFonts w:ascii="Arial" w:hAnsi="Arial" w:cs="Arial"/>
              </w:rPr>
            </w:pPr>
          </w:p>
        </w:tc>
        <w:tc>
          <w:tcPr>
            <w:tcW w:w="1276" w:type="dxa"/>
            <w:tcBorders>
              <w:top w:val="nil"/>
              <w:left w:val="nil"/>
              <w:bottom w:val="single" w:sz="8" w:space="0" w:color="auto"/>
              <w:right w:val="single" w:sz="8" w:space="0" w:color="auto"/>
            </w:tcBorders>
            <w:vAlign w:val="center"/>
          </w:tcPr>
          <w:p w14:paraId="07A95E2E"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6EF66009" w14:textId="77777777" w:rsidTr="002D7202">
        <w:trPr>
          <w:cantSplit/>
          <w:trHeight w:val="525"/>
          <w:jc w:val="center"/>
        </w:trPr>
        <w:tc>
          <w:tcPr>
            <w:tcW w:w="659" w:type="dxa"/>
            <w:tcBorders>
              <w:top w:val="nil"/>
              <w:left w:val="single" w:sz="8" w:space="0" w:color="auto"/>
              <w:bottom w:val="single" w:sz="8" w:space="0" w:color="auto"/>
              <w:right w:val="single" w:sz="8" w:space="0" w:color="auto"/>
            </w:tcBorders>
            <w:shd w:val="clear" w:color="auto" w:fill="auto"/>
            <w:noWrap/>
            <w:vAlign w:val="center"/>
            <w:hideMark/>
          </w:tcPr>
          <w:p w14:paraId="08937B1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30</w:t>
            </w:r>
          </w:p>
        </w:tc>
        <w:tc>
          <w:tcPr>
            <w:tcW w:w="4743" w:type="dxa"/>
            <w:tcBorders>
              <w:top w:val="nil"/>
              <w:left w:val="nil"/>
              <w:bottom w:val="single" w:sz="8" w:space="0" w:color="auto"/>
              <w:right w:val="single" w:sz="8" w:space="0" w:color="auto"/>
            </w:tcBorders>
            <w:shd w:val="clear" w:color="auto" w:fill="auto"/>
            <w:vAlign w:val="center"/>
            <w:hideMark/>
          </w:tcPr>
          <w:p w14:paraId="1CE5D1C3" w14:textId="77777777" w:rsidR="002C1F32" w:rsidRPr="00F551A2" w:rsidRDefault="002C1F32" w:rsidP="002D7202">
            <w:pPr>
              <w:spacing w:before="60" w:after="60"/>
              <w:jc w:val="both"/>
              <w:rPr>
                <w:rFonts w:ascii="Arial" w:hAnsi="Arial" w:cs="Arial"/>
                <w:b/>
                <w:color w:val="000000"/>
              </w:rPr>
            </w:pPr>
            <w:r w:rsidRPr="00F551A2">
              <w:rPr>
                <w:rFonts w:ascii="Arial" w:hAnsi="Arial" w:cs="Arial"/>
                <w:color w:val="000000"/>
              </w:rPr>
              <w:t>Falta de repasse de contribuições patronais para o Regime Próprio de Previdência.</w:t>
            </w:r>
          </w:p>
        </w:tc>
        <w:tc>
          <w:tcPr>
            <w:tcW w:w="1559" w:type="dxa"/>
            <w:tcBorders>
              <w:top w:val="nil"/>
              <w:left w:val="nil"/>
              <w:bottom w:val="single" w:sz="8" w:space="0" w:color="auto"/>
              <w:right w:val="single" w:sz="8" w:space="0" w:color="auto"/>
            </w:tcBorders>
            <w:shd w:val="clear" w:color="auto" w:fill="auto"/>
            <w:vAlign w:val="center"/>
            <w:hideMark/>
          </w:tcPr>
          <w:p w14:paraId="37ACE65B"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Gestão do RPPS</w:t>
            </w:r>
          </w:p>
        </w:tc>
        <w:tc>
          <w:tcPr>
            <w:tcW w:w="1276" w:type="dxa"/>
            <w:tcBorders>
              <w:top w:val="nil"/>
              <w:left w:val="nil"/>
              <w:bottom w:val="single" w:sz="8" w:space="0" w:color="auto"/>
              <w:right w:val="single" w:sz="8" w:space="0" w:color="auto"/>
            </w:tcBorders>
            <w:shd w:val="clear" w:color="auto" w:fill="auto"/>
            <w:noWrap/>
            <w:vAlign w:val="center"/>
            <w:hideMark/>
          </w:tcPr>
          <w:p w14:paraId="7F0DF397"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8" w:space="0" w:color="auto"/>
              <w:right w:val="single" w:sz="8" w:space="0" w:color="auto"/>
            </w:tcBorders>
            <w:shd w:val="clear" w:color="auto" w:fill="auto"/>
            <w:vAlign w:val="center"/>
            <w:hideMark/>
          </w:tcPr>
          <w:p w14:paraId="5546F372"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hideMark/>
          </w:tcPr>
          <w:p w14:paraId="1DF6458A"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shd w:val="clear" w:color="auto" w:fill="auto"/>
            <w:vAlign w:val="center"/>
            <w:hideMark/>
          </w:tcPr>
          <w:p w14:paraId="0BD692E8"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8" w:space="0" w:color="auto"/>
              <w:right w:val="single" w:sz="8" w:space="0" w:color="auto"/>
            </w:tcBorders>
            <w:vAlign w:val="center"/>
          </w:tcPr>
          <w:p w14:paraId="41CE849B" w14:textId="77777777" w:rsidR="002C1F32" w:rsidRPr="00F551A2" w:rsidRDefault="002C1F32" w:rsidP="002D7202">
            <w:pPr>
              <w:spacing w:before="60" w:after="60"/>
              <w:rPr>
                <w:rFonts w:ascii="Arial" w:hAnsi="Arial" w:cs="Arial"/>
              </w:rPr>
            </w:pPr>
          </w:p>
        </w:tc>
        <w:tc>
          <w:tcPr>
            <w:tcW w:w="1276" w:type="dxa"/>
            <w:tcBorders>
              <w:top w:val="nil"/>
              <w:left w:val="nil"/>
              <w:bottom w:val="single" w:sz="8" w:space="0" w:color="auto"/>
              <w:right w:val="single" w:sz="8" w:space="0" w:color="auto"/>
            </w:tcBorders>
            <w:vAlign w:val="center"/>
          </w:tcPr>
          <w:p w14:paraId="2AC1FC3C"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103C69A9" w14:textId="77777777" w:rsidTr="002D7202">
        <w:trPr>
          <w:cantSplit/>
          <w:trHeight w:val="315"/>
          <w:jc w:val="center"/>
        </w:trPr>
        <w:tc>
          <w:tcPr>
            <w:tcW w:w="659" w:type="dxa"/>
            <w:tcBorders>
              <w:top w:val="nil"/>
              <w:left w:val="single" w:sz="8" w:space="0" w:color="auto"/>
              <w:bottom w:val="single" w:sz="4" w:space="0" w:color="auto"/>
              <w:right w:val="single" w:sz="8" w:space="0" w:color="auto"/>
            </w:tcBorders>
            <w:shd w:val="clear" w:color="auto" w:fill="auto"/>
            <w:noWrap/>
            <w:vAlign w:val="center"/>
            <w:hideMark/>
          </w:tcPr>
          <w:p w14:paraId="7CCF3C1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31</w:t>
            </w:r>
          </w:p>
        </w:tc>
        <w:tc>
          <w:tcPr>
            <w:tcW w:w="4743" w:type="dxa"/>
            <w:tcBorders>
              <w:top w:val="nil"/>
              <w:left w:val="nil"/>
              <w:bottom w:val="single" w:sz="4" w:space="0" w:color="auto"/>
              <w:right w:val="single" w:sz="8" w:space="0" w:color="auto"/>
            </w:tcBorders>
            <w:shd w:val="clear" w:color="auto" w:fill="auto"/>
            <w:vAlign w:val="center"/>
            <w:hideMark/>
          </w:tcPr>
          <w:p w14:paraId="35414441"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Falta de repasse de contribuições retidas dos servidores para o INSS.</w:t>
            </w:r>
          </w:p>
        </w:tc>
        <w:tc>
          <w:tcPr>
            <w:tcW w:w="1559" w:type="dxa"/>
            <w:tcBorders>
              <w:top w:val="nil"/>
              <w:left w:val="nil"/>
              <w:bottom w:val="single" w:sz="4" w:space="0" w:color="auto"/>
              <w:right w:val="single" w:sz="8" w:space="0" w:color="auto"/>
            </w:tcBorders>
            <w:shd w:val="clear" w:color="auto" w:fill="auto"/>
            <w:vAlign w:val="center"/>
            <w:hideMark/>
          </w:tcPr>
          <w:p w14:paraId="23E43BDF"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Previdenciários</w:t>
            </w:r>
          </w:p>
        </w:tc>
        <w:tc>
          <w:tcPr>
            <w:tcW w:w="1276" w:type="dxa"/>
            <w:tcBorders>
              <w:top w:val="nil"/>
              <w:left w:val="nil"/>
              <w:bottom w:val="single" w:sz="4" w:space="0" w:color="auto"/>
              <w:right w:val="single" w:sz="8" w:space="0" w:color="auto"/>
            </w:tcBorders>
            <w:shd w:val="clear" w:color="auto" w:fill="auto"/>
            <w:noWrap/>
            <w:vAlign w:val="center"/>
            <w:hideMark/>
          </w:tcPr>
          <w:p w14:paraId="05D98DB7"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4" w:space="0" w:color="auto"/>
              <w:right w:val="single" w:sz="8" w:space="0" w:color="auto"/>
            </w:tcBorders>
            <w:shd w:val="clear" w:color="auto" w:fill="auto"/>
            <w:vAlign w:val="center"/>
            <w:hideMark/>
          </w:tcPr>
          <w:p w14:paraId="061E65B3"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shd w:val="clear" w:color="auto" w:fill="auto"/>
            <w:vAlign w:val="center"/>
            <w:hideMark/>
          </w:tcPr>
          <w:p w14:paraId="57302AB0"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shd w:val="clear" w:color="auto" w:fill="auto"/>
            <w:vAlign w:val="center"/>
            <w:hideMark/>
          </w:tcPr>
          <w:p w14:paraId="6DE297A6"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vAlign w:val="center"/>
          </w:tcPr>
          <w:p w14:paraId="28E0A2DB" w14:textId="77777777" w:rsidR="002C1F32" w:rsidRPr="00F551A2" w:rsidRDefault="002C1F32" w:rsidP="002D7202">
            <w:pPr>
              <w:spacing w:before="60" w:after="60"/>
              <w:rPr>
                <w:rFonts w:ascii="Arial" w:hAnsi="Arial" w:cs="Arial"/>
              </w:rPr>
            </w:pPr>
          </w:p>
        </w:tc>
        <w:tc>
          <w:tcPr>
            <w:tcW w:w="1276" w:type="dxa"/>
            <w:tcBorders>
              <w:top w:val="nil"/>
              <w:left w:val="nil"/>
              <w:bottom w:val="single" w:sz="4" w:space="0" w:color="auto"/>
              <w:right w:val="single" w:sz="8" w:space="0" w:color="auto"/>
            </w:tcBorders>
            <w:vAlign w:val="center"/>
          </w:tcPr>
          <w:p w14:paraId="4CD48699"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38CDCC10" w14:textId="77777777" w:rsidTr="002D7202">
        <w:trPr>
          <w:cantSplit/>
          <w:trHeight w:val="315"/>
          <w:jc w:val="center"/>
        </w:trPr>
        <w:tc>
          <w:tcPr>
            <w:tcW w:w="659" w:type="dxa"/>
            <w:tcBorders>
              <w:top w:val="nil"/>
              <w:left w:val="single" w:sz="8" w:space="0" w:color="auto"/>
              <w:bottom w:val="single" w:sz="4" w:space="0" w:color="auto"/>
              <w:right w:val="single" w:sz="8" w:space="0" w:color="auto"/>
            </w:tcBorders>
            <w:shd w:val="clear" w:color="auto" w:fill="auto"/>
            <w:noWrap/>
            <w:vAlign w:val="center"/>
            <w:hideMark/>
          </w:tcPr>
          <w:p w14:paraId="78AE363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32</w:t>
            </w:r>
          </w:p>
        </w:tc>
        <w:tc>
          <w:tcPr>
            <w:tcW w:w="4743" w:type="dxa"/>
            <w:tcBorders>
              <w:top w:val="nil"/>
              <w:left w:val="nil"/>
              <w:bottom w:val="single" w:sz="4" w:space="0" w:color="auto"/>
              <w:right w:val="single" w:sz="8" w:space="0" w:color="auto"/>
            </w:tcBorders>
            <w:shd w:val="clear" w:color="auto" w:fill="auto"/>
            <w:vAlign w:val="center"/>
            <w:hideMark/>
          </w:tcPr>
          <w:p w14:paraId="4E6289D6"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Falta de repasse de contribuições patronais para o INSS.</w:t>
            </w:r>
          </w:p>
        </w:tc>
        <w:tc>
          <w:tcPr>
            <w:tcW w:w="1559" w:type="dxa"/>
            <w:tcBorders>
              <w:top w:val="nil"/>
              <w:left w:val="nil"/>
              <w:bottom w:val="single" w:sz="4" w:space="0" w:color="auto"/>
              <w:right w:val="single" w:sz="8" w:space="0" w:color="auto"/>
            </w:tcBorders>
            <w:shd w:val="clear" w:color="auto" w:fill="auto"/>
            <w:vAlign w:val="center"/>
            <w:hideMark/>
          </w:tcPr>
          <w:p w14:paraId="354EB6E0"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Previdenciários</w:t>
            </w:r>
          </w:p>
        </w:tc>
        <w:tc>
          <w:tcPr>
            <w:tcW w:w="1276" w:type="dxa"/>
            <w:tcBorders>
              <w:top w:val="nil"/>
              <w:left w:val="nil"/>
              <w:bottom w:val="single" w:sz="4" w:space="0" w:color="auto"/>
              <w:right w:val="single" w:sz="8" w:space="0" w:color="auto"/>
            </w:tcBorders>
            <w:shd w:val="clear" w:color="auto" w:fill="auto"/>
            <w:noWrap/>
            <w:vAlign w:val="center"/>
            <w:hideMark/>
          </w:tcPr>
          <w:p w14:paraId="27CA8AF0"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4" w:space="0" w:color="auto"/>
              <w:right w:val="single" w:sz="8" w:space="0" w:color="auto"/>
            </w:tcBorders>
            <w:shd w:val="clear" w:color="auto" w:fill="auto"/>
            <w:vAlign w:val="center"/>
            <w:hideMark/>
          </w:tcPr>
          <w:p w14:paraId="2040F1AE"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shd w:val="clear" w:color="auto" w:fill="auto"/>
            <w:vAlign w:val="center"/>
            <w:hideMark/>
          </w:tcPr>
          <w:p w14:paraId="7684678A"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shd w:val="clear" w:color="auto" w:fill="auto"/>
            <w:vAlign w:val="center"/>
            <w:hideMark/>
          </w:tcPr>
          <w:p w14:paraId="50851656"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vAlign w:val="center"/>
          </w:tcPr>
          <w:p w14:paraId="1CB6CF2A" w14:textId="77777777" w:rsidR="002C1F32" w:rsidRPr="00F551A2" w:rsidRDefault="002C1F32" w:rsidP="002D7202">
            <w:pPr>
              <w:spacing w:before="60" w:after="60"/>
              <w:rPr>
                <w:rFonts w:ascii="Arial" w:hAnsi="Arial" w:cs="Arial"/>
              </w:rPr>
            </w:pPr>
          </w:p>
        </w:tc>
        <w:tc>
          <w:tcPr>
            <w:tcW w:w="1276" w:type="dxa"/>
            <w:tcBorders>
              <w:top w:val="nil"/>
              <w:left w:val="nil"/>
              <w:bottom w:val="single" w:sz="4" w:space="0" w:color="auto"/>
              <w:right w:val="single" w:sz="8" w:space="0" w:color="auto"/>
            </w:tcBorders>
            <w:vAlign w:val="center"/>
          </w:tcPr>
          <w:p w14:paraId="2C3643A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7407A590" w14:textId="77777777" w:rsidTr="002D7202">
        <w:trPr>
          <w:cantSplit/>
          <w:trHeight w:val="315"/>
          <w:jc w:val="center"/>
        </w:trPr>
        <w:tc>
          <w:tcPr>
            <w:tcW w:w="659" w:type="dxa"/>
            <w:tcBorders>
              <w:top w:val="nil"/>
              <w:left w:val="single" w:sz="8" w:space="0" w:color="auto"/>
              <w:bottom w:val="single" w:sz="4" w:space="0" w:color="auto"/>
              <w:right w:val="single" w:sz="8" w:space="0" w:color="auto"/>
            </w:tcBorders>
            <w:shd w:val="clear" w:color="auto" w:fill="auto"/>
            <w:noWrap/>
            <w:vAlign w:val="center"/>
          </w:tcPr>
          <w:p w14:paraId="4A1A415A"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lastRenderedPageBreak/>
              <w:t>33</w:t>
            </w:r>
          </w:p>
        </w:tc>
        <w:tc>
          <w:tcPr>
            <w:tcW w:w="4743" w:type="dxa"/>
            <w:tcBorders>
              <w:top w:val="nil"/>
              <w:left w:val="nil"/>
              <w:bottom w:val="single" w:sz="4" w:space="0" w:color="auto"/>
              <w:right w:val="single" w:sz="8" w:space="0" w:color="auto"/>
            </w:tcBorders>
            <w:shd w:val="clear" w:color="auto" w:fill="auto"/>
            <w:vAlign w:val="center"/>
          </w:tcPr>
          <w:p w14:paraId="6C49F4BB"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Imputações de débitos ao gestor por danos (encargos) causados ao erário pelo recolhimento em atraso de contribuições devidas ao INSS, a qualquer título, incluindo parcelamentos do período respectivo às contas.</w:t>
            </w:r>
          </w:p>
        </w:tc>
        <w:tc>
          <w:tcPr>
            <w:tcW w:w="1559" w:type="dxa"/>
            <w:tcBorders>
              <w:top w:val="nil"/>
              <w:left w:val="nil"/>
              <w:bottom w:val="single" w:sz="4" w:space="0" w:color="auto"/>
              <w:right w:val="single" w:sz="8" w:space="0" w:color="auto"/>
            </w:tcBorders>
            <w:shd w:val="clear" w:color="auto" w:fill="auto"/>
            <w:vAlign w:val="center"/>
          </w:tcPr>
          <w:p w14:paraId="6C3E9E5F"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Financeiros</w:t>
            </w:r>
          </w:p>
        </w:tc>
        <w:tc>
          <w:tcPr>
            <w:tcW w:w="1276" w:type="dxa"/>
            <w:tcBorders>
              <w:top w:val="nil"/>
              <w:left w:val="nil"/>
              <w:bottom w:val="single" w:sz="4" w:space="0" w:color="auto"/>
              <w:right w:val="single" w:sz="8" w:space="0" w:color="auto"/>
            </w:tcBorders>
            <w:shd w:val="clear" w:color="auto" w:fill="auto"/>
            <w:noWrap/>
            <w:vAlign w:val="center"/>
          </w:tcPr>
          <w:p w14:paraId="394E86D7"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4" w:space="0" w:color="auto"/>
              <w:right w:val="single" w:sz="8" w:space="0" w:color="auto"/>
            </w:tcBorders>
            <w:shd w:val="clear" w:color="auto" w:fill="auto"/>
            <w:vAlign w:val="center"/>
          </w:tcPr>
          <w:p w14:paraId="1497C85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shd w:val="clear" w:color="auto" w:fill="auto"/>
            <w:vAlign w:val="center"/>
          </w:tcPr>
          <w:p w14:paraId="1DED6A1B"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shd w:val="clear" w:color="auto" w:fill="auto"/>
            <w:vAlign w:val="center"/>
          </w:tcPr>
          <w:p w14:paraId="380C3FA3"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vAlign w:val="center"/>
          </w:tcPr>
          <w:p w14:paraId="48F22209" w14:textId="77777777" w:rsidR="002C1F32" w:rsidRPr="00F551A2" w:rsidRDefault="002C1F32" w:rsidP="002D7202">
            <w:pPr>
              <w:spacing w:before="60" w:after="60"/>
              <w:rPr>
                <w:rFonts w:ascii="Arial" w:hAnsi="Arial" w:cs="Arial"/>
              </w:rPr>
            </w:pPr>
          </w:p>
        </w:tc>
        <w:tc>
          <w:tcPr>
            <w:tcW w:w="1276" w:type="dxa"/>
            <w:tcBorders>
              <w:top w:val="nil"/>
              <w:left w:val="nil"/>
              <w:bottom w:val="single" w:sz="4" w:space="0" w:color="auto"/>
              <w:right w:val="single" w:sz="8" w:space="0" w:color="auto"/>
            </w:tcBorders>
            <w:vAlign w:val="center"/>
          </w:tcPr>
          <w:p w14:paraId="0C109A99"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1C71EF82" w14:textId="77777777" w:rsidTr="002D7202">
        <w:trPr>
          <w:cantSplit/>
          <w:trHeight w:val="315"/>
          <w:jc w:val="center"/>
        </w:trPr>
        <w:tc>
          <w:tcPr>
            <w:tcW w:w="659" w:type="dxa"/>
            <w:tcBorders>
              <w:top w:val="nil"/>
              <w:left w:val="single" w:sz="8" w:space="0" w:color="auto"/>
              <w:bottom w:val="single" w:sz="4" w:space="0" w:color="auto"/>
              <w:right w:val="single" w:sz="8" w:space="0" w:color="auto"/>
            </w:tcBorders>
            <w:shd w:val="clear" w:color="auto" w:fill="auto"/>
            <w:noWrap/>
            <w:vAlign w:val="center"/>
          </w:tcPr>
          <w:p w14:paraId="6467782D"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34</w:t>
            </w:r>
          </w:p>
        </w:tc>
        <w:tc>
          <w:tcPr>
            <w:tcW w:w="4743" w:type="dxa"/>
            <w:tcBorders>
              <w:top w:val="nil"/>
              <w:left w:val="nil"/>
              <w:bottom w:val="single" w:sz="4" w:space="0" w:color="auto"/>
              <w:right w:val="single" w:sz="8" w:space="0" w:color="auto"/>
            </w:tcBorders>
            <w:shd w:val="clear" w:color="auto" w:fill="auto"/>
            <w:vAlign w:val="center"/>
          </w:tcPr>
          <w:p w14:paraId="707A41B8"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Falta de encaminhamento de informações e documentos relativos a contribuições recolhidas em atraso ao INSS, a qualquer título, incluindo parcelamentos de débitos do período respectivo às contas.</w:t>
            </w:r>
          </w:p>
        </w:tc>
        <w:tc>
          <w:tcPr>
            <w:tcW w:w="1559" w:type="dxa"/>
            <w:tcBorders>
              <w:top w:val="nil"/>
              <w:left w:val="nil"/>
              <w:bottom w:val="single" w:sz="4" w:space="0" w:color="auto"/>
              <w:right w:val="single" w:sz="8" w:space="0" w:color="auto"/>
            </w:tcBorders>
            <w:shd w:val="clear" w:color="auto" w:fill="auto"/>
            <w:vAlign w:val="center"/>
          </w:tcPr>
          <w:p w14:paraId="1D3814D9"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Financeiros</w:t>
            </w:r>
          </w:p>
        </w:tc>
        <w:tc>
          <w:tcPr>
            <w:tcW w:w="1276" w:type="dxa"/>
            <w:tcBorders>
              <w:top w:val="nil"/>
              <w:left w:val="nil"/>
              <w:bottom w:val="single" w:sz="4" w:space="0" w:color="auto"/>
              <w:right w:val="single" w:sz="8" w:space="0" w:color="auto"/>
            </w:tcBorders>
            <w:shd w:val="clear" w:color="auto" w:fill="auto"/>
            <w:noWrap/>
            <w:vAlign w:val="center"/>
          </w:tcPr>
          <w:p w14:paraId="0B849CFB"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4" w:space="0" w:color="auto"/>
              <w:right w:val="single" w:sz="8" w:space="0" w:color="auto"/>
            </w:tcBorders>
            <w:shd w:val="clear" w:color="auto" w:fill="auto"/>
            <w:vAlign w:val="center"/>
          </w:tcPr>
          <w:p w14:paraId="7986FBFB"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shd w:val="clear" w:color="auto" w:fill="auto"/>
            <w:vAlign w:val="center"/>
          </w:tcPr>
          <w:p w14:paraId="4A7DD23B"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shd w:val="clear" w:color="auto" w:fill="auto"/>
            <w:vAlign w:val="center"/>
          </w:tcPr>
          <w:p w14:paraId="57F6F9A0"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vAlign w:val="center"/>
          </w:tcPr>
          <w:p w14:paraId="38D340F3" w14:textId="77777777" w:rsidR="002C1F32" w:rsidRPr="00F551A2" w:rsidRDefault="002C1F32" w:rsidP="002D7202">
            <w:pPr>
              <w:spacing w:before="60" w:after="60"/>
              <w:rPr>
                <w:rFonts w:ascii="Arial" w:hAnsi="Arial" w:cs="Arial"/>
              </w:rPr>
            </w:pPr>
          </w:p>
        </w:tc>
        <w:tc>
          <w:tcPr>
            <w:tcW w:w="1276" w:type="dxa"/>
            <w:tcBorders>
              <w:top w:val="nil"/>
              <w:left w:val="nil"/>
              <w:bottom w:val="single" w:sz="4" w:space="0" w:color="auto"/>
              <w:right w:val="single" w:sz="8" w:space="0" w:color="auto"/>
            </w:tcBorders>
            <w:vAlign w:val="center"/>
          </w:tcPr>
          <w:p w14:paraId="1B6F6B3E"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26A8D05B" w14:textId="77777777" w:rsidTr="002D7202">
        <w:trPr>
          <w:cantSplit/>
          <w:trHeight w:val="525"/>
          <w:jc w:val="center"/>
        </w:trPr>
        <w:tc>
          <w:tcPr>
            <w:tcW w:w="65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9FE1ABA"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35</w:t>
            </w:r>
          </w:p>
        </w:tc>
        <w:tc>
          <w:tcPr>
            <w:tcW w:w="4743" w:type="dxa"/>
            <w:tcBorders>
              <w:top w:val="single" w:sz="4" w:space="0" w:color="auto"/>
              <w:left w:val="nil"/>
              <w:bottom w:val="single" w:sz="4" w:space="0" w:color="auto"/>
              <w:right w:val="single" w:sz="8" w:space="0" w:color="auto"/>
            </w:tcBorders>
            <w:shd w:val="clear" w:color="auto" w:fill="auto"/>
            <w:noWrap/>
            <w:vAlign w:val="center"/>
            <w:hideMark/>
          </w:tcPr>
          <w:p w14:paraId="04543CDF"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Falta de comprovação de regularidade previdenciária junto ao Ministério da Previdência Social.</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14:paraId="2EAFEEAF"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Gestão do RPPS</w:t>
            </w:r>
          </w:p>
        </w:tc>
        <w:tc>
          <w:tcPr>
            <w:tcW w:w="1276" w:type="dxa"/>
            <w:tcBorders>
              <w:top w:val="single" w:sz="4" w:space="0" w:color="auto"/>
              <w:left w:val="nil"/>
              <w:bottom w:val="single" w:sz="4" w:space="0" w:color="auto"/>
              <w:right w:val="single" w:sz="8" w:space="0" w:color="auto"/>
            </w:tcBorders>
            <w:shd w:val="clear" w:color="auto" w:fill="auto"/>
            <w:noWrap/>
            <w:vAlign w:val="center"/>
            <w:hideMark/>
          </w:tcPr>
          <w:p w14:paraId="2E6487D7"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61BC1BE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tcPr>
          <w:p w14:paraId="08870366"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4" w:space="0" w:color="auto"/>
              <w:right w:val="single" w:sz="8" w:space="0" w:color="auto"/>
            </w:tcBorders>
            <w:shd w:val="clear" w:color="auto" w:fill="auto"/>
            <w:vAlign w:val="center"/>
          </w:tcPr>
          <w:p w14:paraId="3E9A266A"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4" w:space="0" w:color="auto"/>
              <w:right w:val="single" w:sz="8" w:space="0" w:color="auto"/>
            </w:tcBorders>
            <w:vAlign w:val="center"/>
          </w:tcPr>
          <w:p w14:paraId="3AC0797D"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4" w:space="0" w:color="auto"/>
              <w:right w:val="single" w:sz="8" w:space="0" w:color="auto"/>
            </w:tcBorders>
            <w:vAlign w:val="center"/>
          </w:tcPr>
          <w:p w14:paraId="0501871B"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28198EA5" w14:textId="77777777" w:rsidTr="002D7202">
        <w:trPr>
          <w:cantSplit/>
          <w:trHeight w:val="525"/>
          <w:jc w:val="center"/>
        </w:trPr>
        <w:tc>
          <w:tcPr>
            <w:tcW w:w="65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54DF9B8"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36</w:t>
            </w:r>
          </w:p>
        </w:tc>
        <w:tc>
          <w:tcPr>
            <w:tcW w:w="4743" w:type="dxa"/>
            <w:tcBorders>
              <w:top w:val="single" w:sz="8" w:space="0" w:color="auto"/>
              <w:left w:val="nil"/>
              <w:bottom w:val="single" w:sz="4" w:space="0" w:color="auto"/>
              <w:right w:val="single" w:sz="8" w:space="0" w:color="auto"/>
            </w:tcBorders>
            <w:shd w:val="clear" w:color="auto" w:fill="auto"/>
            <w:noWrap/>
            <w:vAlign w:val="center"/>
            <w:hideMark/>
          </w:tcPr>
          <w:p w14:paraId="0B71C656"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 xml:space="preserve">Falta de encaminhamento do laudo atuarial </w:t>
            </w:r>
            <w:r>
              <w:rPr>
                <w:rFonts w:ascii="Arial" w:hAnsi="Arial" w:cs="Arial"/>
                <w:color w:val="000000"/>
              </w:rPr>
              <w:t>relativo</w:t>
            </w:r>
            <w:r w:rsidRPr="00F551A2">
              <w:rPr>
                <w:rFonts w:ascii="Arial" w:hAnsi="Arial" w:cs="Arial"/>
                <w:color w:val="000000"/>
              </w:rPr>
              <w:t xml:space="preserve"> ao exercício de 2013.</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14:paraId="26D29774"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Gestão do RPPS</w:t>
            </w: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14:paraId="7808F82E"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0B260203"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4C27E5F6" w14:textId="77777777" w:rsidR="002C1F32" w:rsidRPr="00F551A2" w:rsidRDefault="002C1F32" w:rsidP="002D7202">
            <w:pPr>
              <w:spacing w:before="60" w:after="60"/>
              <w:rPr>
                <w:rFonts w:ascii="Arial" w:hAnsi="Arial" w:cs="Arial"/>
              </w:rPr>
            </w:pPr>
          </w:p>
        </w:tc>
        <w:tc>
          <w:tcPr>
            <w:tcW w:w="1134" w:type="dxa"/>
            <w:tcBorders>
              <w:top w:val="single" w:sz="8" w:space="0" w:color="auto"/>
              <w:left w:val="nil"/>
              <w:bottom w:val="single" w:sz="4" w:space="0" w:color="auto"/>
              <w:right w:val="single" w:sz="8" w:space="0" w:color="auto"/>
            </w:tcBorders>
            <w:shd w:val="clear" w:color="auto" w:fill="auto"/>
            <w:vAlign w:val="center"/>
          </w:tcPr>
          <w:p w14:paraId="31ADE30A" w14:textId="77777777" w:rsidR="002C1F32" w:rsidRPr="00F551A2" w:rsidRDefault="002C1F32" w:rsidP="002D7202">
            <w:pPr>
              <w:spacing w:before="60" w:after="60"/>
              <w:rPr>
                <w:rFonts w:ascii="Arial" w:hAnsi="Arial" w:cs="Arial"/>
              </w:rPr>
            </w:pPr>
          </w:p>
        </w:tc>
        <w:tc>
          <w:tcPr>
            <w:tcW w:w="1134" w:type="dxa"/>
            <w:tcBorders>
              <w:top w:val="single" w:sz="8" w:space="0" w:color="auto"/>
              <w:left w:val="nil"/>
              <w:bottom w:val="single" w:sz="4" w:space="0" w:color="auto"/>
              <w:right w:val="single" w:sz="8" w:space="0" w:color="auto"/>
            </w:tcBorders>
            <w:vAlign w:val="center"/>
          </w:tcPr>
          <w:p w14:paraId="76EBB3D9" w14:textId="77777777" w:rsidR="002C1F32" w:rsidRPr="00F551A2" w:rsidRDefault="002C1F32" w:rsidP="002D7202">
            <w:pPr>
              <w:spacing w:before="60" w:after="60"/>
              <w:rPr>
                <w:rFonts w:ascii="Arial" w:hAnsi="Arial" w:cs="Arial"/>
              </w:rPr>
            </w:pPr>
          </w:p>
        </w:tc>
        <w:tc>
          <w:tcPr>
            <w:tcW w:w="1276" w:type="dxa"/>
            <w:tcBorders>
              <w:top w:val="single" w:sz="8" w:space="0" w:color="auto"/>
              <w:left w:val="nil"/>
              <w:bottom w:val="single" w:sz="4" w:space="0" w:color="auto"/>
              <w:right w:val="single" w:sz="8" w:space="0" w:color="auto"/>
            </w:tcBorders>
            <w:vAlign w:val="center"/>
          </w:tcPr>
          <w:p w14:paraId="4B5F7508"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5CBE25C9" w14:textId="77777777" w:rsidTr="002D7202">
        <w:trPr>
          <w:cantSplit/>
          <w:trHeight w:val="525"/>
          <w:jc w:val="center"/>
        </w:trPr>
        <w:tc>
          <w:tcPr>
            <w:tcW w:w="65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7822881"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37</w:t>
            </w:r>
          </w:p>
        </w:tc>
        <w:tc>
          <w:tcPr>
            <w:tcW w:w="4743" w:type="dxa"/>
            <w:tcBorders>
              <w:top w:val="single" w:sz="4" w:space="0" w:color="auto"/>
              <w:left w:val="nil"/>
              <w:bottom w:val="single" w:sz="8" w:space="0" w:color="auto"/>
              <w:right w:val="single" w:sz="8" w:space="0" w:color="auto"/>
            </w:tcBorders>
            <w:shd w:val="clear" w:color="auto" w:fill="auto"/>
            <w:noWrap/>
            <w:vAlign w:val="center"/>
            <w:hideMark/>
          </w:tcPr>
          <w:p w14:paraId="5758D187"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Inconsistência no registro de passivo atuarial em relação ao laudo respectivo ao exercício de 2013.</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056AFAD8"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Gestão do RPPS</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7425D8ED"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6AFFFF98"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79FD6207"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8" w:space="0" w:color="auto"/>
              <w:right w:val="single" w:sz="8" w:space="0" w:color="auto"/>
            </w:tcBorders>
            <w:shd w:val="clear" w:color="auto" w:fill="auto"/>
            <w:vAlign w:val="center"/>
          </w:tcPr>
          <w:p w14:paraId="08A69178"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8" w:space="0" w:color="auto"/>
              <w:right w:val="single" w:sz="8" w:space="0" w:color="auto"/>
            </w:tcBorders>
            <w:vAlign w:val="center"/>
          </w:tcPr>
          <w:p w14:paraId="792763DC"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8" w:space="0" w:color="auto"/>
              <w:right w:val="single" w:sz="8" w:space="0" w:color="auto"/>
            </w:tcBorders>
            <w:vAlign w:val="center"/>
          </w:tcPr>
          <w:p w14:paraId="772EE2C2"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685D3884" w14:textId="77777777" w:rsidTr="002D7202">
        <w:trPr>
          <w:cantSplit/>
          <w:trHeight w:val="525"/>
          <w:jc w:val="center"/>
        </w:trPr>
        <w:tc>
          <w:tcPr>
            <w:tcW w:w="659" w:type="dxa"/>
            <w:tcBorders>
              <w:top w:val="nil"/>
              <w:left w:val="single" w:sz="8" w:space="0" w:color="auto"/>
              <w:bottom w:val="single" w:sz="8" w:space="0" w:color="auto"/>
              <w:right w:val="single" w:sz="8" w:space="0" w:color="auto"/>
            </w:tcBorders>
            <w:shd w:val="clear" w:color="auto" w:fill="auto"/>
            <w:noWrap/>
            <w:vAlign w:val="center"/>
            <w:hideMark/>
          </w:tcPr>
          <w:p w14:paraId="05BC6CDC" w14:textId="77777777" w:rsidR="002C1F32" w:rsidRPr="00F551A2" w:rsidRDefault="002C1F32" w:rsidP="002D7202">
            <w:pPr>
              <w:spacing w:before="60" w:after="60"/>
              <w:jc w:val="center"/>
              <w:rPr>
                <w:rFonts w:ascii="Arial" w:hAnsi="Arial" w:cs="Arial"/>
              </w:rPr>
            </w:pPr>
            <w:r w:rsidRPr="00F551A2">
              <w:rPr>
                <w:rFonts w:ascii="Arial" w:hAnsi="Arial" w:cs="Arial"/>
              </w:rPr>
              <w:t>38</w:t>
            </w:r>
          </w:p>
        </w:tc>
        <w:tc>
          <w:tcPr>
            <w:tcW w:w="4743" w:type="dxa"/>
            <w:tcBorders>
              <w:top w:val="nil"/>
              <w:left w:val="nil"/>
              <w:bottom w:val="single" w:sz="8" w:space="0" w:color="auto"/>
              <w:right w:val="single" w:sz="8" w:space="0" w:color="auto"/>
            </w:tcBorders>
            <w:shd w:val="clear" w:color="auto" w:fill="auto"/>
            <w:noWrap/>
            <w:vAlign w:val="center"/>
            <w:hideMark/>
          </w:tcPr>
          <w:p w14:paraId="28A8E96C" w14:textId="77777777" w:rsidR="002C1F32" w:rsidRPr="00F551A2" w:rsidRDefault="002C1F32" w:rsidP="002D7202">
            <w:pPr>
              <w:spacing w:before="60" w:after="60"/>
              <w:jc w:val="both"/>
              <w:rPr>
                <w:rFonts w:ascii="Arial" w:hAnsi="Arial" w:cs="Arial"/>
              </w:rPr>
            </w:pPr>
            <w:r w:rsidRPr="00F551A2">
              <w:rPr>
                <w:rFonts w:ascii="Arial" w:hAnsi="Arial" w:cs="Arial"/>
              </w:rPr>
              <w:t>Falta de pagamento de aportes para cobertura do déficit atuarial na forma apurada no laudo atuarial.</w:t>
            </w:r>
          </w:p>
        </w:tc>
        <w:tc>
          <w:tcPr>
            <w:tcW w:w="1559" w:type="dxa"/>
            <w:tcBorders>
              <w:top w:val="nil"/>
              <w:left w:val="nil"/>
              <w:bottom w:val="single" w:sz="8" w:space="0" w:color="auto"/>
              <w:right w:val="single" w:sz="8" w:space="0" w:color="auto"/>
            </w:tcBorders>
            <w:shd w:val="clear" w:color="auto" w:fill="auto"/>
            <w:noWrap/>
            <w:vAlign w:val="center"/>
            <w:hideMark/>
          </w:tcPr>
          <w:p w14:paraId="730FA23B" w14:textId="77777777" w:rsidR="002C1F32" w:rsidRPr="00F551A2" w:rsidRDefault="002C1F32" w:rsidP="002D7202">
            <w:pPr>
              <w:spacing w:before="60" w:after="60"/>
              <w:rPr>
                <w:rFonts w:ascii="Arial" w:hAnsi="Arial" w:cs="Arial"/>
              </w:rPr>
            </w:pPr>
            <w:r w:rsidRPr="00F551A2">
              <w:rPr>
                <w:rFonts w:ascii="Arial" w:hAnsi="Arial" w:cs="Arial"/>
              </w:rPr>
              <w:t>Gestão do RPPS</w:t>
            </w:r>
          </w:p>
        </w:tc>
        <w:tc>
          <w:tcPr>
            <w:tcW w:w="1276" w:type="dxa"/>
            <w:tcBorders>
              <w:top w:val="nil"/>
              <w:left w:val="nil"/>
              <w:bottom w:val="single" w:sz="8" w:space="0" w:color="auto"/>
              <w:right w:val="single" w:sz="8" w:space="0" w:color="auto"/>
            </w:tcBorders>
            <w:shd w:val="clear" w:color="auto" w:fill="auto"/>
            <w:noWrap/>
            <w:vAlign w:val="center"/>
            <w:hideMark/>
          </w:tcPr>
          <w:p w14:paraId="39CFB502" w14:textId="77777777" w:rsidR="002C1F32" w:rsidRPr="00F551A2" w:rsidRDefault="002C1F32" w:rsidP="002D7202">
            <w:pPr>
              <w:spacing w:before="60" w:after="60"/>
              <w:rPr>
                <w:rFonts w:ascii="Arial" w:hAnsi="Arial" w:cs="Arial"/>
              </w:rPr>
            </w:pPr>
            <w:r w:rsidRPr="00F551A2">
              <w:rPr>
                <w:rFonts w:ascii="Arial" w:hAnsi="Arial" w:cs="Arial"/>
              </w:rPr>
              <w:t>Restrição</w:t>
            </w:r>
          </w:p>
        </w:tc>
        <w:tc>
          <w:tcPr>
            <w:tcW w:w="1134" w:type="dxa"/>
            <w:tcBorders>
              <w:top w:val="nil"/>
              <w:left w:val="nil"/>
              <w:bottom w:val="single" w:sz="8" w:space="0" w:color="auto"/>
              <w:right w:val="single" w:sz="8" w:space="0" w:color="auto"/>
            </w:tcBorders>
            <w:shd w:val="clear" w:color="auto" w:fill="auto"/>
            <w:vAlign w:val="center"/>
            <w:hideMark/>
          </w:tcPr>
          <w:p w14:paraId="705FE610" w14:textId="77777777" w:rsidR="002C1F32" w:rsidRPr="00F551A2" w:rsidRDefault="002C1F32" w:rsidP="002D7202">
            <w:pPr>
              <w:spacing w:before="60" w:after="60"/>
              <w:jc w:val="center"/>
              <w:rPr>
                <w:rFonts w:ascii="Arial" w:hAnsi="Arial" w:cs="Arial"/>
              </w:rPr>
            </w:pPr>
            <w:r w:rsidRPr="00F551A2">
              <w:rPr>
                <w:rFonts w:ascii="Arial" w:hAnsi="Arial" w:cs="Arial"/>
              </w:rPr>
              <w:t>X</w:t>
            </w:r>
          </w:p>
        </w:tc>
        <w:tc>
          <w:tcPr>
            <w:tcW w:w="1134" w:type="dxa"/>
            <w:tcBorders>
              <w:top w:val="nil"/>
              <w:left w:val="nil"/>
              <w:bottom w:val="single" w:sz="8" w:space="0" w:color="auto"/>
              <w:right w:val="single" w:sz="8" w:space="0" w:color="auto"/>
            </w:tcBorders>
            <w:shd w:val="clear" w:color="auto" w:fill="auto"/>
            <w:vAlign w:val="center"/>
            <w:hideMark/>
          </w:tcPr>
          <w:p w14:paraId="2A09F9F0" w14:textId="77777777" w:rsidR="002C1F32" w:rsidRPr="00F551A2" w:rsidRDefault="002C1F32" w:rsidP="002D7202">
            <w:pPr>
              <w:spacing w:before="60" w:after="60"/>
              <w:rPr>
                <w:rFonts w:ascii="Arial" w:hAnsi="Arial" w:cs="Arial"/>
              </w:rPr>
            </w:pPr>
          </w:p>
        </w:tc>
        <w:tc>
          <w:tcPr>
            <w:tcW w:w="1134" w:type="dxa"/>
            <w:tcBorders>
              <w:top w:val="nil"/>
              <w:left w:val="nil"/>
              <w:bottom w:val="single" w:sz="8" w:space="0" w:color="auto"/>
              <w:right w:val="single" w:sz="8" w:space="0" w:color="auto"/>
            </w:tcBorders>
            <w:shd w:val="clear" w:color="auto" w:fill="auto"/>
            <w:vAlign w:val="center"/>
            <w:hideMark/>
          </w:tcPr>
          <w:p w14:paraId="5BC6250F" w14:textId="77777777" w:rsidR="002C1F32" w:rsidRPr="00F551A2" w:rsidRDefault="002C1F32" w:rsidP="002D7202">
            <w:pPr>
              <w:spacing w:before="60" w:after="60"/>
              <w:rPr>
                <w:rFonts w:ascii="Arial" w:hAnsi="Arial" w:cs="Arial"/>
              </w:rPr>
            </w:pPr>
          </w:p>
        </w:tc>
        <w:tc>
          <w:tcPr>
            <w:tcW w:w="1134" w:type="dxa"/>
            <w:tcBorders>
              <w:top w:val="nil"/>
              <w:left w:val="nil"/>
              <w:bottom w:val="single" w:sz="8" w:space="0" w:color="auto"/>
              <w:right w:val="single" w:sz="8" w:space="0" w:color="auto"/>
            </w:tcBorders>
            <w:vAlign w:val="center"/>
          </w:tcPr>
          <w:p w14:paraId="5B88851E" w14:textId="77777777" w:rsidR="002C1F32" w:rsidRPr="00F551A2" w:rsidRDefault="002C1F32" w:rsidP="002D7202">
            <w:pPr>
              <w:spacing w:before="60" w:after="60"/>
              <w:rPr>
                <w:rFonts w:ascii="Arial" w:hAnsi="Arial" w:cs="Arial"/>
              </w:rPr>
            </w:pPr>
          </w:p>
        </w:tc>
        <w:tc>
          <w:tcPr>
            <w:tcW w:w="1276" w:type="dxa"/>
            <w:tcBorders>
              <w:top w:val="nil"/>
              <w:left w:val="nil"/>
              <w:bottom w:val="single" w:sz="8" w:space="0" w:color="auto"/>
              <w:right w:val="single" w:sz="8" w:space="0" w:color="auto"/>
            </w:tcBorders>
            <w:vAlign w:val="center"/>
          </w:tcPr>
          <w:p w14:paraId="1F67B37B" w14:textId="77777777" w:rsidR="002C1F32" w:rsidRPr="00F551A2" w:rsidRDefault="002C1F32" w:rsidP="002D7202">
            <w:pPr>
              <w:spacing w:before="60" w:after="60"/>
              <w:rPr>
                <w:rFonts w:ascii="Arial" w:hAnsi="Arial" w:cs="Arial"/>
              </w:rPr>
            </w:pPr>
          </w:p>
        </w:tc>
      </w:tr>
      <w:tr w:rsidR="002C1F32" w:rsidRPr="00F551A2" w14:paraId="3C615DFD" w14:textId="77777777" w:rsidTr="002D7202">
        <w:trPr>
          <w:cantSplit/>
          <w:trHeight w:val="525"/>
          <w:jc w:val="center"/>
        </w:trPr>
        <w:tc>
          <w:tcPr>
            <w:tcW w:w="65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B4E210E"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39</w:t>
            </w:r>
          </w:p>
        </w:tc>
        <w:tc>
          <w:tcPr>
            <w:tcW w:w="4743" w:type="dxa"/>
            <w:tcBorders>
              <w:top w:val="single" w:sz="4" w:space="0" w:color="auto"/>
              <w:left w:val="nil"/>
              <w:bottom w:val="single" w:sz="4" w:space="0" w:color="auto"/>
              <w:right w:val="single" w:sz="8" w:space="0" w:color="auto"/>
            </w:tcBorders>
            <w:shd w:val="clear" w:color="auto" w:fill="auto"/>
            <w:vAlign w:val="center"/>
          </w:tcPr>
          <w:p w14:paraId="5F56EEA6"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Falta de encaminhamento Lei de fixação do limite da Taxa de Administração para despesas de organização e funcionamento da unidade gestora do RPPS.</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50E4AF8"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Gestão do RPPS</w:t>
            </w:r>
          </w:p>
        </w:tc>
        <w:tc>
          <w:tcPr>
            <w:tcW w:w="1276" w:type="dxa"/>
            <w:tcBorders>
              <w:top w:val="single" w:sz="4" w:space="0" w:color="auto"/>
              <w:left w:val="nil"/>
              <w:bottom w:val="single" w:sz="4" w:space="0" w:color="auto"/>
              <w:right w:val="single" w:sz="8" w:space="0" w:color="auto"/>
            </w:tcBorders>
            <w:shd w:val="clear" w:color="auto" w:fill="auto"/>
            <w:vAlign w:val="center"/>
          </w:tcPr>
          <w:p w14:paraId="305EDED1"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4" w:space="0" w:color="auto"/>
              <w:right w:val="single" w:sz="8" w:space="0" w:color="auto"/>
            </w:tcBorders>
            <w:shd w:val="clear" w:color="auto" w:fill="auto"/>
            <w:vAlign w:val="center"/>
          </w:tcPr>
          <w:p w14:paraId="4296BFC8" w14:textId="77777777" w:rsidR="002C1F32" w:rsidRPr="00F551A2" w:rsidRDefault="002C1F32" w:rsidP="002D7202">
            <w:pPr>
              <w:spacing w:before="60" w:after="60"/>
              <w:jc w:val="center"/>
              <w:rPr>
                <w:rFonts w:ascii="Arial" w:hAnsi="Arial" w:cs="Arial"/>
                <w:color w:val="000000"/>
                <w:sz w:val="22"/>
                <w:szCs w:val="22"/>
              </w:rPr>
            </w:pPr>
            <w:r w:rsidRPr="00F551A2">
              <w:rPr>
                <w:rFonts w:ascii="Arial" w:hAnsi="Arial" w:cs="Arial"/>
                <w:color w:val="000000"/>
                <w:sz w:val="22"/>
                <w:szCs w:val="22"/>
              </w:rPr>
              <w:t> </w:t>
            </w: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tcPr>
          <w:p w14:paraId="2C483CEA" w14:textId="77777777" w:rsidR="002C1F32" w:rsidRPr="00F551A2" w:rsidRDefault="002C1F32" w:rsidP="002D7202">
            <w:pPr>
              <w:spacing w:before="60" w:after="60"/>
              <w:jc w:val="center"/>
              <w:rPr>
                <w:rFonts w:ascii="Arial" w:hAnsi="Arial" w:cs="Arial"/>
                <w:color w:val="000000"/>
              </w:rPr>
            </w:pPr>
          </w:p>
        </w:tc>
        <w:tc>
          <w:tcPr>
            <w:tcW w:w="1134" w:type="dxa"/>
            <w:tcBorders>
              <w:top w:val="single" w:sz="4" w:space="0" w:color="auto"/>
              <w:left w:val="nil"/>
              <w:bottom w:val="single" w:sz="4" w:space="0" w:color="auto"/>
              <w:right w:val="single" w:sz="8" w:space="0" w:color="auto"/>
            </w:tcBorders>
            <w:shd w:val="clear" w:color="auto" w:fill="auto"/>
            <w:vAlign w:val="center"/>
          </w:tcPr>
          <w:p w14:paraId="6A55AE01"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4" w:space="0" w:color="auto"/>
              <w:right w:val="single" w:sz="8" w:space="0" w:color="auto"/>
            </w:tcBorders>
            <w:vAlign w:val="center"/>
          </w:tcPr>
          <w:p w14:paraId="740143C3"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4" w:space="0" w:color="auto"/>
              <w:right w:val="single" w:sz="8" w:space="0" w:color="auto"/>
            </w:tcBorders>
            <w:vAlign w:val="center"/>
          </w:tcPr>
          <w:p w14:paraId="6F918327" w14:textId="77777777" w:rsidR="002C1F32" w:rsidRPr="00F551A2" w:rsidRDefault="002C1F32" w:rsidP="002D7202">
            <w:pPr>
              <w:spacing w:before="60" w:after="60"/>
              <w:jc w:val="center"/>
              <w:rPr>
                <w:rFonts w:ascii="Arial" w:hAnsi="Arial" w:cs="Arial"/>
              </w:rPr>
            </w:pPr>
            <w:r w:rsidRPr="00F551A2">
              <w:rPr>
                <w:rFonts w:ascii="Arial" w:hAnsi="Arial" w:cs="Arial"/>
                <w:color w:val="000000"/>
                <w:sz w:val="22"/>
                <w:szCs w:val="22"/>
              </w:rPr>
              <w:t> </w:t>
            </w:r>
            <w:r w:rsidRPr="00F551A2">
              <w:rPr>
                <w:rFonts w:ascii="Arial" w:hAnsi="Arial" w:cs="Arial"/>
                <w:color w:val="000000"/>
              </w:rPr>
              <w:t>X</w:t>
            </w:r>
          </w:p>
        </w:tc>
      </w:tr>
      <w:tr w:rsidR="002C1F32" w:rsidRPr="00F551A2" w14:paraId="5A2BA2B2" w14:textId="77777777" w:rsidTr="002D7202">
        <w:trPr>
          <w:cantSplit/>
          <w:trHeight w:val="525"/>
          <w:jc w:val="center"/>
        </w:trPr>
        <w:tc>
          <w:tcPr>
            <w:tcW w:w="65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E5F7F42"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40</w:t>
            </w:r>
          </w:p>
        </w:tc>
        <w:tc>
          <w:tcPr>
            <w:tcW w:w="4743" w:type="dxa"/>
            <w:tcBorders>
              <w:top w:val="single" w:sz="4" w:space="0" w:color="auto"/>
              <w:left w:val="nil"/>
              <w:bottom w:val="single" w:sz="4" w:space="0" w:color="auto"/>
              <w:right w:val="single" w:sz="8" w:space="0" w:color="auto"/>
            </w:tcBorders>
            <w:shd w:val="clear" w:color="auto" w:fill="auto"/>
            <w:vAlign w:val="center"/>
          </w:tcPr>
          <w:p w14:paraId="30A20AB4"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Extrapolação do limite da Taxa de Administração fixada em lei própria para despesas de organização e funcionamento da unidade gestora do RPPS.</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3815B74"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 xml:space="preserve">Gestão do RPPS </w:t>
            </w:r>
          </w:p>
        </w:tc>
        <w:tc>
          <w:tcPr>
            <w:tcW w:w="1276" w:type="dxa"/>
            <w:tcBorders>
              <w:top w:val="single" w:sz="4" w:space="0" w:color="auto"/>
              <w:left w:val="nil"/>
              <w:bottom w:val="single" w:sz="4" w:space="0" w:color="auto"/>
              <w:right w:val="single" w:sz="8" w:space="0" w:color="auto"/>
            </w:tcBorders>
            <w:shd w:val="clear" w:color="auto" w:fill="auto"/>
            <w:vAlign w:val="center"/>
          </w:tcPr>
          <w:p w14:paraId="249E5698"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4" w:space="0" w:color="auto"/>
              <w:right w:val="single" w:sz="8" w:space="0" w:color="auto"/>
            </w:tcBorders>
            <w:shd w:val="clear" w:color="auto" w:fill="auto"/>
            <w:vAlign w:val="center"/>
          </w:tcPr>
          <w:p w14:paraId="696CDCCF" w14:textId="77777777" w:rsidR="002C1F32" w:rsidRPr="00F551A2" w:rsidRDefault="002C1F32" w:rsidP="002D7202">
            <w:pPr>
              <w:spacing w:before="60" w:after="60"/>
              <w:rPr>
                <w:rFonts w:ascii="Arial" w:hAnsi="Arial" w:cs="Arial"/>
                <w:color w:val="000000"/>
                <w:sz w:val="22"/>
                <w:szCs w:val="22"/>
              </w:rPr>
            </w:pPr>
            <w:r w:rsidRPr="00F551A2">
              <w:rPr>
                <w:rFonts w:ascii="Arial" w:hAnsi="Arial" w:cs="Arial"/>
                <w:color w:val="000000"/>
                <w:sz w:val="22"/>
                <w:szCs w:val="22"/>
              </w:rPr>
              <w:t> </w:t>
            </w:r>
          </w:p>
        </w:tc>
        <w:tc>
          <w:tcPr>
            <w:tcW w:w="1134" w:type="dxa"/>
            <w:tcBorders>
              <w:top w:val="single" w:sz="4" w:space="0" w:color="auto"/>
              <w:left w:val="nil"/>
              <w:bottom w:val="single" w:sz="4" w:space="0" w:color="auto"/>
              <w:right w:val="single" w:sz="8" w:space="0" w:color="auto"/>
            </w:tcBorders>
            <w:shd w:val="clear" w:color="auto" w:fill="auto"/>
            <w:vAlign w:val="center"/>
          </w:tcPr>
          <w:p w14:paraId="105FD801" w14:textId="77777777" w:rsidR="002C1F32" w:rsidRPr="00F551A2" w:rsidRDefault="002C1F32" w:rsidP="002D7202">
            <w:pPr>
              <w:spacing w:before="60" w:after="60"/>
              <w:jc w:val="center"/>
              <w:rPr>
                <w:rFonts w:ascii="Arial" w:hAnsi="Arial" w:cs="Arial"/>
                <w:color w:val="000000"/>
              </w:rPr>
            </w:pPr>
          </w:p>
        </w:tc>
        <w:tc>
          <w:tcPr>
            <w:tcW w:w="1134" w:type="dxa"/>
            <w:tcBorders>
              <w:top w:val="single" w:sz="4" w:space="0" w:color="auto"/>
              <w:left w:val="nil"/>
              <w:bottom w:val="single" w:sz="4" w:space="0" w:color="auto"/>
              <w:right w:val="single" w:sz="8" w:space="0" w:color="auto"/>
            </w:tcBorders>
            <w:shd w:val="clear" w:color="auto" w:fill="auto"/>
            <w:vAlign w:val="center"/>
          </w:tcPr>
          <w:p w14:paraId="47EE59EE"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4" w:space="0" w:color="auto"/>
              <w:right w:val="single" w:sz="8" w:space="0" w:color="auto"/>
            </w:tcBorders>
            <w:vAlign w:val="center"/>
          </w:tcPr>
          <w:p w14:paraId="1DFCE8D0"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4" w:space="0" w:color="auto"/>
              <w:right w:val="single" w:sz="8" w:space="0" w:color="auto"/>
            </w:tcBorders>
            <w:vAlign w:val="center"/>
          </w:tcPr>
          <w:p w14:paraId="0A7C35E1" w14:textId="77777777" w:rsidR="002C1F32" w:rsidRPr="00F551A2" w:rsidRDefault="002C1F32" w:rsidP="002D7202">
            <w:pPr>
              <w:spacing w:before="60" w:after="60"/>
              <w:jc w:val="center"/>
              <w:rPr>
                <w:rFonts w:ascii="Arial" w:hAnsi="Arial" w:cs="Arial"/>
              </w:rPr>
            </w:pPr>
            <w:r w:rsidRPr="00F551A2">
              <w:rPr>
                <w:rFonts w:ascii="Arial" w:hAnsi="Arial" w:cs="Arial"/>
                <w:color w:val="000000"/>
              </w:rPr>
              <w:t>X</w:t>
            </w:r>
          </w:p>
        </w:tc>
      </w:tr>
      <w:tr w:rsidR="002C1F32" w:rsidRPr="00F551A2" w14:paraId="6C33FAB0" w14:textId="77777777" w:rsidTr="002D7202">
        <w:trPr>
          <w:cantSplit/>
          <w:trHeight w:val="525"/>
          <w:jc w:val="center"/>
        </w:trPr>
        <w:tc>
          <w:tcPr>
            <w:tcW w:w="65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70D7C13"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41</w:t>
            </w:r>
          </w:p>
        </w:tc>
        <w:tc>
          <w:tcPr>
            <w:tcW w:w="4743" w:type="dxa"/>
            <w:tcBorders>
              <w:top w:val="single" w:sz="4" w:space="0" w:color="auto"/>
              <w:left w:val="nil"/>
              <w:bottom w:val="single" w:sz="4" w:space="0" w:color="auto"/>
              <w:right w:val="single" w:sz="8" w:space="0" w:color="auto"/>
            </w:tcBorders>
            <w:shd w:val="clear" w:color="auto" w:fill="auto"/>
            <w:vAlign w:val="center"/>
          </w:tcPr>
          <w:p w14:paraId="3B5DD6F2"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Destinações de recursos do RPPS, inclusive da Compensação Financeira, em despesas estranhas às finalidades previdenciárias, exceto despesas de manutenção de contas nas instituições financeiras e despesas com aplicações dos recursos.</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A0BC6ED"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 xml:space="preserve">Gestão do RPPS </w:t>
            </w:r>
          </w:p>
        </w:tc>
        <w:tc>
          <w:tcPr>
            <w:tcW w:w="1276" w:type="dxa"/>
            <w:tcBorders>
              <w:top w:val="single" w:sz="4" w:space="0" w:color="auto"/>
              <w:left w:val="nil"/>
              <w:bottom w:val="single" w:sz="4" w:space="0" w:color="auto"/>
              <w:right w:val="single" w:sz="8" w:space="0" w:color="auto"/>
            </w:tcBorders>
            <w:shd w:val="clear" w:color="auto" w:fill="auto"/>
            <w:vAlign w:val="center"/>
          </w:tcPr>
          <w:p w14:paraId="50DB30BD"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4" w:space="0" w:color="auto"/>
              <w:right w:val="single" w:sz="8" w:space="0" w:color="auto"/>
            </w:tcBorders>
            <w:shd w:val="clear" w:color="auto" w:fill="auto"/>
            <w:vAlign w:val="center"/>
          </w:tcPr>
          <w:p w14:paraId="03E996CF" w14:textId="77777777" w:rsidR="002C1F32" w:rsidRPr="00F551A2" w:rsidRDefault="002C1F32" w:rsidP="002D7202">
            <w:pPr>
              <w:spacing w:before="60" w:after="60"/>
              <w:rPr>
                <w:rFonts w:ascii="Arial" w:hAnsi="Arial" w:cs="Arial"/>
                <w:color w:val="000000"/>
                <w:sz w:val="22"/>
                <w:szCs w:val="22"/>
              </w:rPr>
            </w:pPr>
            <w:r w:rsidRPr="00F551A2">
              <w:rPr>
                <w:rFonts w:ascii="Arial" w:hAnsi="Arial" w:cs="Arial"/>
                <w:color w:val="000000"/>
                <w:sz w:val="22"/>
                <w:szCs w:val="22"/>
              </w:rPr>
              <w:t> </w:t>
            </w:r>
          </w:p>
        </w:tc>
        <w:tc>
          <w:tcPr>
            <w:tcW w:w="1134" w:type="dxa"/>
            <w:tcBorders>
              <w:top w:val="single" w:sz="4" w:space="0" w:color="auto"/>
              <w:left w:val="nil"/>
              <w:bottom w:val="single" w:sz="4" w:space="0" w:color="auto"/>
              <w:right w:val="single" w:sz="8" w:space="0" w:color="auto"/>
            </w:tcBorders>
            <w:shd w:val="clear" w:color="auto" w:fill="auto"/>
            <w:vAlign w:val="center"/>
          </w:tcPr>
          <w:p w14:paraId="334B3600" w14:textId="77777777" w:rsidR="002C1F32" w:rsidRPr="00F551A2" w:rsidRDefault="002C1F32" w:rsidP="002D7202">
            <w:pPr>
              <w:spacing w:before="60" w:after="60"/>
              <w:jc w:val="center"/>
              <w:rPr>
                <w:rFonts w:ascii="Arial" w:hAnsi="Arial" w:cs="Arial"/>
                <w:color w:val="000000"/>
              </w:rPr>
            </w:pPr>
          </w:p>
        </w:tc>
        <w:tc>
          <w:tcPr>
            <w:tcW w:w="1134" w:type="dxa"/>
            <w:tcBorders>
              <w:top w:val="single" w:sz="4" w:space="0" w:color="auto"/>
              <w:left w:val="nil"/>
              <w:bottom w:val="single" w:sz="4" w:space="0" w:color="auto"/>
              <w:right w:val="single" w:sz="8" w:space="0" w:color="auto"/>
            </w:tcBorders>
            <w:shd w:val="clear" w:color="auto" w:fill="auto"/>
            <w:vAlign w:val="center"/>
          </w:tcPr>
          <w:p w14:paraId="67637DAE"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4" w:space="0" w:color="auto"/>
              <w:right w:val="single" w:sz="8" w:space="0" w:color="auto"/>
            </w:tcBorders>
            <w:vAlign w:val="center"/>
          </w:tcPr>
          <w:p w14:paraId="6ED97AB0"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4" w:space="0" w:color="auto"/>
              <w:right w:val="single" w:sz="8" w:space="0" w:color="auto"/>
            </w:tcBorders>
            <w:vAlign w:val="center"/>
          </w:tcPr>
          <w:p w14:paraId="2844A328" w14:textId="77777777" w:rsidR="002C1F32" w:rsidRPr="00F551A2" w:rsidRDefault="002C1F32" w:rsidP="002D7202">
            <w:pPr>
              <w:spacing w:before="60" w:after="60"/>
              <w:jc w:val="center"/>
              <w:rPr>
                <w:rFonts w:ascii="Arial" w:hAnsi="Arial" w:cs="Arial"/>
              </w:rPr>
            </w:pPr>
            <w:r w:rsidRPr="00F551A2">
              <w:rPr>
                <w:rFonts w:ascii="Arial" w:hAnsi="Arial" w:cs="Arial"/>
                <w:color w:val="000000"/>
              </w:rPr>
              <w:t>X</w:t>
            </w:r>
          </w:p>
        </w:tc>
      </w:tr>
      <w:tr w:rsidR="002C1F32" w:rsidRPr="00F551A2" w14:paraId="1F5A9BB4" w14:textId="77777777" w:rsidTr="002D7202">
        <w:trPr>
          <w:cantSplit/>
          <w:trHeight w:val="525"/>
          <w:jc w:val="center"/>
        </w:trPr>
        <w:tc>
          <w:tcPr>
            <w:tcW w:w="65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12524E1"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lastRenderedPageBreak/>
              <w:t>42</w:t>
            </w:r>
          </w:p>
        </w:tc>
        <w:tc>
          <w:tcPr>
            <w:tcW w:w="4743" w:type="dxa"/>
            <w:tcBorders>
              <w:top w:val="single" w:sz="4" w:space="0" w:color="auto"/>
              <w:left w:val="nil"/>
              <w:bottom w:val="single" w:sz="4" w:space="0" w:color="auto"/>
              <w:right w:val="single" w:sz="8" w:space="0" w:color="auto"/>
            </w:tcBorders>
            <w:shd w:val="clear" w:color="auto" w:fill="auto"/>
            <w:vAlign w:val="center"/>
          </w:tcPr>
          <w:p w14:paraId="290497CB"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Posição</w:t>
            </w:r>
            <w:hyperlink r:id="rId9" w:tgtFrame="_blak" w:history="1">
              <w:r w:rsidRPr="00F551A2">
                <w:rPr>
                  <w:rFonts w:ascii="Arial" w:hAnsi="Arial" w:cs="Arial"/>
                  <w:color w:val="000000"/>
                </w:rPr>
                <w:t xml:space="preserve"> da Secretaria de Políticas de Previdência Social – SPPS,</w:t>
              </w:r>
            </w:hyperlink>
            <w:r w:rsidRPr="00F551A2">
              <w:rPr>
                <w:rFonts w:ascii="Arial" w:hAnsi="Arial" w:cs="Arial"/>
                <w:color w:val="000000"/>
              </w:rPr>
              <w:t xml:space="preserve"> do Ministério da Previdência Social, disponibilizada na internet, aponta situação irregular quanto às </w:t>
            </w:r>
            <w:r w:rsidRPr="00F551A2">
              <w:rPr>
                <w:rFonts w:ascii="Arial" w:hAnsi="Arial" w:cs="Arial"/>
              </w:rPr>
              <w:t>aplicações financeiras de acordo com Resolução do CMN</w:t>
            </w:r>
            <w:r w:rsidRPr="00F551A2">
              <w:rPr>
                <w:rFonts w:ascii="Arial" w:hAnsi="Arial" w:cs="Arial"/>
                <w:color w:val="000000"/>
              </w:rPr>
              <w:t xml:space="preserve"> e Demonstrativo das Aplicações e Investimentos dos Recursos – DAIR.</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040083C"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 xml:space="preserve">Gestão do RPPS </w:t>
            </w:r>
          </w:p>
        </w:tc>
        <w:tc>
          <w:tcPr>
            <w:tcW w:w="1276" w:type="dxa"/>
            <w:tcBorders>
              <w:top w:val="single" w:sz="4" w:space="0" w:color="auto"/>
              <w:left w:val="nil"/>
              <w:bottom w:val="single" w:sz="4" w:space="0" w:color="auto"/>
              <w:right w:val="single" w:sz="8" w:space="0" w:color="auto"/>
            </w:tcBorders>
            <w:shd w:val="clear" w:color="auto" w:fill="auto"/>
            <w:vAlign w:val="center"/>
          </w:tcPr>
          <w:p w14:paraId="2388B632"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4" w:space="0" w:color="auto"/>
              <w:right w:val="single" w:sz="8" w:space="0" w:color="auto"/>
            </w:tcBorders>
            <w:shd w:val="clear" w:color="auto" w:fill="auto"/>
            <w:vAlign w:val="center"/>
          </w:tcPr>
          <w:p w14:paraId="4EC2722E" w14:textId="77777777" w:rsidR="002C1F32" w:rsidRPr="00F551A2" w:rsidRDefault="002C1F32" w:rsidP="002D7202">
            <w:pPr>
              <w:spacing w:before="60" w:after="60"/>
              <w:rPr>
                <w:rFonts w:ascii="Arial" w:hAnsi="Arial" w:cs="Arial"/>
                <w:color w:val="000000"/>
                <w:sz w:val="22"/>
                <w:szCs w:val="22"/>
              </w:rPr>
            </w:pPr>
            <w:r w:rsidRPr="00F551A2">
              <w:rPr>
                <w:rFonts w:ascii="Arial" w:hAnsi="Arial" w:cs="Arial"/>
                <w:color w:val="000000"/>
                <w:sz w:val="22"/>
                <w:szCs w:val="22"/>
              </w:rPr>
              <w:t> </w:t>
            </w:r>
          </w:p>
        </w:tc>
        <w:tc>
          <w:tcPr>
            <w:tcW w:w="1134" w:type="dxa"/>
            <w:tcBorders>
              <w:top w:val="single" w:sz="4" w:space="0" w:color="auto"/>
              <w:left w:val="nil"/>
              <w:bottom w:val="single" w:sz="4" w:space="0" w:color="auto"/>
              <w:right w:val="single" w:sz="8" w:space="0" w:color="auto"/>
            </w:tcBorders>
            <w:shd w:val="clear" w:color="auto" w:fill="auto"/>
            <w:vAlign w:val="center"/>
          </w:tcPr>
          <w:p w14:paraId="14A33CA2" w14:textId="77777777" w:rsidR="002C1F32" w:rsidRPr="00F551A2" w:rsidRDefault="002C1F32" w:rsidP="002D7202">
            <w:pPr>
              <w:spacing w:before="60" w:after="60"/>
              <w:jc w:val="center"/>
              <w:rPr>
                <w:rFonts w:ascii="Arial" w:hAnsi="Arial" w:cs="Arial"/>
                <w:color w:val="000000"/>
              </w:rPr>
            </w:pPr>
          </w:p>
        </w:tc>
        <w:tc>
          <w:tcPr>
            <w:tcW w:w="1134" w:type="dxa"/>
            <w:tcBorders>
              <w:top w:val="single" w:sz="4" w:space="0" w:color="auto"/>
              <w:left w:val="nil"/>
              <w:bottom w:val="single" w:sz="4" w:space="0" w:color="auto"/>
              <w:right w:val="single" w:sz="8" w:space="0" w:color="auto"/>
            </w:tcBorders>
            <w:shd w:val="clear" w:color="auto" w:fill="auto"/>
            <w:vAlign w:val="center"/>
          </w:tcPr>
          <w:p w14:paraId="5559D83C"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4" w:space="0" w:color="auto"/>
              <w:right w:val="single" w:sz="8" w:space="0" w:color="auto"/>
            </w:tcBorders>
            <w:vAlign w:val="center"/>
          </w:tcPr>
          <w:p w14:paraId="72C95747"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4" w:space="0" w:color="auto"/>
              <w:right w:val="single" w:sz="8" w:space="0" w:color="auto"/>
            </w:tcBorders>
            <w:vAlign w:val="center"/>
          </w:tcPr>
          <w:p w14:paraId="312624B2" w14:textId="77777777" w:rsidR="002C1F32" w:rsidRPr="00F551A2" w:rsidRDefault="002C1F32" w:rsidP="002D7202">
            <w:pPr>
              <w:spacing w:before="60" w:after="60"/>
              <w:jc w:val="center"/>
              <w:rPr>
                <w:rFonts w:ascii="Arial" w:hAnsi="Arial" w:cs="Arial"/>
              </w:rPr>
            </w:pPr>
            <w:r w:rsidRPr="00F551A2">
              <w:rPr>
                <w:rFonts w:ascii="Arial" w:hAnsi="Arial" w:cs="Arial"/>
                <w:color w:val="000000"/>
              </w:rPr>
              <w:t>X</w:t>
            </w:r>
          </w:p>
        </w:tc>
      </w:tr>
      <w:tr w:rsidR="002C1F32" w:rsidRPr="00F551A2" w14:paraId="54BD1E2A" w14:textId="77777777" w:rsidTr="002D7202">
        <w:trPr>
          <w:cantSplit/>
          <w:trHeight w:val="525"/>
          <w:jc w:val="center"/>
        </w:trPr>
        <w:tc>
          <w:tcPr>
            <w:tcW w:w="65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214167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43</w:t>
            </w:r>
          </w:p>
        </w:tc>
        <w:tc>
          <w:tcPr>
            <w:tcW w:w="4743" w:type="dxa"/>
            <w:tcBorders>
              <w:top w:val="single" w:sz="4" w:space="0" w:color="auto"/>
              <w:left w:val="nil"/>
              <w:bottom w:val="single" w:sz="4" w:space="0" w:color="auto"/>
              <w:right w:val="single" w:sz="8" w:space="0" w:color="auto"/>
            </w:tcBorders>
            <w:shd w:val="clear" w:color="auto" w:fill="auto"/>
            <w:vAlign w:val="center"/>
          </w:tcPr>
          <w:p w14:paraId="07AEB76A"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Falta de encaminhamento do demonstrativo analítico contendo a posição dos investimentos e aplicações financeiras do RPPS e das respectivas informações dos credenciamentos e licitações, quando couber.</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4BF0B70"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Gestão do RPPS.</w:t>
            </w:r>
          </w:p>
          <w:p w14:paraId="4026AECA"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Normas TCE-PR.</w:t>
            </w:r>
          </w:p>
        </w:tc>
        <w:tc>
          <w:tcPr>
            <w:tcW w:w="1276" w:type="dxa"/>
            <w:tcBorders>
              <w:top w:val="single" w:sz="4" w:space="0" w:color="auto"/>
              <w:left w:val="nil"/>
              <w:bottom w:val="single" w:sz="4" w:space="0" w:color="auto"/>
              <w:right w:val="single" w:sz="8" w:space="0" w:color="auto"/>
            </w:tcBorders>
            <w:shd w:val="clear" w:color="auto" w:fill="auto"/>
            <w:vAlign w:val="center"/>
          </w:tcPr>
          <w:p w14:paraId="270C52D3"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4" w:space="0" w:color="auto"/>
              <w:right w:val="single" w:sz="8" w:space="0" w:color="auto"/>
            </w:tcBorders>
            <w:shd w:val="clear" w:color="auto" w:fill="auto"/>
            <w:vAlign w:val="center"/>
          </w:tcPr>
          <w:p w14:paraId="1ED24185" w14:textId="77777777" w:rsidR="002C1F32" w:rsidRPr="00F551A2" w:rsidRDefault="002C1F32" w:rsidP="002D7202">
            <w:pPr>
              <w:spacing w:before="60" w:after="60"/>
              <w:rPr>
                <w:rFonts w:ascii="Arial" w:hAnsi="Arial" w:cs="Arial"/>
                <w:color w:val="000000"/>
                <w:sz w:val="22"/>
                <w:szCs w:val="22"/>
              </w:rPr>
            </w:pPr>
            <w:r w:rsidRPr="00F551A2">
              <w:rPr>
                <w:rFonts w:ascii="Arial" w:hAnsi="Arial" w:cs="Arial"/>
                <w:color w:val="000000"/>
                <w:sz w:val="22"/>
                <w:szCs w:val="22"/>
              </w:rPr>
              <w:t> </w:t>
            </w:r>
          </w:p>
        </w:tc>
        <w:tc>
          <w:tcPr>
            <w:tcW w:w="1134" w:type="dxa"/>
            <w:tcBorders>
              <w:top w:val="single" w:sz="4" w:space="0" w:color="auto"/>
              <w:left w:val="nil"/>
              <w:bottom w:val="single" w:sz="4" w:space="0" w:color="auto"/>
              <w:right w:val="single" w:sz="8" w:space="0" w:color="auto"/>
            </w:tcBorders>
            <w:shd w:val="clear" w:color="auto" w:fill="auto"/>
            <w:vAlign w:val="center"/>
          </w:tcPr>
          <w:p w14:paraId="03284F21" w14:textId="77777777" w:rsidR="002C1F32" w:rsidRPr="00F551A2" w:rsidRDefault="002C1F32" w:rsidP="002D7202">
            <w:pPr>
              <w:spacing w:before="60" w:after="60"/>
              <w:jc w:val="center"/>
              <w:rPr>
                <w:rFonts w:ascii="Arial" w:hAnsi="Arial" w:cs="Arial"/>
                <w:color w:val="000000"/>
              </w:rPr>
            </w:pPr>
          </w:p>
        </w:tc>
        <w:tc>
          <w:tcPr>
            <w:tcW w:w="1134" w:type="dxa"/>
            <w:tcBorders>
              <w:top w:val="single" w:sz="4" w:space="0" w:color="auto"/>
              <w:left w:val="nil"/>
              <w:bottom w:val="single" w:sz="4" w:space="0" w:color="auto"/>
              <w:right w:val="single" w:sz="8" w:space="0" w:color="auto"/>
            </w:tcBorders>
            <w:shd w:val="clear" w:color="auto" w:fill="auto"/>
            <w:vAlign w:val="center"/>
          </w:tcPr>
          <w:p w14:paraId="3C70673A"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4" w:space="0" w:color="auto"/>
              <w:right w:val="single" w:sz="8" w:space="0" w:color="auto"/>
            </w:tcBorders>
            <w:vAlign w:val="center"/>
          </w:tcPr>
          <w:p w14:paraId="3F34E56E"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4" w:space="0" w:color="auto"/>
              <w:right w:val="single" w:sz="8" w:space="0" w:color="auto"/>
            </w:tcBorders>
            <w:vAlign w:val="center"/>
          </w:tcPr>
          <w:p w14:paraId="6B5270C5" w14:textId="77777777" w:rsidR="002C1F32" w:rsidRPr="00F551A2" w:rsidRDefault="002C1F32" w:rsidP="002D7202">
            <w:pPr>
              <w:spacing w:before="60" w:after="60"/>
              <w:jc w:val="center"/>
              <w:rPr>
                <w:rFonts w:ascii="Arial" w:hAnsi="Arial" w:cs="Arial"/>
              </w:rPr>
            </w:pPr>
            <w:r w:rsidRPr="00F551A2">
              <w:rPr>
                <w:rFonts w:ascii="Arial" w:hAnsi="Arial" w:cs="Arial"/>
                <w:color w:val="000000"/>
              </w:rPr>
              <w:t>X</w:t>
            </w:r>
          </w:p>
        </w:tc>
      </w:tr>
      <w:tr w:rsidR="002C1F32" w:rsidRPr="00F551A2" w14:paraId="4386EFF2" w14:textId="77777777" w:rsidTr="002D7202">
        <w:trPr>
          <w:cantSplit/>
          <w:trHeight w:val="525"/>
          <w:jc w:val="center"/>
        </w:trPr>
        <w:tc>
          <w:tcPr>
            <w:tcW w:w="65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63B20F9"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44</w:t>
            </w:r>
          </w:p>
        </w:tc>
        <w:tc>
          <w:tcPr>
            <w:tcW w:w="4743" w:type="dxa"/>
            <w:tcBorders>
              <w:top w:val="single" w:sz="4" w:space="0" w:color="auto"/>
              <w:left w:val="nil"/>
              <w:bottom w:val="single" w:sz="4" w:space="0" w:color="auto"/>
              <w:right w:val="single" w:sz="8" w:space="0" w:color="auto"/>
            </w:tcBorders>
            <w:shd w:val="clear" w:color="auto" w:fill="auto"/>
            <w:vAlign w:val="center"/>
          </w:tcPr>
          <w:p w14:paraId="556CE9FD"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 xml:space="preserve">Falta de credenciamento das instituições para receberem as aplicações e investimentos dos recursos do RPPS. </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E5980BA"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Gestão do RPPS.</w:t>
            </w:r>
          </w:p>
          <w:p w14:paraId="5AAC3609"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Normas TCE-PR.</w:t>
            </w:r>
          </w:p>
        </w:tc>
        <w:tc>
          <w:tcPr>
            <w:tcW w:w="1276" w:type="dxa"/>
            <w:tcBorders>
              <w:top w:val="single" w:sz="4" w:space="0" w:color="auto"/>
              <w:left w:val="nil"/>
              <w:bottom w:val="single" w:sz="4" w:space="0" w:color="auto"/>
              <w:right w:val="single" w:sz="8" w:space="0" w:color="auto"/>
            </w:tcBorders>
            <w:shd w:val="clear" w:color="auto" w:fill="auto"/>
            <w:vAlign w:val="center"/>
          </w:tcPr>
          <w:p w14:paraId="1BA1E8A3"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4" w:space="0" w:color="auto"/>
              <w:right w:val="single" w:sz="8" w:space="0" w:color="auto"/>
            </w:tcBorders>
            <w:shd w:val="clear" w:color="auto" w:fill="auto"/>
            <w:vAlign w:val="center"/>
          </w:tcPr>
          <w:p w14:paraId="2D66883D" w14:textId="77777777" w:rsidR="002C1F32" w:rsidRPr="00F551A2" w:rsidRDefault="002C1F32" w:rsidP="002D7202">
            <w:pPr>
              <w:spacing w:before="60" w:after="60"/>
              <w:rPr>
                <w:rFonts w:ascii="Arial" w:hAnsi="Arial" w:cs="Arial"/>
                <w:color w:val="000000"/>
                <w:sz w:val="22"/>
                <w:szCs w:val="22"/>
              </w:rPr>
            </w:pPr>
            <w:r w:rsidRPr="00F551A2">
              <w:rPr>
                <w:rFonts w:ascii="Arial" w:hAnsi="Arial" w:cs="Arial"/>
                <w:color w:val="000000"/>
                <w:sz w:val="22"/>
                <w:szCs w:val="22"/>
              </w:rPr>
              <w:t> </w:t>
            </w:r>
          </w:p>
        </w:tc>
        <w:tc>
          <w:tcPr>
            <w:tcW w:w="1134" w:type="dxa"/>
            <w:tcBorders>
              <w:top w:val="single" w:sz="4" w:space="0" w:color="auto"/>
              <w:left w:val="nil"/>
              <w:bottom w:val="single" w:sz="4" w:space="0" w:color="auto"/>
              <w:right w:val="single" w:sz="8" w:space="0" w:color="auto"/>
            </w:tcBorders>
            <w:shd w:val="clear" w:color="auto" w:fill="auto"/>
            <w:vAlign w:val="center"/>
          </w:tcPr>
          <w:p w14:paraId="51854987" w14:textId="77777777" w:rsidR="002C1F32" w:rsidRPr="00F551A2" w:rsidRDefault="002C1F32" w:rsidP="002D7202">
            <w:pPr>
              <w:spacing w:before="60" w:after="60"/>
              <w:jc w:val="center"/>
              <w:rPr>
                <w:rFonts w:ascii="Arial" w:hAnsi="Arial" w:cs="Arial"/>
                <w:color w:val="000000"/>
              </w:rPr>
            </w:pPr>
          </w:p>
        </w:tc>
        <w:tc>
          <w:tcPr>
            <w:tcW w:w="1134" w:type="dxa"/>
            <w:tcBorders>
              <w:top w:val="single" w:sz="4" w:space="0" w:color="auto"/>
              <w:left w:val="nil"/>
              <w:bottom w:val="single" w:sz="4" w:space="0" w:color="auto"/>
              <w:right w:val="single" w:sz="8" w:space="0" w:color="auto"/>
            </w:tcBorders>
            <w:shd w:val="clear" w:color="auto" w:fill="auto"/>
            <w:vAlign w:val="center"/>
          </w:tcPr>
          <w:p w14:paraId="016290D2"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4" w:space="0" w:color="auto"/>
              <w:right w:val="single" w:sz="8" w:space="0" w:color="auto"/>
            </w:tcBorders>
            <w:vAlign w:val="center"/>
          </w:tcPr>
          <w:p w14:paraId="3D5A746C"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4" w:space="0" w:color="auto"/>
              <w:right w:val="single" w:sz="8" w:space="0" w:color="auto"/>
            </w:tcBorders>
            <w:vAlign w:val="center"/>
          </w:tcPr>
          <w:p w14:paraId="52312C8D" w14:textId="77777777" w:rsidR="002C1F32" w:rsidRPr="00F551A2" w:rsidRDefault="002C1F32" w:rsidP="002D7202">
            <w:pPr>
              <w:spacing w:before="60" w:after="60"/>
              <w:jc w:val="center"/>
              <w:rPr>
                <w:rFonts w:ascii="Arial" w:hAnsi="Arial" w:cs="Arial"/>
              </w:rPr>
            </w:pPr>
            <w:r w:rsidRPr="00F551A2">
              <w:rPr>
                <w:rFonts w:ascii="Arial" w:hAnsi="Arial" w:cs="Arial"/>
                <w:color w:val="000000"/>
              </w:rPr>
              <w:t>X</w:t>
            </w:r>
          </w:p>
        </w:tc>
      </w:tr>
      <w:tr w:rsidR="002C1F32" w:rsidRPr="00F551A2" w14:paraId="3578F711" w14:textId="77777777" w:rsidTr="002D7202">
        <w:trPr>
          <w:cantSplit/>
          <w:trHeight w:val="315"/>
          <w:jc w:val="center"/>
        </w:trPr>
        <w:tc>
          <w:tcPr>
            <w:tcW w:w="65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AAFDEC6"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45</w:t>
            </w:r>
          </w:p>
        </w:tc>
        <w:tc>
          <w:tcPr>
            <w:tcW w:w="4743" w:type="dxa"/>
            <w:tcBorders>
              <w:top w:val="single" w:sz="4" w:space="0" w:color="auto"/>
              <w:left w:val="nil"/>
              <w:bottom w:val="single" w:sz="8" w:space="0" w:color="auto"/>
              <w:right w:val="single" w:sz="8" w:space="0" w:color="auto"/>
            </w:tcBorders>
            <w:shd w:val="clear" w:color="auto" w:fill="auto"/>
            <w:noWrap/>
            <w:vAlign w:val="center"/>
            <w:hideMark/>
          </w:tcPr>
          <w:p w14:paraId="38020CD3"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Inclusão de novos projetos, em lei orçamentária ou de créditos adicionais, sem previsão de recursos para atender obras paralisadas. Amostragem abrangendo obras de edificação selecionadas de acordo com aspectos de relevância e materialidade.</w:t>
            </w:r>
            <w:r w:rsidRPr="00F551A2">
              <w:rPr>
                <w:rFonts w:ascii="Arial" w:hAnsi="Arial" w:cs="Arial"/>
                <w:color w:val="1F497D"/>
              </w:rPr>
              <w:t xml:space="preserve"> </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41B2CBA6"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Fiscais (LC101/00)</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033B86B6"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1DAB9AB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5B5ADA23"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476F4D0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8" w:space="0" w:color="auto"/>
              <w:right w:val="single" w:sz="8" w:space="0" w:color="auto"/>
            </w:tcBorders>
            <w:vAlign w:val="center"/>
          </w:tcPr>
          <w:p w14:paraId="13EAD6FE" w14:textId="77777777" w:rsidR="002C1F32" w:rsidRPr="00F551A2" w:rsidRDefault="002C1F32" w:rsidP="002D7202">
            <w:pPr>
              <w:spacing w:before="60" w:after="60"/>
              <w:jc w:val="center"/>
              <w:rPr>
                <w:rFonts w:ascii="Arial" w:hAnsi="Arial" w:cs="Arial"/>
                <w:color w:val="000000"/>
              </w:rPr>
            </w:pPr>
          </w:p>
        </w:tc>
        <w:tc>
          <w:tcPr>
            <w:tcW w:w="1276" w:type="dxa"/>
            <w:tcBorders>
              <w:top w:val="single" w:sz="4" w:space="0" w:color="auto"/>
              <w:left w:val="nil"/>
              <w:bottom w:val="single" w:sz="8" w:space="0" w:color="auto"/>
              <w:right w:val="single" w:sz="8" w:space="0" w:color="auto"/>
            </w:tcBorders>
            <w:vAlign w:val="center"/>
          </w:tcPr>
          <w:p w14:paraId="334692C2"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r>
      <w:tr w:rsidR="002C1F32" w:rsidRPr="00F551A2" w14:paraId="1AAAD458" w14:textId="77777777" w:rsidTr="002D7202">
        <w:trPr>
          <w:cantSplit/>
          <w:trHeight w:val="525"/>
          <w:jc w:val="center"/>
        </w:trPr>
        <w:tc>
          <w:tcPr>
            <w:tcW w:w="65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CAB11CD"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46</w:t>
            </w:r>
          </w:p>
        </w:tc>
        <w:tc>
          <w:tcPr>
            <w:tcW w:w="4743" w:type="dxa"/>
            <w:tcBorders>
              <w:top w:val="single" w:sz="8" w:space="0" w:color="auto"/>
              <w:left w:val="nil"/>
              <w:bottom w:val="single" w:sz="4" w:space="0" w:color="auto"/>
              <w:right w:val="single" w:sz="8" w:space="0" w:color="auto"/>
            </w:tcBorders>
            <w:shd w:val="clear" w:color="auto" w:fill="auto"/>
            <w:vAlign w:val="center"/>
            <w:hideMark/>
          </w:tcPr>
          <w:p w14:paraId="49D6E261"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Falta de divulgação das informações de nat</w:t>
            </w:r>
            <w:r>
              <w:rPr>
                <w:rFonts w:ascii="Arial" w:hAnsi="Arial" w:cs="Arial"/>
                <w:color w:val="000000"/>
              </w:rPr>
              <w:t>ureza orçamentária e financeira</w:t>
            </w:r>
            <w:r w:rsidRPr="00F551A2">
              <w:rPr>
                <w:rFonts w:ascii="Arial" w:hAnsi="Arial" w:cs="Arial"/>
                <w:color w:val="000000"/>
              </w:rPr>
              <w:t xml:space="preserve"> ou a publicidade efetivada não é aproveitável.</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14:paraId="53B77549"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Fiscais (LC101/00)</w:t>
            </w: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14:paraId="401B4763"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718E80F2"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02F5B7E8"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279CF9A7" w14:textId="77777777" w:rsidR="002C1F32" w:rsidRPr="00F551A2" w:rsidRDefault="002C1F32" w:rsidP="002D7202">
            <w:pPr>
              <w:spacing w:before="60" w:after="60"/>
              <w:rPr>
                <w:rFonts w:ascii="Arial" w:hAnsi="Arial" w:cs="Arial"/>
              </w:rPr>
            </w:pPr>
          </w:p>
        </w:tc>
        <w:tc>
          <w:tcPr>
            <w:tcW w:w="1134" w:type="dxa"/>
            <w:tcBorders>
              <w:top w:val="single" w:sz="8" w:space="0" w:color="auto"/>
              <w:left w:val="nil"/>
              <w:bottom w:val="single" w:sz="4" w:space="0" w:color="auto"/>
              <w:right w:val="single" w:sz="8" w:space="0" w:color="auto"/>
            </w:tcBorders>
            <w:vAlign w:val="center"/>
          </w:tcPr>
          <w:p w14:paraId="4C224241" w14:textId="77777777" w:rsidR="002C1F32" w:rsidRPr="00F551A2" w:rsidRDefault="002C1F32" w:rsidP="002D7202">
            <w:pPr>
              <w:spacing w:before="60" w:after="60"/>
              <w:rPr>
                <w:rFonts w:ascii="Arial" w:hAnsi="Arial" w:cs="Arial"/>
              </w:rPr>
            </w:pPr>
          </w:p>
        </w:tc>
        <w:tc>
          <w:tcPr>
            <w:tcW w:w="1276" w:type="dxa"/>
            <w:tcBorders>
              <w:top w:val="single" w:sz="8" w:space="0" w:color="auto"/>
              <w:left w:val="nil"/>
              <w:bottom w:val="single" w:sz="4" w:space="0" w:color="auto"/>
              <w:right w:val="single" w:sz="8" w:space="0" w:color="auto"/>
            </w:tcBorders>
            <w:vAlign w:val="center"/>
          </w:tcPr>
          <w:p w14:paraId="59548623" w14:textId="77777777" w:rsidR="002C1F32" w:rsidRPr="00F551A2" w:rsidRDefault="002C1F32" w:rsidP="002D7202">
            <w:pPr>
              <w:spacing w:before="60" w:after="60"/>
              <w:rPr>
                <w:rFonts w:ascii="Arial" w:hAnsi="Arial" w:cs="Arial"/>
              </w:rPr>
            </w:pPr>
          </w:p>
        </w:tc>
      </w:tr>
      <w:tr w:rsidR="002C1F32" w:rsidRPr="00F551A2" w14:paraId="5F472CDA" w14:textId="77777777" w:rsidTr="002D7202">
        <w:trPr>
          <w:cantSplit/>
          <w:trHeight w:val="315"/>
          <w:jc w:val="center"/>
        </w:trPr>
        <w:tc>
          <w:tcPr>
            <w:tcW w:w="65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6A0EF7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lastRenderedPageBreak/>
              <w:t>47</w:t>
            </w:r>
          </w:p>
        </w:tc>
        <w:tc>
          <w:tcPr>
            <w:tcW w:w="4743" w:type="dxa"/>
            <w:tcBorders>
              <w:top w:val="single" w:sz="4" w:space="0" w:color="auto"/>
              <w:left w:val="nil"/>
              <w:bottom w:val="single" w:sz="4" w:space="0" w:color="auto"/>
              <w:right w:val="single" w:sz="8" w:space="0" w:color="auto"/>
            </w:tcBorders>
            <w:shd w:val="clear" w:color="auto" w:fill="auto"/>
            <w:noWrap/>
            <w:vAlign w:val="center"/>
            <w:hideMark/>
          </w:tcPr>
          <w:p w14:paraId="070F6440"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Limite de despesas com pessoal - não retorno ao limite no prazo legal.</w:t>
            </w:r>
          </w:p>
          <w:p w14:paraId="7485B1AE" w14:textId="77777777" w:rsidR="002C1F32" w:rsidRPr="00F551A2" w:rsidRDefault="002C1F32" w:rsidP="002D7202">
            <w:pPr>
              <w:spacing w:before="60" w:after="60"/>
              <w:jc w:val="both"/>
              <w:rPr>
                <w:rFonts w:ascii="Arial" w:hAnsi="Arial" w:cs="Arial"/>
                <w:color w:val="000000"/>
              </w:rPr>
            </w:pPr>
          </w:p>
          <w:p w14:paraId="47FE5686"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(Elaborar cálculo do limite de gastos com pessoal considerando as terceirizações de serviços – art. 18, § 1º da LRF, tendo por critério de teste de impacto, para o exercício, contratações nas áreas da saúde e educação).</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14:paraId="034A2554"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Fiscais (LC101/00)</w:t>
            </w:r>
          </w:p>
        </w:tc>
        <w:tc>
          <w:tcPr>
            <w:tcW w:w="1276" w:type="dxa"/>
            <w:tcBorders>
              <w:top w:val="single" w:sz="4" w:space="0" w:color="auto"/>
              <w:left w:val="nil"/>
              <w:bottom w:val="single" w:sz="4" w:space="0" w:color="auto"/>
              <w:right w:val="single" w:sz="8" w:space="0" w:color="auto"/>
            </w:tcBorders>
            <w:shd w:val="clear" w:color="auto" w:fill="auto"/>
            <w:noWrap/>
            <w:vAlign w:val="center"/>
            <w:hideMark/>
          </w:tcPr>
          <w:p w14:paraId="4E86C867"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23C2FCCD"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0A6905BD"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7A0DDF26"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4" w:space="0" w:color="auto"/>
              <w:right w:val="single" w:sz="8" w:space="0" w:color="auto"/>
            </w:tcBorders>
            <w:vAlign w:val="center"/>
          </w:tcPr>
          <w:p w14:paraId="0136BD8E"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4" w:space="0" w:color="auto"/>
              <w:right w:val="single" w:sz="8" w:space="0" w:color="auto"/>
            </w:tcBorders>
            <w:vAlign w:val="center"/>
          </w:tcPr>
          <w:p w14:paraId="2C1290BB" w14:textId="77777777" w:rsidR="002C1F32" w:rsidRPr="00F551A2" w:rsidRDefault="002C1F32" w:rsidP="002D7202">
            <w:pPr>
              <w:spacing w:before="60" w:after="60"/>
              <w:rPr>
                <w:rFonts w:ascii="Arial" w:hAnsi="Arial" w:cs="Arial"/>
              </w:rPr>
            </w:pPr>
          </w:p>
        </w:tc>
      </w:tr>
      <w:tr w:rsidR="002C1F32" w:rsidRPr="00F551A2" w14:paraId="5B0E5ADF" w14:textId="77777777" w:rsidTr="002D7202">
        <w:trPr>
          <w:cantSplit/>
          <w:trHeight w:val="315"/>
          <w:jc w:val="center"/>
        </w:trPr>
        <w:tc>
          <w:tcPr>
            <w:tcW w:w="65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8908126"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48</w:t>
            </w:r>
          </w:p>
        </w:tc>
        <w:tc>
          <w:tcPr>
            <w:tcW w:w="4743" w:type="dxa"/>
            <w:tcBorders>
              <w:top w:val="single" w:sz="4" w:space="0" w:color="auto"/>
              <w:left w:val="nil"/>
              <w:bottom w:val="single" w:sz="8" w:space="0" w:color="auto"/>
              <w:right w:val="single" w:sz="8" w:space="0" w:color="auto"/>
            </w:tcBorders>
            <w:shd w:val="clear" w:color="auto" w:fill="auto"/>
            <w:noWrap/>
            <w:vAlign w:val="center"/>
            <w:hideMark/>
          </w:tcPr>
          <w:p w14:paraId="6AB757C8"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 xml:space="preserve">Limite de despesas com pessoal - não redução de 1/3 no prazo legal. </w:t>
            </w:r>
          </w:p>
          <w:p w14:paraId="16AF90B7" w14:textId="77777777" w:rsidR="002C1F32" w:rsidRPr="00F551A2" w:rsidRDefault="002C1F32" w:rsidP="002D7202">
            <w:pPr>
              <w:spacing w:before="60" w:after="60"/>
              <w:jc w:val="both"/>
              <w:rPr>
                <w:rFonts w:ascii="Arial" w:hAnsi="Arial" w:cs="Arial"/>
                <w:color w:val="000000"/>
              </w:rPr>
            </w:pPr>
          </w:p>
          <w:p w14:paraId="684F7606"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(Elaborar cálculo do limite de gastos com pessoal considerando as terceirizações de serviços – art. 18, § 1º da LRF, tendo por critério de teste de impacto, para o exercício, contratações nas áreas da saúde e educação).</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4B6FB133"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Fiscais (LC101/00)</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16EDD662"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3D4633CF"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493E6D9B"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7AFFB23D"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8" w:space="0" w:color="auto"/>
              <w:right w:val="single" w:sz="8" w:space="0" w:color="auto"/>
            </w:tcBorders>
            <w:vAlign w:val="center"/>
          </w:tcPr>
          <w:p w14:paraId="3E65D3AF"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8" w:space="0" w:color="auto"/>
              <w:right w:val="single" w:sz="8" w:space="0" w:color="auto"/>
            </w:tcBorders>
            <w:vAlign w:val="center"/>
          </w:tcPr>
          <w:p w14:paraId="6376AE6C" w14:textId="77777777" w:rsidR="002C1F32" w:rsidRPr="00F551A2" w:rsidRDefault="002C1F32" w:rsidP="002D7202">
            <w:pPr>
              <w:spacing w:before="60" w:after="60"/>
              <w:rPr>
                <w:rFonts w:ascii="Arial" w:hAnsi="Arial" w:cs="Arial"/>
              </w:rPr>
            </w:pPr>
          </w:p>
        </w:tc>
      </w:tr>
      <w:tr w:rsidR="002C1F32" w:rsidRPr="00F551A2" w14:paraId="0BA81EEF" w14:textId="77777777" w:rsidTr="002D7202">
        <w:trPr>
          <w:cantSplit/>
          <w:trHeight w:val="525"/>
          <w:jc w:val="center"/>
        </w:trPr>
        <w:tc>
          <w:tcPr>
            <w:tcW w:w="659" w:type="dxa"/>
            <w:tcBorders>
              <w:top w:val="nil"/>
              <w:left w:val="single" w:sz="8" w:space="0" w:color="auto"/>
              <w:bottom w:val="single" w:sz="4" w:space="0" w:color="auto"/>
              <w:right w:val="single" w:sz="8" w:space="0" w:color="auto"/>
            </w:tcBorders>
            <w:shd w:val="clear" w:color="auto" w:fill="auto"/>
            <w:noWrap/>
            <w:vAlign w:val="center"/>
            <w:hideMark/>
          </w:tcPr>
          <w:p w14:paraId="50C0FD98"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49</w:t>
            </w:r>
          </w:p>
        </w:tc>
        <w:tc>
          <w:tcPr>
            <w:tcW w:w="4743" w:type="dxa"/>
            <w:tcBorders>
              <w:top w:val="nil"/>
              <w:left w:val="nil"/>
              <w:bottom w:val="single" w:sz="4" w:space="0" w:color="auto"/>
              <w:right w:val="single" w:sz="8" w:space="0" w:color="auto"/>
            </w:tcBorders>
            <w:shd w:val="clear" w:color="auto" w:fill="auto"/>
            <w:noWrap/>
            <w:vAlign w:val="center"/>
            <w:hideMark/>
          </w:tcPr>
          <w:p w14:paraId="16CD8F3B"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Ausência de declaração de realização da audiência pública para avaliação das metas fiscais.</w:t>
            </w:r>
          </w:p>
        </w:tc>
        <w:tc>
          <w:tcPr>
            <w:tcW w:w="1559" w:type="dxa"/>
            <w:tcBorders>
              <w:top w:val="nil"/>
              <w:left w:val="nil"/>
              <w:bottom w:val="single" w:sz="4" w:space="0" w:color="auto"/>
              <w:right w:val="single" w:sz="8" w:space="0" w:color="auto"/>
            </w:tcBorders>
            <w:shd w:val="clear" w:color="auto" w:fill="auto"/>
            <w:noWrap/>
            <w:vAlign w:val="center"/>
            <w:hideMark/>
          </w:tcPr>
          <w:p w14:paraId="66FC8A32"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Fiscais (LC101/00)</w:t>
            </w:r>
          </w:p>
        </w:tc>
        <w:tc>
          <w:tcPr>
            <w:tcW w:w="1276" w:type="dxa"/>
            <w:tcBorders>
              <w:top w:val="nil"/>
              <w:left w:val="nil"/>
              <w:bottom w:val="single" w:sz="4" w:space="0" w:color="auto"/>
              <w:right w:val="single" w:sz="8" w:space="0" w:color="auto"/>
            </w:tcBorders>
            <w:shd w:val="clear" w:color="auto" w:fill="auto"/>
            <w:noWrap/>
            <w:vAlign w:val="center"/>
            <w:hideMark/>
          </w:tcPr>
          <w:p w14:paraId="014E901C"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4" w:space="0" w:color="auto"/>
              <w:right w:val="single" w:sz="8" w:space="0" w:color="auto"/>
            </w:tcBorders>
            <w:shd w:val="clear" w:color="auto" w:fill="auto"/>
            <w:vAlign w:val="center"/>
            <w:hideMark/>
          </w:tcPr>
          <w:p w14:paraId="3DFB43E2"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shd w:val="clear" w:color="auto" w:fill="auto"/>
            <w:vAlign w:val="center"/>
            <w:hideMark/>
          </w:tcPr>
          <w:p w14:paraId="6B681A67" w14:textId="77777777" w:rsidR="002C1F32" w:rsidRPr="00F551A2" w:rsidRDefault="002C1F32" w:rsidP="002D7202">
            <w:pPr>
              <w:spacing w:before="60" w:after="60"/>
              <w:rPr>
                <w:rFonts w:ascii="Arial" w:hAnsi="Arial" w:cs="Arial"/>
                <w:color w:val="000000"/>
                <w:sz w:val="22"/>
                <w:szCs w:val="22"/>
              </w:rPr>
            </w:pPr>
          </w:p>
        </w:tc>
        <w:tc>
          <w:tcPr>
            <w:tcW w:w="1134" w:type="dxa"/>
            <w:tcBorders>
              <w:top w:val="nil"/>
              <w:left w:val="nil"/>
              <w:bottom w:val="single" w:sz="4" w:space="0" w:color="auto"/>
              <w:right w:val="single" w:sz="8" w:space="0" w:color="auto"/>
            </w:tcBorders>
            <w:shd w:val="clear" w:color="auto" w:fill="auto"/>
            <w:vAlign w:val="center"/>
            <w:hideMark/>
          </w:tcPr>
          <w:p w14:paraId="13C9DCE7" w14:textId="77777777" w:rsidR="002C1F32" w:rsidRPr="00F551A2" w:rsidRDefault="002C1F32" w:rsidP="002D7202">
            <w:pPr>
              <w:spacing w:before="60" w:after="60"/>
              <w:rPr>
                <w:rFonts w:ascii="Arial" w:hAnsi="Arial" w:cs="Arial"/>
              </w:rPr>
            </w:pPr>
          </w:p>
        </w:tc>
        <w:tc>
          <w:tcPr>
            <w:tcW w:w="1134" w:type="dxa"/>
            <w:tcBorders>
              <w:top w:val="nil"/>
              <w:left w:val="nil"/>
              <w:bottom w:val="single" w:sz="4" w:space="0" w:color="auto"/>
              <w:right w:val="single" w:sz="8" w:space="0" w:color="auto"/>
            </w:tcBorders>
            <w:vAlign w:val="center"/>
          </w:tcPr>
          <w:p w14:paraId="422C4A95" w14:textId="77777777" w:rsidR="002C1F32" w:rsidRPr="00F551A2" w:rsidRDefault="002C1F32" w:rsidP="002D7202">
            <w:pPr>
              <w:spacing w:before="60" w:after="60"/>
              <w:rPr>
                <w:rFonts w:ascii="Arial" w:hAnsi="Arial" w:cs="Arial"/>
              </w:rPr>
            </w:pPr>
          </w:p>
        </w:tc>
        <w:tc>
          <w:tcPr>
            <w:tcW w:w="1276" w:type="dxa"/>
            <w:tcBorders>
              <w:top w:val="nil"/>
              <w:left w:val="nil"/>
              <w:bottom w:val="single" w:sz="4" w:space="0" w:color="auto"/>
              <w:right w:val="single" w:sz="8" w:space="0" w:color="auto"/>
            </w:tcBorders>
            <w:vAlign w:val="center"/>
          </w:tcPr>
          <w:p w14:paraId="3836069A" w14:textId="77777777" w:rsidR="002C1F32" w:rsidRPr="00F551A2" w:rsidRDefault="002C1F32" w:rsidP="002D7202">
            <w:pPr>
              <w:spacing w:before="60" w:after="60"/>
              <w:rPr>
                <w:rFonts w:ascii="Arial" w:hAnsi="Arial" w:cs="Arial"/>
              </w:rPr>
            </w:pPr>
          </w:p>
        </w:tc>
      </w:tr>
      <w:tr w:rsidR="002C1F32" w:rsidRPr="00F551A2" w14:paraId="53BB1589" w14:textId="77777777" w:rsidTr="002D7202">
        <w:trPr>
          <w:cantSplit/>
          <w:trHeight w:val="315"/>
          <w:jc w:val="center"/>
        </w:trPr>
        <w:tc>
          <w:tcPr>
            <w:tcW w:w="65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BB77A42"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50</w:t>
            </w:r>
          </w:p>
        </w:tc>
        <w:tc>
          <w:tcPr>
            <w:tcW w:w="4743" w:type="dxa"/>
            <w:tcBorders>
              <w:top w:val="single" w:sz="4" w:space="0" w:color="auto"/>
              <w:left w:val="nil"/>
              <w:bottom w:val="single" w:sz="4" w:space="0" w:color="auto"/>
              <w:right w:val="single" w:sz="8" w:space="0" w:color="auto"/>
            </w:tcBorders>
            <w:shd w:val="clear" w:color="auto" w:fill="auto"/>
            <w:noWrap/>
            <w:vAlign w:val="center"/>
            <w:hideMark/>
          </w:tcPr>
          <w:p w14:paraId="58DA2219"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Limite fixado para a dívida consolidada – extrapolação do teto ou não redução do percentual mínimo anual de 1/15.</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14:paraId="435AF70B"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Fiscais (LC101/00)</w:t>
            </w:r>
          </w:p>
        </w:tc>
        <w:tc>
          <w:tcPr>
            <w:tcW w:w="1276" w:type="dxa"/>
            <w:tcBorders>
              <w:top w:val="single" w:sz="4" w:space="0" w:color="auto"/>
              <w:left w:val="nil"/>
              <w:bottom w:val="single" w:sz="4" w:space="0" w:color="auto"/>
              <w:right w:val="single" w:sz="8" w:space="0" w:color="auto"/>
            </w:tcBorders>
            <w:shd w:val="clear" w:color="auto" w:fill="auto"/>
            <w:noWrap/>
            <w:vAlign w:val="center"/>
            <w:hideMark/>
          </w:tcPr>
          <w:p w14:paraId="13C4324C"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68CA4428"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32A5955D" w14:textId="77777777" w:rsidR="002C1F32" w:rsidRPr="00F551A2" w:rsidRDefault="002C1F32" w:rsidP="002D7202">
            <w:pPr>
              <w:spacing w:before="60" w:after="60"/>
              <w:rPr>
                <w:rFonts w:ascii="Arial" w:hAnsi="Arial" w:cs="Arial"/>
                <w:color w:val="000000"/>
                <w:sz w:val="22"/>
                <w:szCs w:val="22"/>
              </w:rPr>
            </w:pP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155FDAAB"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4" w:space="0" w:color="auto"/>
              <w:right w:val="single" w:sz="8" w:space="0" w:color="auto"/>
            </w:tcBorders>
            <w:vAlign w:val="center"/>
          </w:tcPr>
          <w:p w14:paraId="19548959"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4" w:space="0" w:color="auto"/>
              <w:right w:val="single" w:sz="8" w:space="0" w:color="auto"/>
            </w:tcBorders>
            <w:vAlign w:val="center"/>
          </w:tcPr>
          <w:p w14:paraId="5B25C9C9" w14:textId="77777777" w:rsidR="002C1F32" w:rsidRPr="00F551A2" w:rsidRDefault="002C1F32" w:rsidP="002D7202">
            <w:pPr>
              <w:spacing w:before="60" w:after="60"/>
              <w:rPr>
                <w:rFonts w:ascii="Arial" w:hAnsi="Arial" w:cs="Arial"/>
              </w:rPr>
            </w:pPr>
          </w:p>
        </w:tc>
      </w:tr>
      <w:tr w:rsidR="002C1F32" w:rsidRPr="00F551A2" w14:paraId="189B6C38" w14:textId="77777777" w:rsidTr="002D7202">
        <w:trPr>
          <w:cantSplit/>
          <w:trHeight w:val="780"/>
          <w:jc w:val="center"/>
        </w:trPr>
        <w:tc>
          <w:tcPr>
            <w:tcW w:w="659" w:type="dxa"/>
            <w:tcBorders>
              <w:top w:val="nil"/>
              <w:left w:val="single" w:sz="8" w:space="0" w:color="auto"/>
              <w:bottom w:val="single" w:sz="4" w:space="0" w:color="auto"/>
              <w:right w:val="single" w:sz="8" w:space="0" w:color="auto"/>
            </w:tcBorders>
            <w:shd w:val="clear" w:color="auto" w:fill="auto"/>
            <w:noWrap/>
            <w:vAlign w:val="center"/>
            <w:hideMark/>
          </w:tcPr>
          <w:p w14:paraId="4B3609BA"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51</w:t>
            </w:r>
          </w:p>
        </w:tc>
        <w:tc>
          <w:tcPr>
            <w:tcW w:w="4743" w:type="dxa"/>
            <w:tcBorders>
              <w:top w:val="nil"/>
              <w:left w:val="nil"/>
              <w:bottom w:val="single" w:sz="4" w:space="0" w:color="auto"/>
              <w:right w:val="single" w:sz="8" w:space="0" w:color="auto"/>
            </w:tcBorders>
            <w:shd w:val="clear" w:color="auto" w:fill="auto"/>
            <w:vAlign w:val="center"/>
            <w:hideMark/>
          </w:tcPr>
          <w:p w14:paraId="7320000E"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Não comprovação de publicações dos Relatórios Resumidos da Execução Orçamentária no exercício de 2013 (pela Agenda de Obrigações).</w:t>
            </w:r>
          </w:p>
        </w:tc>
        <w:tc>
          <w:tcPr>
            <w:tcW w:w="1559" w:type="dxa"/>
            <w:tcBorders>
              <w:top w:val="nil"/>
              <w:left w:val="nil"/>
              <w:bottom w:val="single" w:sz="4" w:space="0" w:color="auto"/>
              <w:right w:val="single" w:sz="8" w:space="0" w:color="auto"/>
            </w:tcBorders>
            <w:shd w:val="clear" w:color="auto" w:fill="auto"/>
            <w:noWrap/>
            <w:vAlign w:val="center"/>
            <w:hideMark/>
          </w:tcPr>
          <w:p w14:paraId="2DAF10F9"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Fiscais (LC101/00)</w:t>
            </w:r>
          </w:p>
        </w:tc>
        <w:tc>
          <w:tcPr>
            <w:tcW w:w="1276" w:type="dxa"/>
            <w:tcBorders>
              <w:top w:val="nil"/>
              <w:left w:val="nil"/>
              <w:bottom w:val="single" w:sz="4" w:space="0" w:color="auto"/>
              <w:right w:val="single" w:sz="8" w:space="0" w:color="auto"/>
            </w:tcBorders>
            <w:shd w:val="clear" w:color="auto" w:fill="auto"/>
            <w:vAlign w:val="center"/>
            <w:hideMark/>
          </w:tcPr>
          <w:p w14:paraId="302AEBE9"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nil"/>
              <w:left w:val="nil"/>
              <w:bottom w:val="single" w:sz="4" w:space="0" w:color="auto"/>
              <w:right w:val="single" w:sz="8" w:space="0" w:color="auto"/>
            </w:tcBorders>
            <w:shd w:val="clear" w:color="auto" w:fill="auto"/>
            <w:vAlign w:val="center"/>
            <w:hideMark/>
          </w:tcPr>
          <w:p w14:paraId="79A9201C"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nil"/>
              <w:left w:val="nil"/>
              <w:bottom w:val="single" w:sz="4" w:space="0" w:color="auto"/>
              <w:right w:val="single" w:sz="8" w:space="0" w:color="auto"/>
            </w:tcBorders>
            <w:shd w:val="clear" w:color="auto" w:fill="auto"/>
            <w:vAlign w:val="center"/>
            <w:hideMark/>
          </w:tcPr>
          <w:p w14:paraId="6841C389" w14:textId="77777777" w:rsidR="002C1F32" w:rsidRPr="00F551A2" w:rsidRDefault="002C1F32" w:rsidP="002D7202">
            <w:pPr>
              <w:spacing w:before="60" w:after="60"/>
              <w:rPr>
                <w:rFonts w:ascii="Arial" w:hAnsi="Arial" w:cs="Arial"/>
              </w:rPr>
            </w:pPr>
          </w:p>
        </w:tc>
        <w:tc>
          <w:tcPr>
            <w:tcW w:w="1134" w:type="dxa"/>
            <w:tcBorders>
              <w:top w:val="nil"/>
              <w:left w:val="nil"/>
              <w:bottom w:val="single" w:sz="4" w:space="0" w:color="auto"/>
              <w:right w:val="single" w:sz="8" w:space="0" w:color="auto"/>
            </w:tcBorders>
            <w:shd w:val="clear" w:color="auto" w:fill="auto"/>
            <w:vAlign w:val="center"/>
            <w:hideMark/>
          </w:tcPr>
          <w:p w14:paraId="3DF7583B" w14:textId="77777777" w:rsidR="002C1F32" w:rsidRPr="00F551A2" w:rsidRDefault="002C1F32" w:rsidP="002D7202">
            <w:pPr>
              <w:spacing w:before="60" w:after="60"/>
              <w:rPr>
                <w:rFonts w:ascii="Arial" w:hAnsi="Arial" w:cs="Arial"/>
              </w:rPr>
            </w:pPr>
          </w:p>
        </w:tc>
        <w:tc>
          <w:tcPr>
            <w:tcW w:w="1134" w:type="dxa"/>
            <w:tcBorders>
              <w:top w:val="nil"/>
              <w:left w:val="nil"/>
              <w:bottom w:val="single" w:sz="4" w:space="0" w:color="auto"/>
              <w:right w:val="single" w:sz="8" w:space="0" w:color="auto"/>
            </w:tcBorders>
            <w:vAlign w:val="center"/>
          </w:tcPr>
          <w:p w14:paraId="550093C4" w14:textId="77777777" w:rsidR="002C1F32" w:rsidRPr="00F551A2" w:rsidRDefault="002C1F32" w:rsidP="002D7202">
            <w:pPr>
              <w:spacing w:before="60" w:after="60"/>
              <w:rPr>
                <w:rFonts w:ascii="Arial" w:hAnsi="Arial" w:cs="Arial"/>
              </w:rPr>
            </w:pPr>
          </w:p>
        </w:tc>
        <w:tc>
          <w:tcPr>
            <w:tcW w:w="1276" w:type="dxa"/>
            <w:tcBorders>
              <w:top w:val="nil"/>
              <w:left w:val="nil"/>
              <w:bottom w:val="single" w:sz="4" w:space="0" w:color="auto"/>
              <w:right w:val="single" w:sz="8" w:space="0" w:color="auto"/>
            </w:tcBorders>
            <w:vAlign w:val="center"/>
          </w:tcPr>
          <w:p w14:paraId="1231B939" w14:textId="77777777" w:rsidR="002C1F32" w:rsidRPr="00F551A2" w:rsidRDefault="002C1F32" w:rsidP="002D7202">
            <w:pPr>
              <w:spacing w:before="60" w:after="60"/>
              <w:rPr>
                <w:rFonts w:ascii="Arial" w:hAnsi="Arial" w:cs="Arial"/>
              </w:rPr>
            </w:pPr>
          </w:p>
        </w:tc>
      </w:tr>
      <w:tr w:rsidR="002C1F32" w:rsidRPr="00F551A2" w14:paraId="30423A96" w14:textId="77777777" w:rsidTr="002D7202">
        <w:trPr>
          <w:cantSplit/>
          <w:trHeight w:val="525"/>
          <w:jc w:val="center"/>
        </w:trPr>
        <w:tc>
          <w:tcPr>
            <w:tcW w:w="65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D934FC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52</w:t>
            </w:r>
          </w:p>
        </w:tc>
        <w:tc>
          <w:tcPr>
            <w:tcW w:w="4743" w:type="dxa"/>
            <w:tcBorders>
              <w:top w:val="single" w:sz="4" w:space="0" w:color="auto"/>
              <w:left w:val="nil"/>
              <w:bottom w:val="single" w:sz="4" w:space="0" w:color="auto"/>
              <w:right w:val="single" w:sz="8" w:space="0" w:color="auto"/>
            </w:tcBorders>
            <w:shd w:val="clear" w:color="auto" w:fill="auto"/>
            <w:vAlign w:val="center"/>
            <w:hideMark/>
          </w:tcPr>
          <w:p w14:paraId="376837F2"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Não atendimento de publicações do Relatório de Gestão Fiscal no exercício de 2013 (pela Agenda de Obrigações).</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14:paraId="343710A9"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Fiscais (LC101/00)</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14:paraId="3F8703C1"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39A7CD38"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7578A978"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310A4F6A"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4" w:space="0" w:color="auto"/>
              <w:right w:val="single" w:sz="8" w:space="0" w:color="auto"/>
            </w:tcBorders>
            <w:vAlign w:val="center"/>
          </w:tcPr>
          <w:p w14:paraId="739561DB"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4" w:space="0" w:color="auto"/>
              <w:right w:val="single" w:sz="8" w:space="0" w:color="auto"/>
            </w:tcBorders>
            <w:vAlign w:val="center"/>
          </w:tcPr>
          <w:p w14:paraId="44D81248" w14:textId="77777777" w:rsidR="002C1F32" w:rsidRPr="00F551A2" w:rsidRDefault="002C1F32" w:rsidP="002D7202">
            <w:pPr>
              <w:spacing w:before="60" w:after="60"/>
              <w:rPr>
                <w:rFonts w:ascii="Arial" w:hAnsi="Arial" w:cs="Arial"/>
              </w:rPr>
            </w:pPr>
          </w:p>
        </w:tc>
      </w:tr>
      <w:tr w:rsidR="002C1F32" w:rsidRPr="00F551A2" w14:paraId="302D7559" w14:textId="77777777" w:rsidTr="002D7202">
        <w:trPr>
          <w:cantSplit/>
          <w:trHeight w:val="525"/>
          <w:jc w:val="center"/>
        </w:trPr>
        <w:tc>
          <w:tcPr>
            <w:tcW w:w="65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7CE4B94"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lastRenderedPageBreak/>
              <w:t>53</w:t>
            </w:r>
          </w:p>
        </w:tc>
        <w:tc>
          <w:tcPr>
            <w:tcW w:w="4743" w:type="dxa"/>
            <w:tcBorders>
              <w:top w:val="single" w:sz="4" w:space="0" w:color="auto"/>
              <w:left w:val="nil"/>
              <w:bottom w:val="single" w:sz="4" w:space="0" w:color="auto"/>
              <w:right w:val="single" w:sz="8" w:space="0" w:color="auto"/>
            </w:tcBorders>
            <w:shd w:val="clear" w:color="auto" w:fill="auto"/>
            <w:vAlign w:val="center"/>
          </w:tcPr>
          <w:p w14:paraId="40366AB8"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 xml:space="preserve">Aplicações de recursos de royalties em despesas com pessoal e dívidas, exclusive pagamentos de dívidas com a União e aportes ao RPPS. </w:t>
            </w:r>
          </w:p>
          <w:p w14:paraId="02A8FBB9" w14:textId="77777777" w:rsidR="002C1F32" w:rsidRPr="00F551A2" w:rsidRDefault="002C1F32" w:rsidP="002D7202">
            <w:pPr>
              <w:spacing w:before="60" w:after="60"/>
              <w:jc w:val="both"/>
              <w:rPr>
                <w:rFonts w:ascii="Arial" w:hAnsi="Arial" w:cs="Arial"/>
                <w:color w:val="000000"/>
              </w:rPr>
            </w:pPr>
          </w:p>
          <w:p w14:paraId="27CDAABF"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(A análise incluirá restrições à realização de despesas de terceirizações de serviços com característica de substituição de pessoal – art. 18, § 1º da LRF).</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81C2042"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Financeiros.</w:t>
            </w:r>
          </w:p>
          <w:p w14:paraId="0A0E374E"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Normas TCE-PR.</w:t>
            </w:r>
          </w:p>
        </w:tc>
        <w:tc>
          <w:tcPr>
            <w:tcW w:w="1276" w:type="dxa"/>
            <w:tcBorders>
              <w:top w:val="single" w:sz="4" w:space="0" w:color="auto"/>
              <w:left w:val="nil"/>
              <w:bottom w:val="single" w:sz="4" w:space="0" w:color="auto"/>
              <w:right w:val="single" w:sz="8" w:space="0" w:color="auto"/>
            </w:tcBorders>
            <w:shd w:val="clear" w:color="auto" w:fill="auto"/>
            <w:vAlign w:val="center"/>
          </w:tcPr>
          <w:p w14:paraId="5E6C6F12"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4" w:space="0" w:color="auto"/>
              <w:right w:val="single" w:sz="8" w:space="0" w:color="auto"/>
            </w:tcBorders>
            <w:shd w:val="clear" w:color="auto" w:fill="auto"/>
            <w:vAlign w:val="center"/>
          </w:tcPr>
          <w:p w14:paraId="00EDE72D"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tcPr>
          <w:p w14:paraId="41CA5076" w14:textId="77777777" w:rsidR="002C1F32" w:rsidRPr="00F551A2" w:rsidRDefault="002C1F32" w:rsidP="002D7202">
            <w:pPr>
              <w:spacing w:before="60" w:after="60"/>
              <w:jc w:val="center"/>
              <w:rPr>
                <w:rFonts w:ascii="Arial" w:hAnsi="Arial" w:cs="Arial"/>
                <w:color w:val="000000"/>
              </w:rPr>
            </w:pPr>
          </w:p>
        </w:tc>
        <w:tc>
          <w:tcPr>
            <w:tcW w:w="1134" w:type="dxa"/>
            <w:tcBorders>
              <w:top w:val="single" w:sz="4" w:space="0" w:color="auto"/>
              <w:left w:val="nil"/>
              <w:bottom w:val="single" w:sz="4" w:space="0" w:color="auto"/>
              <w:right w:val="single" w:sz="8" w:space="0" w:color="auto"/>
            </w:tcBorders>
            <w:shd w:val="clear" w:color="auto" w:fill="auto"/>
            <w:vAlign w:val="center"/>
          </w:tcPr>
          <w:p w14:paraId="097D91AB"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vAlign w:val="center"/>
          </w:tcPr>
          <w:p w14:paraId="314A010C"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276" w:type="dxa"/>
            <w:tcBorders>
              <w:top w:val="single" w:sz="4" w:space="0" w:color="auto"/>
              <w:left w:val="nil"/>
              <w:bottom w:val="single" w:sz="4" w:space="0" w:color="auto"/>
              <w:right w:val="single" w:sz="8" w:space="0" w:color="auto"/>
            </w:tcBorders>
            <w:vAlign w:val="center"/>
          </w:tcPr>
          <w:p w14:paraId="7F16FE79" w14:textId="77777777" w:rsidR="002C1F32" w:rsidRPr="00F551A2" w:rsidRDefault="002C1F32" w:rsidP="002D7202">
            <w:pPr>
              <w:spacing w:before="60" w:after="60"/>
              <w:jc w:val="center"/>
              <w:rPr>
                <w:rFonts w:ascii="Arial" w:hAnsi="Arial" w:cs="Arial"/>
                <w:color w:val="000000"/>
              </w:rPr>
            </w:pPr>
          </w:p>
        </w:tc>
      </w:tr>
      <w:tr w:rsidR="002C1F32" w:rsidRPr="00F551A2" w14:paraId="4398ED53" w14:textId="77777777" w:rsidTr="002D7202">
        <w:trPr>
          <w:cantSplit/>
          <w:trHeight w:val="525"/>
          <w:jc w:val="center"/>
        </w:trPr>
        <w:tc>
          <w:tcPr>
            <w:tcW w:w="65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AFBA7E1"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54</w:t>
            </w:r>
          </w:p>
        </w:tc>
        <w:tc>
          <w:tcPr>
            <w:tcW w:w="4743" w:type="dxa"/>
            <w:tcBorders>
              <w:top w:val="single" w:sz="4" w:space="0" w:color="auto"/>
              <w:left w:val="nil"/>
              <w:bottom w:val="single" w:sz="4" w:space="0" w:color="auto"/>
              <w:right w:val="single" w:sz="8" w:space="0" w:color="auto"/>
            </w:tcBorders>
            <w:shd w:val="clear" w:color="auto" w:fill="auto"/>
            <w:vAlign w:val="center"/>
          </w:tcPr>
          <w:p w14:paraId="036446B2"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Diferenças detectadas nas transferências relacionadas nos demonstrativos de consórcios e os registros de repasses de municípios a es</w:t>
            </w:r>
            <w:r>
              <w:rPr>
                <w:rFonts w:ascii="Arial" w:hAnsi="Arial" w:cs="Arial"/>
                <w:color w:val="000000"/>
              </w:rPr>
              <w:t>ses</w:t>
            </w:r>
            <w:r w:rsidRPr="00F551A2">
              <w:rPr>
                <w:rFonts w:ascii="Arial" w:hAnsi="Arial" w:cs="Arial"/>
                <w:color w:val="000000"/>
              </w:rPr>
              <w:t xml:space="preserve"> consorciados.</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8F8D9FB"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Financeiros/</w:t>
            </w:r>
          </w:p>
          <w:p w14:paraId="3DCF3851"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contábeis</w:t>
            </w:r>
          </w:p>
        </w:tc>
        <w:tc>
          <w:tcPr>
            <w:tcW w:w="1276" w:type="dxa"/>
            <w:tcBorders>
              <w:top w:val="single" w:sz="4" w:space="0" w:color="auto"/>
              <w:left w:val="nil"/>
              <w:bottom w:val="single" w:sz="4" w:space="0" w:color="auto"/>
              <w:right w:val="single" w:sz="8" w:space="0" w:color="auto"/>
            </w:tcBorders>
            <w:shd w:val="clear" w:color="auto" w:fill="auto"/>
            <w:vAlign w:val="center"/>
          </w:tcPr>
          <w:p w14:paraId="51B055DD"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4" w:space="0" w:color="auto"/>
              <w:right w:val="single" w:sz="8" w:space="0" w:color="auto"/>
            </w:tcBorders>
            <w:shd w:val="clear" w:color="auto" w:fill="auto"/>
            <w:vAlign w:val="center"/>
          </w:tcPr>
          <w:p w14:paraId="74DAE256" w14:textId="77777777" w:rsidR="002C1F32" w:rsidRPr="00F551A2" w:rsidRDefault="002C1F32" w:rsidP="002D7202">
            <w:pPr>
              <w:spacing w:before="60" w:after="60"/>
              <w:jc w:val="center"/>
              <w:rPr>
                <w:rFonts w:ascii="Arial" w:hAnsi="Arial" w:cs="Arial"/>
                <w:color w:val="000000"/>
              </w:rPr>
            </w:pPr>
          </w:p>
        </w:tc>
        <w:tc>
          <w:tcPr>
            <w:tcW w:w="1134" w:type="dxa"/>
            <w:tcBorders>
              <w:top w:val="single" w:sz="4" w:space="0" w:color="auto"/>
              <w:left w:val="nil"/>
              <w:bottom w:val="single" w:sz="4" w:space="0" w:color="auto"/>
              <w:right w:val="single" w:sz="8" w:space="0" w:color="auto"/>
            </w:tcBorders>
            <w:shd w:val="clear" w:color="auto" w:fill="auto"/>
            <w:vAlign w:val="center"/>
          </w:tcPr>
          <w:p w14:paraId="0C2A0265" w14:textId="77777777" w:rsidR="002C1F32" w:rsidRPr="00F551A2" w:rsidRDefault="002C1F32" w:rsidP="002D7202">
            <w:pPr>
              <w:spacing w:before="60" w:after="60"/>
              <w:jc w:val="center"/>
              <w:rPr>
                <w:rFonts w:ascii="Arial" w:hAnsi="Arial" w:cs="Arial"/>
                <w:color w:val="000000"/>
              </w:rPr>
            </w:pPr>
          </w:p>
        </w:tc>
        <w:tc>
          <w:tcPr>
            <w:tcW w:w="1134" w:type="dxa"/>
            <w:tcBorders>
              <w:top w:val="single" w:sz="4" w:space="0" w:color="auto"/>
              <w:left w:val="nil"/>
              <w:bottom w:val="single" w:sz="4" w:space="0" w:color="auto"/>
              <w:right w:val="single" w:sz="8" w:space="0" w:color="auto"/>
            </w:tcBorders>
            <w:shd w:val="clear" w:color="auto" w:fill="auto"/>
            <w:vAlign w:val="center"/>
          </w:tcPr>
          <w:p w14:paraId="42AA87A0" w14:textId="77777777" w:rsidR="002C1F32" w:rsidRPr="00F551A2" w:rsidRDefault="002C1F32" w:rsidP="002D7202">
            <w:pPr>
              <w:spacing w:before="60" w:after="60"/>
              <w:jc w:val="center"/>
              <w:rPr>
                <w:rFonts w:ascii="Arial" w:hAnsi="Arial" w:cs="Arial"/>
                <w:color w:val="000000"/>
                <w:sz w:val="32"/>
                <w:szCs w:val="32"/>
              </w:rPr>
            </w:pPr>
            <w:r w:rsidRPr="00F551A2">
              <w:rPr>
                <w:rFonts w:ascii="Arial" w:hAnsi="Arial" w:cs="Arial"/>
                <w:color w:val="000000"/>
                <w:sz w:val="32"/>
                <w:szCs w:val="32"/>
              </w:rPr>
              <w:t>(*)</w:t>
            </w:r>
          </w:p>
        </w:tc>
        <w:tc>
          <w:tcPr>
            <w:tcW w:w="1134" w:type="dxa"/>
            <w:tcBorders>
              <w:top w:val="single" w:sz="4" w:space="0" w:color="auto"/>
              <w:left w:val="nil"/>
              <w:bottom w:val="single" w:sz="4" w:space="0" w:color="auto"/>
              <w:right w:val="single" w:sz="8" w:space="0" w:color="auto"/>
            </w:tcBorders>
            <w:vAlign w:val="center"/>
          </w:tcPr>
          <w:p w14:paraId="2321E20A"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4" w:space="0" w:color="auto"/>
              <w:right w:val="single" w:sz="8" w:space="0" w:color="auto"/>
            </w:tcBorders>
            <w:vAlign w:val="center"/>
          </w:tcPr>
          <w:p w14:paraId="65E95619" w14:textId="77777777" w:rsidR="002C1F32" w:rsidRPr="00F551A2" w:rsidRDefault="002C1F32" w:rsidP="002D7202">
            <w:pPr>
              <w:spacing w:before="60" w:after="60"/>
              <w:rPr>
                <w:rFonts w:ascii="Arial" w:hAnsi="Arial" w:cs="Arial"/>
              </w:rPr>
            </w:pPr>
          </w:p>
        </w:tc>
      </w:tr>
      <w:tr w:rsidR="002C1F32" w:rsidRPr="00F551A2" w14:paraId="729D7A87" w14:textId="77777777" w:rsidTr="002D7202">
        <w:trPr>
          <w:cantSplit/>
          <w:trHeight w:val="315"/>
          <w:jc w:val="center"/>
        </w:trPr>
        <w:tc>
          <w:tcPr>
            <w:tcW w:w="65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CD566BD"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55</w:t>
            </w:r>
          </w:p>
        </w:tc>
        <w:tc>
          <w:tcPr>
            <w:tcW w:w="4743" w:type="dxa"/>
            <w:tcBorders>
              <w:top w:val="single" w:sz="4" w:space="0" w:color="auto"/>
              <w:left w:val="nil"/>
              <w:bottom w:val="single" w:sz="4" w:space="0" w:color="auto"/>
              <w:right w:val="single" w:sz="8" w:space="0" w:color="auto"/>
            </w:tcBorders>
            <w:shd w:val="clear" w:color="auto" w:fill="auto"/>
            <w:vAlign w:val="center"/>
            <w:hideMark/>
          </w:tcPr>
          <w:p w14:paraId="01D3357C"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Extrapolação do teto constitucional para despesas da Câmara.</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14:paraId="1EB77AD7"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Gestão do Legislativo</w:t>
            </w:r>
          </w:p>
        </w:tc>
        <w:tc>
          <w:tcPr>
            <w:tcW w:w="1276" w:type="dxa"/>
            <w:tcBorders>
              <w:top w:val="single" w:sz="4" w:space="0" w:color="auto"/>
              <w:left w:val="nil"/>
              <w:bottom w:val="single" w:sz="4" w:space="0" w:color="auto"/>
              <w:right w:val="single" w:sz="8" w:space="0" w:color="auto"/>
            </w:tcBorders>
            <w:shd w:val="clear" w:color="auto" w:fill="auto"/>
            <w:noWrap/>
            <w:vAlign w:val="center"/>
            <w:hideMark/>
          </w:tcPr>
          <w:p w14:paraId="7FF044B3"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3F887985" w14:textId="77777777" w:rsidR="002C1F32" w:rsidRPr="00F551A2" w:rsidRDefault="002C1F32" w:rsidP="002D7202">
            <w:pPr>
              <w:spacing w:before="60" w:after="60"/>
              <w:rPr>
                <w:rFonts w:ascii="Arial" w:hAnsi="Arial" w:cs="Arial"/>
                <w:color w:val="000000"/>
                <w:sz w:val="22"/>
                <w:szCs w:val="22"/>
              </w:rPr>
            </w:pPr>
            <w:r w:rsidRPr="00F551A2">
              <w:rPr>
                <w:rFonts w:ascii="Arial" w:hAnsi="Arial" w:cs="Arial"/>
                <w:color w:val="000000"/>
                <w:sz w:val="22"/>
                <w:szCs w:val="22"/>
              </w:rPr>
              <w:t> </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71AAABC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3B8C9735"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4" w:space="0" w:color="auto"/>
              <w:right w:val="single" w:sz="8" w:space="0" w:color="auto"/>
            </w:tcBorders>
            <w:vAlign w:val="center"/>
          </w:tcPr>
          <w:p w14:paraId="1B91A2CC"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4" w:space="0" w:color="auto"/>
              <w:right w:val="single" w:sz="8" w:space="0" w:color="auto"/>
            </w:tcBorders>
            <w:vAlign w:val="center"/>
          </w:tcPr>
          <w:p w14:paraId="3D1F3E15" w14:textId="77777777" w:rsidR="002C1F32" w:rsidRPr="00F551A2" w:rsidRDefault="002C1F32" w:rsidP="002D7202">
            <w:pPr>
              <w:spacing w:before="60" w:after="60"/>
              <w:rPr>
                <w:rFonts w:ascii="Arial" w:hAnsi="Arial" w:cs="Arial"/>
              </w:rPr>
            </w:pPr>
          </w:p>
        </w:tc>
      </w:tr>
      <w:tr w:rsidR="002C1F32" w:rsidRPr="00F551A2" w14:paraId="10E7453D" w14:textId="77777777" w:rsidTr="002D7202">
        <w:trPr>
          <w:cantSplit/>
          <w:trHeight w:val="315"/>
          <w:jc w:val="center"/>
        </w:trPr>
        <w:tc>
          <w:tcPr>
            <w:tcW w:w="65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E727126"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56</w:t>
            </w:r>
          </w:p>
        </w:tc>
        <w:tc>
          <w:tcPr>
            <w:tcW w:w="4743" w:type="dxa"/>
            <w:tcBorders>
              <w:top w:val="single" w:sz="4" w:space="0" w:color="auto"/>
              <w:left w:val="nil"/>
              <w:bottom w:val="single" w:sz="4" w:space="0" w:color="auto"/>
              <w:right w:val="single" w:sz="8" w:space="0" w:color="auto"/>
            </w:tcBorders>
            <w:shd w:val="clear" w:color="auto" w:fill="auto"/>
            <w:vAlign w:val="center"/>
          </w:tcPr>
          <w:p w14:paraId="276B8C0F"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Extrapolação do limite para despesas com a folha de pagamento.</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3E8D957"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Gestão do Legislativo</w:t>
            </w:r>
          </w:p>
        </w:tc>
        <w:tc>
          <w:tcPr>
            <w:tcW w:w="1276" w:type="dxa"/>
            <w:tcBorders>
              <w:top w:val="single" w:sz="4" w:space="0" w:color="auto"/>
              <w:left w:val="nil"/>
              <w:bottom w:val="single" w:sz="4" w:space="0" w:color="auto"/>
              <w:right w:val="single" w:sz="8" w:space="0" w:color="auto"/>
            </w:tcBorders>
            <w:shd w:val="clear" w:color="auto" w:fill="auto"/>
            <w:noWrap/>
            <w:vAlign w:val="center"/>
          </w:tcPr>
          <w:p w14:paraId="76E6B9CA" w14:textId="77777777" w:rsidR="002C1F32" w:rsidRPr="00F551A2" w:rsidRDefault="002C1F32" w:rsidP="002D7202">
            <w:pPr>
              <w:spacing w:before="60" w:after="60"/>
              <w:rPr>
                <w:rFonts w:ascii="Arial" w:hAnsi="Arial" w:cs="Arial"/>
                <w:color w:val="000000"/>
              </w:rPr>
            </w:pPr>
            <w:r w:rsidRPr="00F551A2">
              <w:rPr>
                <w:rFonts w:ascii="Arial" w:hAnsi="Arial" w:cs="Arial"/>
                <w:color w:val="000000"/>
              </w:rPr>
              <w:t>Restrição</w:t>
            </w:r>
          </w:p>
        </w:tc>
        <w:tc>
          <w:tcPr>
            <w:tcW w:w="1134" w:type="dxa"/>
            <w:tcBorders>
              <w:top w:val="single" w:sz="4" w:space="0" w:color="auto"/>
              <w:left w:val="nil"/>
              <w:bottom w:val="single" w:sz="4" w:space="0" w:color="auto"/>
              <w:right w:val="single" w:sz="8" w:space="0" w:color="auto"/>
            </w:tcBorders>
            <w:shd w:val="clear" w:color="auto" w:fill="auto"/>
            <w:vAlign w:val="center"/>
          </w:tcPr>
          <w:p w14:paraId="0C727CC3" w14:textId="77777777" w:rsidR="002C1F32" w:rsidRPr="00F551A2" w:rsidRDefault="002C1F32" w:rsidP="002D7202">
            <w:pPr>
              <w:spacing w:before="60" w:after="60"/>
              <w:rPr>
                <w:rFonts w:ascii="Arial" w:hAnsi="Arial" w:cs="Arial"/>
                <w:color w:val="000000"/>
                <w:sz w:val="22"/>
                <w:szCs w:val="22"/>
              </w:rPr>
            </w:pPr>
            <w:r w:rsidRPr="00F551A2">
              <w:rPr>
                <w:rFonts w:ascii="Arial" w:hAnsi="Arial" w:cs="Arial"/>
                <w:color w:val="000000"/>
                <w:sz w:val="22"/>
                <w:szCs w:val="22"/>
              </w:rPr>
              <w:t> </w:t>
            </w:r>
          </w:p>
        </w:tc>
        <w:tc>
          <w:tcPr>
            <w:tcW w:w="1134" w:type="dxa"/>
            <w:tcBorders>
              <w:top w:val="single" w:sz="4" w:space="0" w:color="auto"/>
              <w:left w:val="nil"/>
              <w:bottom w:val="single" w:sz="4" w:space="0" w:color="auto"/>
              <w:right w:val="single" w:sz="8" w:space="0" w:color="auto"/>
            </w:tcBorders>
            <w:shd w:val="clear" w:color="auto" w:fill="auto"/>
            <w:vAlign w:val="center"/>
          </w:tcPr>
          <w:p w14:paraId="1F28FA6A"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X</w:t>
            </w:r>
          </w:p>
        </w:tc>
        <w:tc>
          <w:tcPr>
            <w:tcW w:w="1134" w:type="dxa"/>
            <w:tcBorders>
              <w:top w:val="single" w:sz="4" w:space="0" w:color="auto"/>
              <w:left w:val="nil"/>
              <w:bottom w:val="single" w:sz="4" w:space="0" w:color="auto"/>
              <w:right w:val="single" w:sz="8" w:space="0" w:color="auto"/>
            </w:tcBorders>
            <w:shd w:val="clear" w:color="auto" w:fill="auto"/>
            <w:vAlign w:val="center"/>
          </w:tcPr>
          <w:p w14:paraId="021B897B" w14:textId="77777777" w:rsidR="002C1F32" w:rsidRPr="00F551A2" w:rsidRDefault="002C1F32" w:rsidP="002D7202">
            <w:pPr>
              <w:spacing w:before="60" w:after="60"/>
              <w:rPr>
                <w:rFonts w:ascii="Arial" w:hAnsi="Arial" w:cs="Arial"/>
              </w:rPr>
            </w:pPr>
          </w:p>
        </w:tc>
        <w:tc>
          <w:tcPr>
            <w:tcW w:w="1134" w:type="dxa"/>
            <w:tcBorders>
              <w:top w:val="single" w:sz="4" w:space="0" w:color="auto"/>
              <w:left w:val="nil"/>
              <w:bottom w:val="single" w:sz="4" w:space="0" w:color="auto"/>
              <w:right w:val="single" w:sz="8" w:space="0" w:color="auto"/>
            </w:tcBorders>
            <w:vAlign w:val="center"/>
          </w:tcPr>
          <w:p w14:paraId="7575E668" w14:textId="77777777" w:rsidR="002C1F32" w:rsidRPr="00F551A2" w:rsidRDefault="002C1F32" w:rsidP="002D7202">
            <w:pPr>
              <w:spacing w:before="60" w:after="60"/>
              <w:rPr>
                <w:rFonts w:ascii="Arial" w:hAnsi="Arial" w:cs="Arial"/>
              </w:rPr>
            </w:pPr>
          </w:p>
        </w:tc>
        <w:tc>
          <w:tcPr>
            <w:tcW w:w="1276" w:type="dxa"/>
            <w:tcBorders>
              <w:top w:val="single" w:sz="4" w:space="0" w:color="auto"/>
              <w:left w:val="nil"/>
              <w:bottom w:val="single" w:sz="4" w:space="0" w:color="auto"/>
              <w:right w:val="single" w:sz="8" w:space="0" w:color="auto"/>
            </w:tcBorders>
            <w:vAlign w:val="center"/>
          </w:tcPr>
          <w:p w14:paraId="471522DD" w14:textId="77777777" w:rsidR="002C1F32" w:rsidRPr="00F551A2" w:rsidRDefault="002C1F32" w:rsidP="002D7202">
            <w:pPr>
              <w:spacing w:before="60" w:after="60"/>
              <w:rPr>
                <w:rFonts w:ascii="Arial" w:hAnsi="Arial" w:cs="Arial"/>
              </w:rPr>
            </w:pPr>
          </w:p>
        </w:tc>
      </w:tr>
    </w:tbl>
    <w:p w14:paraId="1357FD8B" w14:textId="77777777" w:rsidR="002C1F32" w:rsidRPr="00F551A2" w:rsidRDefault="002C1F32" w:rsidP="002C1F32">
      <w:pPr>
        <w:ind w:left="426"/>
        <w:rPr>
          <w:rFonts w:ascii="Arial" w:hAnsi="Arial" w:cs="Arial"/>
          <w:b/>
        </w:rPr>
      </w:pPr>
      <w:r w:rsidRPr="00F551A2">
        <w:rPr>
          <w:rFonts w:ascii="Arial" w:hAnsi="Arial" w:cs="Arial"/>
          <w:b/>
        </w:rPr>
        <w:t>(*) Ponto de análise aplicável apenas a Consórcios Intermunicipais.</w:t>
      </w:r>
      <w:r w:rsidRPr="00F551A2">
        <w:rPr>
          <w:rFonts w:ascii="Arial" w:hAnsi="Arial" w:cs="Arial"/>
          <w:b/>
        </w:rPr>
        <w:br w:type="page"/>
      </w:r>
    </w:p>
    <w:p w14:paraId="31A682CE" w14:textId="77777777" w:rsidR="002C1F32" w:rsidRPr="006A5FD2" w:rsidRDefault="002C1F32" w:rsidP="002C1F32">
      <w:pPr>
        <w:jc w:val="center"/>
        <w:rPr>
          <w:rFonts w:ascii="Arial" w:hAnsi="Arial" w:cs="Arial"/>
          <w:b/>
          <w:noProof/>
          <w:sz w:val="28"/>
          <w:szCs w:val="28"/>
        </w:rPr>
      </w:pPr>
      <w:r w:rsidRPr="006A5FD2">
        <w:rPr>
          <w:rFonts w:ascii="Arial" w:hAnsi="Arial" w:cs="Arial"/>
          <w:b/>
          <w:sz w:val="28"/>
          <w:szCs w:val="28"/>
        </w:rPr>
        <w:t xml:space="preserve">INSTRUÇÃO NORMATIVA Nº </w:t>
      </w:r>
      <w:r>
        <w:rPr>
          <w:rFonts w:ascii="Arial" w:hAnsi="Arial" w:cs="Arial"/>
          <w:b/>
          <w:sz w:val="28"/>
          <w:szCs w:val="28"/>
        </w:rPr>
        <w:t>94/2014</w:t>
      </w:r>
    </w:p>
    <w:p w14:paraId="5BF4F359" w14:textId="77777777" w:rsidR="002C1F32" w:rsidRPr="006A5FD2" w:rsidRDefault="002C1F32" w:rsidP="002C1F32">
      <w:pPr>
        <w:rPr>
          <w:rFonts w:ascii="Arial" w:hAnsi="Arial" w:cs="Arial"/>
          <w:b/>
          <w:noProof/>
          <w:sz w:val="28"/>
          <w:szCs w:val="28"/>
        </w:rPr>
      </w:pPr>
    </w:p>
    <w:p w14:paraId="5F28875B" w14:textId="77777777" w:rsidR="002C1F32" w:rsidRPr="006A5FD2" w:rsidRDefault="002C1F32" w:rsidP="002C1F32">
      <w:pPr>
        <w:jc w:val="center"/>
        <w:rPr>
          <w:rFonts w:ascii="Arial" w:hAnsi="Arial" w:cs="Arial"/>
          <w:b/>
          <w:noProof/>
          <w:sz w:val="28"/>
          <w:szCs w:val="28"/>
        </w:rPr>
      </w:pPr>
      <w:r w:rsidRPr="006A5FD2">
        <w:rPr>
          <w:rFonts w:ascii="Arial" w:hAnsi="Arial" w:cs="Arial"/>
          <w:b/>
          <w:noProof/>
          <w:sz w:val="28"/>
          <w:szCs w:val="28"/>
        </w:rPr>
        <w:t>ANEXO II</w:t>
      </w:r>
    </w:p>
    <w:p w14:paraId="30DD88B9" w14:textId="77777777" w:rsidR="002C1F32" w:rsidRPr="00F551A2" w:rsidRDefault="002C1F32" w:rsidP="002C1F32">
      <w:pPr>
        <w:jc w:val="center"/>
        <w:rPr>
          <w:rFonts w:ascii="Arial" w:hAnsi="Arial" w:cs="Arial"/>
          <w:b/>
        </w:rPr>
      </w:pPr>
    </w:p>
    <w:p w14:paraId="3DD2F2CE" w14:textId="77777777" w:rsidR="002C1F32" w:rsidRPr="00F551A2" w:rsidRDefault="002C1F32" w:rsidP="00F31A29">
      <w:pPr>
        <w:tabs>
          <w:tab w:val="left" w:pos="1260"/>
          <w:tab w:val="left" w:pos="1440"/>
          <w:tab w:val="left" w:pos="1620"/>
          <w:tab w:val="left" w:pos="1800"/>
          <w:tab w:val="left" w:pos="1980"/>
        </w:tabs>
        <w:autoSpaceDE/>
        <w:autoSpaceDN/>
        <w:spacing w:before="120"/>
        <w:ind w:left="142"/>
        <w:jc w:val="both"/>
        <w:rPr>
          <w:rFonts w:ascii="Arial" w:hAnsi="Arial" w:cs="Arial"/>
          <w:color w:val="000000"/>
        </w:rPr>
      </w:pPr>
      <w:r>
        <w:rPr>
          <w:rFonts w:ascii="Arial" w:hAnsi="Arial" w:cs="Arial"/>
          <w:b/>
          <w:bCs/>
          <w:sz w:val="22"/>
          <w:szCs w:val="24"/>
        </w:rPr>
        <w:t xml:space="preserve"> </w:t>
      </w:r>
      <w:r w:rsidRPr="00F551A2">
        <w:rPr>
          <w:rFonts w:ascii="Arial" w:hAnsi="Arial" w:cs="Arial"/>
          <w:b/>
          <w:bCs/>
          <w:sz w:val="22"/>
          <w:szCs w:val="24"/>
        </w:rPr>
        <w:t xml:space="preserve">Aplicabilidade: </w:t>
      </w:r>
      <w:r w:rsidRPr="00F551A2">
        <w:rPr>
          <w:rFonts w:ascii="Arial" w:hAnsi="Arial" w:cs="Arial"/>
          <w:color w:val="000000"/>
        </w:rPr>
        <w:t>empresas públicas; sociedades de economia mista e fundações públicas de direito privado.</w:t>
      </w:r>
    </w:p>
    <w:p w14:paraId="60B99B41" w14:textId="77777777" w:rsidR="002C1F32" w:rsidRPr="00F551A2" w:rsidRDefault="002C1F32" w:rsidP="002C1F32">
      <w:pPr>
        <w:jc w:val="center"/>
        <w:rPr>
          <w:rFonts w:ascii="Arial" w:hAnsi="Arial" w:cs="Arial"/>
          <w:b/>
        </w:rPr>
      </w:pPr>
    </w:p>
    <w:tbl>
      <w:tblPr>
        <w:tblW w:w="1392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5"/>
        <w:gridCol w:w="9514"/>
        <w:gridCol w:w="1663"/>
        <w:gridCol w:w="1694"/>
      </w:tblGrid>
      <w:tr w:rsidR="002C1F32" w:rsidRPr="00F551A2" w14:paraId="3BBB9B4C" w14:textId="77777777" w:rsidTr="002D7202">
        <w:trPr>
          <w:cantSplit/>
          <w:trHeight w:val="509"/>
          <w:tblHeader/>
          <w:jc w:val="center"/>
        </w:trPr>
        <w:tc>
          <w:tcPr>
            <w:tcW w:w="1055" w:type="dxa"/>
            <w:vAlign w:val="center"/>
          </w:tcPr>
          <w:p w14:paraId="4B860553" w14:textId="77777777" w:rsidR="002C1F32" w:rsidRPr="00F551A2" w:rsidRDefault="002C1F32" w:rsidP="002D7202">
            <w:pPr>
              <w:jc w:val="center"/>
              <w:rPr>
                <w:rFonts w:ascii="Arial" w:hAnsi="Arial" w:cs="Arial"/>
                <w:color w:val="000000"/>
                <w:sz w:val="21"/>
                <w:szCs w:val="21"/>
              </w:rPr>
            </w:pPr>
            <w:r w:rsidRPr="00F551A2">
              <w:rPr>
                <w:rFonts w:ascii="Arial" w:hAnsi="Arial" w:cs="Arial"/>
                <w:b/>
                <w:color w:val="000000"/>
              </w:rPr>
              <w:t>Item</w:t>
            </w:r>
          </w:p>
        </w:tc>
        <w:tc>
          <w:tcPr>
            <w:tcW w:w="9514" w:type="dxa"/>
            <w:vAlign w:val="center"/>
          </w:tcPr>
          <w:p w14:paraId="6F870C87" w14:textId="77777777" w:rsidR="002C1F32" w:rsidRPr="00F551A2" w:rsidRDefault="002C1F32" w:rsidP="002D7202">
            <w:pPr>
              <w:jc w:val="center"/>
              <w:rPr>
                <w:rFonts w:ascii="Arial" w:hAnsi="Arial" w:cs="Arial"/>
                <w:b/>
                <w:color w:val="000000"/>
                <w:sz w:val="21"/>
                <w:szCs w:val="21"/>
              </w:rPr>
            </w:pPr>
            <w:r w:rsidRPr="00F551A2">
              <w:rPr>
                <w:rFonts w:ascii="Arial" w:hAnsi="Arial" w:cs="Arial"/>
                <w:b/>
                <w:color w:val="000000"/>
              </w:rPr>
              <w:t>Escopo (Itens de Análise – Anexo II)</w:t>
            </w:r>
          </w:p>
        </w:tc>
        <w:tc>
          <w:tcPr>
            <w:tcW w:w="1663" w:type="dxa"/>
            <w:vAlign w:val="center"/>
          </w:tcPr>
          <w:p w14:paraId="2AF88CE8" w14:textId="77777777" w:rsidR="002C1F32" w:rsidRPr="00F551A2" w:rsidRDefault="002C1F32" w:rsidP="002D7202">
            <w:pPr>
              <w:jc w:val="center"/>
              <w:rPr>
                <w:rFonts w:ascii="Arial" w:hAnsi="Arial" w:cs="Arial"/>
                <w:b/>
                <w:color w:val="000000"/>
              </w:rPr>
            </w:pPr>
            <w:r w:rsidRPr="00F551A2">
              <w:rPr>
                <w:rFonts w:ascii="Arial" w:hAnsi="Arial" w:cs="Arial"/>
                <w:b/>
                <w:color w:val="000000"/>
              </w:rPr>
              <w:t>Aspectos</w:t>
            </w:r>
          </w:p>
        </w:tc>
        <w:tc>
          <w:tcPr>
            <w:tcW w:w="1694" w:type="dxa"/>
            <w:vAlign w:val="center"/>
          </w:tcPr>
          <w:p w14:paraId="1C426F7C" w14:textId="77777777" w:rsidR="002C1F32" w:rsidRPr="00F551A2" w:rsidRDefault="002C1F32" w:rsidP="002D7202">
            <w:pPr>
              <w:jc w:val="center"/>
              <w:rPr>
                <w:rFonts w:ascii="Arial" w:hAnsi="Arial" w:cs="Arial"/>
                <w:b/>
                <w:color w:val="000000"/>
              </w:rPr>
            </w:pPr>
            <w:r w:rsidRPr="00F551A2">
              <w:rPr>
                <w:rFonts w:ascii="Arial" w:hAnsi="Arial" w:cs="Arial"/>
                <w:b/>
                <w:color w:val="000000"/>
              </w:rPr>
              <w:t>Reflexos</w:t>
            </w:r>
          </w:p>
        </w:tc>
      </w:tr>
      <w:tr w:rsidR="002C1F32" w:rsidRPr="00F551A2" w14:paraId="52228F57" w14:textId="77777777" w:rsidTr="002D7202">
        <w:trPr>
          <w:jc w:val="center"/>
        </w:trPr>
        <w:tc>
          <w:tcPr>
            <w:tcW w:w="1055" w:type="dxa"/>
          </w:tcPr>
          <w:p w14:paraId="274195BE"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1</w:t>
            </w:r>
          </w:p>
        </w:tc>
        <w:tc>
          <w:tcPr>
            <w:tcW w:w="9514" w:type="dxa"/>
          </w:tcPr>
          <w:p w14:paraId="1A1A596A"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Relatório da Diretoria não apresenta informações sobre a avaliação dos resultados quantitativos e qualitativos da gestão, especialmente nos aspectos da eficácia e eficiência no cumprimento dos objetivos sociais.</w:t>
            </w:r>
          </w:p>
        </w:tc>
        <w:tc>
          <w:tcPr>
            <w:tcW w:w="1663" w:type="dxa"/>
            <w:vAlign w:val="center"/>
          </w:tcPr>
          <w:p w14:paraId="7FE5049B"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Gestão</w:t>
            </w:r>
          </w:p>
        </w:tc>
        <w:tc>
          <w:tcPr>
            <w:tcW w:w="1694" w:type="dxa"/>
            <w:vAlign w:val="center"/>
          </w:tcPr>
          <w:p w14:paraId="0FEEAAFE"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1D2C3BC8" w14:textId="77777777" w:rsidTr="002D7202">
        <w:trPr>
          <w:jc w:val="center"/>
        </w:trPr>
        <w:tc>
          <w:tcPr>
            <w:tcW w:w="1055" w:type="dxa"/>
            <w:tcBorders>
              <w:bottom w:val="single" w:sz="6" w:space="0" w:color="auto"/>
            </w:tcBorders>
          </w:tcPr>
          <w:p w14:paraId="12E1D7DF"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2</w:t>
            </w:r>
          </w:p>
        </w:tc>
        <w:tc>
          <w:tcPr>
            <w:tcW w:w="9514" w:type="dxa"/>
            <w:tcBorders>
              <w:bottom w:val="single" w:sz="6" w:space="0" w:color="auto"/>
            </w:tcBorders>
          </w:tcPr>
          <w:p w14:paraId="7D2342A0"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Irregularidade na habilitação do responsável técnico pela contabilidade.</w:t>
            </w:r>
          </w:p>
        </w:tc>
        <w:tc>
          <w:tcPr>
            <w:tcW w:w="1663" w:type="dxa"/>
            <w:tcBorders>
              <w:bottom w:val="single" w:sz="6" w:space="0" w:color="auto"/>
            </w:tcBorders>
            <w:vAlign w:val="center"/>
          </w:tcPr>
          <w:p w14:paraId="4CBFF24E"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Regulamentares</w:t>
            </w:r>
          </w:p>
        </w:tc>
        <w:tc>
          <w:tcPr>
            <w:tcW w:w="1694" w:type="dxa"/>
            <w:tcBorders>
              <w:bottom w:val="single" w:sz="6" w:space="0" w:color="auto"/>
            </w:tcBorders>
            <w:vAlign w:val="center"/>
          </w:tcPr>
          <w:p w14:paraId="7ABF6FAD"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22AF961D" w14:textId="77777777" w:rsidTr="002D7202">
        <w:trPr>
          <w:jc w:val="center"/>
        </w:trPr>
        <w:tc>
          <w:tcPr>
            <w:tcW w:w="1055" w:type="dxa"/>
            <w:tcBorders>
              <w:top w:val="single" w:sz="6" w:space="0" w:color="auto"/>
              <w:bottom w:val="nil"/>
            </w:tcBorders>
          </w:tcPr>
          <w:p w14:paraId="44FE2BEA"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3</w:t>
            </w:r>
          </w:p>
        </w:tc>
        <w:tc>
          <w:tcPr>
            <w:tcW w:w="9514" w:type="dxa"/>
            <w:tcBorders>
              <w:top w:val="single" w:sz="6" w:space="0" w:color="auto"/>
              <w:bottom w:val="nil"/>
            </w:tcBorders>
            <w:vAlign w:val="center"/>
          </w:tcPr>
          <w:p w14:paraId="65E79C0D"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Falta de encaminhamento das demonstrações financeiras emitidas pela Contabilidade e da respectiva publicação ou a pu</w:t>
            </w:r>
            <w:r>
              <w:rPr>
                <w:rFonts w:ascii="Arial" w:hAnsi="Arial" w:cs="Arial"/>
                <w:color w:val="000000"/>
              </w:rPr>
              <w:t>blicidade efetivada não atende à</w:t>
            </w:r>
            <w:r w:rsidRPr="00F551A2">
              <w:rPr>
                <w:rFonts w:ascii="Arial" w:hAnsi="Arial" w:cs="Arial"/>
                <w:color w:val="000000"/>
              </w:rPr>
              <w:t xml:space="preserve">s especificações. </w:t>
            </w:r>
          </w:p>
        </w:tc>
        <w:tc>
          <w:tcPr>
            <w:tcW w:w="1663" w:type="dxa"/>
            <w:vMerge w:val="restart"/>
            <w:tcBorders>
              <w:top w:val="single" w:sz="6" w:space="0" w:color="auto"/>
            </w:tcBorders>
            <w:vAlign w:val="center"/>
          </w:tcPr>
          <w:p w14:paraId="015A9C1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Contábeis</w:t>
            </w:r>
          </w:p>
        </w:tc>
        <w:tc>
          <w:tcPr>
            <w:tcW w:w="1694" w:type="dxa"/>
            <w:vMerge w:val="restart"/>
            <w:tcBorders>
              <w:top w:val="single" w:sz="6" w:space="0" w:color="auto"/>
            </w:tcBorders>
            <w:vAlign w:val="center"/>
          </w:tcPr>
          <w:p w14:paraId="0C2280B0"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652B06DB" w14:textId="77777777" w:rsidTr="002D7202">
        <w:trPr>
          <w:jc w:val="center"/>
        </w:trPr>
        <w:tc>
          <w:tcPr>
            <w:tcW w:w="1055" w:type="dxa"/>
            <w:tcBorders>
              <w:top w:val="nil"/>
              <w:bottom w:val="nil"/>
            </w:tcBorders>
          </w:tcPr>
          <w:p w14:paraId="451EA207"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3.1</w:t>
            </w:r>
          </w:p>
        </w:tc>
        <w:tc>
          <w:tcPr>
            <w:tcW w:w="9514" w:type="dxa"/>
            <w:tcBorders>
              <w:top w:val="nil"/>
              <w:bottom w:val="nil"/>
            </w:tcBorders>
          </w:tcPr>
          <w:p w14:paraId="433AAD50"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BALANÇO PATRIMONIAL</w:t>
            </w:r>
          </w:p>
        </w:tc>
        <w:tc>
          <w:tcPr>
            <w:tcW w:w="1663" w:type="dxa"/>
            <w:vMerge/>
            <w:vAlign w:val="center"/>
          </w:tcPr>
          <w:p w14:paraId="3D17B23A" w14:textId="77777777" w:rsidR="002C1F32" w:rsidRPr="00F551A2" w:rsidRDefault="002C1F32" w:rsidP="002D7202">
            <w:pPr>
              <w:spacing w:before="60" w:after="60"/>
              <w:jc w:val="center"/>
              <w:rPr>
                <w:rFonts w:ascii="Arial" w:hAnsi="Arial" w:cs="Arial"/>
                <w:color w:val="000000"/>
              </w:rPr>
            </w:pPr>
          </w:p>
        </w:tc>
        <w:tc>
          <w:tcPr>
            <w:tcW w:w="1694" w:type="dxa"/>
            <w:vMerge/>
            <w:vAlign w:val="center"/>
          </w:tcPr>
          <w:p w14:paraId="511D1E94" w14:textId="77777777" w:rsidR="002C1F32" w:rsidRPr="00F551A2" w:rsidRDefault="002C1F32" w:rsidP="002D7202">
            <w:pPr>
              <w:spacing w:before="60" w:after="60"/>
              <w:jc w:val="center"/>
              <w:rPr>
                <w:rFonts w:ascii="Arial" w:hAnsi="Arial" w:cs="Arial"/>
                <w:color w:val="000000"/>
              </w:rPr>
            </w:pPr>
          </w:p>
        </w:tc>
      </w:tr>
      <w:tr w:rsidR="002C1F32" w:rsidRPr="00F551A2" w14:paraId="3592B4D8" w14:textId="77777777" w:rsidTr="002D7202">
        <w:trPr>
          <w:jc w:val="center"/>
        </w:trPr>
        <w:tc>
          <w:tcPr>
            <w:tcW w:w="1055" w:type="dxa"/>
            <w:tcBorders>
              <w:top w:val="nil"/>
              <w:bottom w:val="nil"/>
            </w:tcBorders>
          </w:tcPr>
          <w:p w14:paraId="3EB2D966"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3.2</w:t>
            </w:r>
          </w:p>
        </w:tc>
        <w:tc>
          <w:tcPr>
            <w:tcW w:w="9514" w:type="dxa"/>
            <w:tcBorders>
              <w:top w:val="nil"/>
              <w:bottom w:val="nil"/>
            </w:tcBorders>
          </w:tcPr>
          <w:p w14:paraId="6E4AEFB9"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DEMONSTRAÇÃO DOS LUCROS OU PREJUÍZOS ACUMULADOS</w:t>
            </w:r>
          </w:p>
        </w:tc>
        <w:tc>
          <w:tcPr>
            <w:tcW w:w="1663" w:type="dxa"/>
            <w:vMerge/>
            <w:vAlign w:val="center"/>
          </w:tcPr>
          <w:p w14:paraId="4BDB8BF6" w14:textId="77777777" w:rsidR="002C1F32" w:rsidRPr="00F551A2" w:rsidRDefault="002C1F32" w:rsidP="002D7202">
            <w:pPr>
              <w:spacing w:before="60" w:after="60"/>
              <w:jc w:val="center"/>
              <w:rPr>
                <w:rFonts w:ascii="Arial" w:hAnsi="Arial" w:cs="Arial"/>
                <w:color w:val="000000"/>
              </w:rPr>
            </w:pPr>
          </w:p>
        </w:tc>
        <w:tc>
          <w:tcPr>
            <w:tcW w:w="1694" w:type="dxa"/>
            <w:vMerge/>
            <w:vAlign w:val="center"/>
          </w:tcPr>
          <w:p w14:paraId="40952AAB" w14:textId="77777777" w:rsidR="002C1F32" w:rsidRPr="00F551A2" w:rsidRDefault="002C1F32" w:rsidP="002D7202">
            <w:pPr>
              <w:spacing w:before="60" w:after="60"/>
              <w:jc w:val="center"/>
              <w:rPr>
                <w:rFonts w:ascii="Arial" w:hAnsi="Arial" w:cs="Arial"/>
                <w:color w:val="000000"/>
              </w:rPr>
            </w:pPr>
          </w:p>
        </w:tc>
      </w:tr>
      <w:tr w:rsidR="002C1F32" w:rsidRPr="00F551A2" w14:paraId="117DCBA3" w14:textId="77777777" w:rsidTr="002D7202">
        <w:trPr>
          <w:jc w:val="center"/>
        </w:trPr>
        <w:tc>
          <w:tcPr>
            <w:tcW w:w="1055" w:type="dxa"/>
            <w:tcBorders>
              <w:top w:val="nil"/>
              <w:bottom w:val="nil"/>
            </w:tcBorders>
          </w:tcPr>
          <w:p w14:paraId="58308A53"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3.3</w:t>
            </w:r>
          </w:p>
        </w:tc>
        <w:tc>
          <w:tcPr>
            <w:tcW w:w="9514" w:type="dxa"/>
            <w:tcBorders>
              <w:top w:val="nil"/>
              <w:bottom w:val="nil"/>
            </w:tcBorders>
          </w:tcPr>
          <w:p w14:paraId="59377368"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DEMONSTRAÇÃO DO RESULTADO DO EXERCÍCIO</w:t>
            </w:r>
          </w:p>
        </w:tc>
        <w:tc>
          <w:tcPr>
            <w:tcW w:w="1663" w:type="dxa"/>
            <w:vMerge/>
            <w:vAlign w:val="center"/>
          </w:tcPr>
          <w:p w14:paraId="3F535424" w14:textId="77777777" w:rsidR="002C1F32" w:rsidRPr="00F551A2" w:rsidRDefault="002C1F32" w:rsidP="002D7202">
            <w:pPr>
              <w:spacing w:before="60" w:after="60"/>
              <w:jc w:val="center"/>
              <w:rPr>
                <w:rFonts w:ascii="Arial" w:hAnsi="Arial" w:cs="Arial"/>
                <w:color w:val="000000"/>
              </w:rPr>
            </w:pPr>
          </w:p>
        </w:tc>
        <w:tc>
          <w:tcPr>
            <w:tcW w:w="1694" w:type="dxa"/>
            <w:vMerge/>
            <w:vAlign w:val="center"/>
          </w:tcPr>
          <w:p w14:paraId="7ACFD07A" w14:textId="77777777" w:rsidR="002C1F32" w:rsidRPr="00F551A2" w:rsidRDefault="002C1F32" w:rsidP="002D7202">
            <w:pPr>
              <w:spacing w:before="60" w:after="60"/>
              <w:jc w:val="center"/>
              <w:rPr>
                <w:rFonts w:ascii="Arial" w:hAnsi="Arial" w:cs="Arial"/>
                <w:color w:val="000000"/>
              </w:rPr>
            </w:pPr>
          </w:p>
        </w:tc>
      </w:tr>
      <w:tr w:rsidR="002C1F32" w:rsidRPr="00F551A2" w14:paraId="0CDFB486" w14:textId="77777777" w:rsidTr="002D7202">
        <w:trPr>
          <w:jc w:val="center"/>
        </w:trPr>
        <w:tc>
          <w:tcPr>
            <w:tcW w:w="1055" w:type="dxa"/>
            <w:tcBorders>
              <w:top w:val="nil"/>
              <w:bottom w:val="nil"/>
            </w:tcBorders>
          </w:tcPr>
          <w:p w14:paraId="21F9F4AC"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3.4</w:t>
            </w:r>
          </w:p>
        </w:tc>
        <w:tc>
          <w:tcPr>
            <w:tcW w:w="9514" w:type="dxa"/>
            <w:tcBorders>
              <w:top w:val="nil"/>
              <w:bottom w:val="nil"/>
            </w:tcBorders>
          </w:tcPr>
          <w:p w14:paraId="0D2C36C4"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DEMONSTRAÇÃO DOS FLUXOS DE CAIXA</w:t>
            </w:r>
          </w:p>
        </w:tc>
        <w:tc>
          <w:tcPr>
            <w:tcW w:w="1663" w:type="dxa"/>
            <w:vMerge/>
            <w:vAlign w:val="center"/>
          </w:tcPr>
          <w:p w14:paraId="743DAD3B" w14:textId="77777777" w:rsidR="002C1F32" w:rsidRPr="00F551A2" w:rsidRDefault="002C1F32" w:rsidP="002D7202">
            <w:pPr>
              <w:spacing w:before="60" w:after="60"/>
              <w:jc w:val="center"/>
              <w:rPr>
                <w:rFonts w:ascii="Arial" w:hAnsi="Arial" w:cs="Arial"/>
                <w:color w:val="000000"/>
              </w:rPr>
            </w:pPr>
          </w:p>
        </w:tc>
        <w:tc>
          <w:tcPr>
            <w:tcW w:w="1694" w:type="dxa"/>
            <w:vMerge/>
            <w:vAlign w:val="center"/>
          </w:tcPr>
          <w:p w14:paraId="7D2B9AD4" w14:textId="77777777" w:rsidR="002C1F32" w:rsidRPr="00F551A2" w:rsidRDefault="002C1F32" w:rsidP="002D7202">
            <w:pPr>
              <w:spacing w:before="60" w:after="60"/>
              <w:jc w:val="center"/>
              <w:rPr>
                <w:rFonts w:ascii="Arial" w:hAnsi="Arial" w:cs="Arial"/>
                <w:color w:val="000000"/>
              </w:rPr>
            </w:pPr>
          </w:p>
        </w:tc>
      </w:tr>
      <w:tr w:rsidR="002C1F32" w:rsidRPr="00F551A2" w14:paraId="07E1F685" w14:textId="77777777" w:rsidTr="002D7202">
        <w:trPr>
          <w:jc w:val="center"/>
        </w:trPr>
        <w:tc>
          <w:tcPr>
            <w:tcW w:w="1055" w:type="dxa"/>
            <w:tcBorders>
              <w:top w:val="nil"/>
              <w:bottom w:val="single" w:sz="6" w:space="0" w:color="auto"/>
            </w:tcBorders>
          </w:tcPr>
          <w:p w14:paraId="7D1D35BE"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3.5</w:t>
            </w:r>
          </w:p>
        </w:tc>
        <w:tc>
          <w:tcPr>
            <w:tcW w:w="9514" w:type="dxa"/>
            <w:tcBorders>
              <w:top w:val="nil"/>
              <w:bottom w:val="single" w:sz="6" w:space="0" w:color="auto"/>
            </w:tcBorders>
          </w:tcPr>
          <w:p w14:paraId="64A3BBA6"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Ausência de NOTAS EXPLICATIVAS</w:t>
            </w:r>
          </w:p>
        </w:tc>
        <w:tc>
          <w:tcPr>
            <w:tcW w:w="1663" w:type="dxa"/>
            <w:vMerge/>
            <w:tcBorders>
              <w:bottom w:val="single" w:sz="6" w:space="0" w:color="auto"/>
            </w:tcBorders>
            <w:vAlign w:val="center"/>
          </w:tcPr>
          <w:p w14:paraId="7862B26F" w14:textId="77777777" w:rsidR="002C1F32" w:rsidRPr="00F551A2" w:rsidRDefault="002C1F32" w:rsidP="002D7202">
            <w:pPr>
              <w:spacing w:before="60" w:after="60"/>
              <w:jc w:val="center"/>
              <w:rPr>
                <w:rFonts w:ascii="Arial" w:hAnsi="Arial" w:cs="Arial"/>
                <w:color w:val="000000"/>
              </w:rPr>
            </w:pPr>
          </w:p>
        </w:tc>
        <w:tc>
          <w:tcPr>
            <w:tcW w:w="1694" w:type="dxa"/>
            <w:vMerge/>
            <w:tcBorders>
              <w:bottom w:val="single" w:sz="6" w:space="0" w:color="auto"/>
            </w:tcBorders>
            <w:vAlign w:val="center"/>
          </w:tcPr>
          <w:p w14:paraId="7D643213" w14:textId="77777777" w:rsidR="002C1F32" w:rsidRPr="00F551A2" w:rsidRDefault="002C1F32" w:rsidP="002D7202">
            <w:pPr>
              <w:spacing w:before="60" w:after="60"/>
              <w:jc w:val="center"/>
              <w:rPr>
                <w:rFonts w:ascii="Arial" w:hAnsi="Arial" w:cs="Arial"/>
                <w:color w:val="000000"/>
              </w:rPr>
            </w:pPr>
          </w:p>
        </w:tc>
      </w:tr>
      <w:tr w:rsidR="002C1F32" w:rsidRPr="00F551A2" w14:paraId="22321063" w14:textId="77777777" w:rsidTr="002D7202">
        <w:trPr>
          <w:jc w:val="center"/>
        </w:trPr>
        <w:tc>
          <w:tcPr>
            <w:tcW w:w="1055" w:type="dxa"/>
            <w:tcBorders>
              <w:top w:val="single" w:sz="6" w:space="0" w:color="auto"/>
            </w:tcBorders>
          </w:tcPr>
          <w:p w14:paraId="02BB0A49"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4</w:t>
            </w:r>
          </w:p>
        </w:tc>
        <w:tc>
          <w:tcPr>
            <w:tcW w:w="9514" w:type="dxa"/>
            <w:tcBorders>
              <w:top w:val="single" w:sz="6" w:space="0" w:color="auto"/>
            </w:tcBorders>
          </w:tcPr>
          <w:p w14:paraId="5C864E50"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Divergências de saldos em quaisquer classes ou grupos do balanço patrimonial entre os dados do SIM-AM e a Contabilidade.</w:t>
            </w:r>
          </w:p>
        </w:tc>
        <w:tc>
          <w:tcPr>
            <w:tcW w:w="1663" w:type="dxa"/>
            <w:tcBorders>
              <w:top w:val="single" w:sz="6" w:space="0" w:color="auto"/>
            </w:tcBorders>
            <w:vAlign w:val="center"/>
          </w:tcPr>
          <w:p w14:paraId="27772AF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Contábeis</w:t>
            </w:r>
          </w:p>
        </w:tc>
        <w:tc>
          <w:tcPr>
            <w:tcW w:w="1694" w:type="dxa"/>
            <w:tcBorders>
              <w:top w:val="single" w:sz="6" w:space="0" w:color="auto"/>
            </w:tcBorders>
            <w:vAlign w:val="center"/>
          </w:tcPr>
          <w:p w14:paraId="21B7C5F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4A5D04C6" w14:textId="77777777" w:rsidTr="002D7202">
        <w:trPr>
          <w:jc w:val="center"/>
        </w:trPr>
        <w:tc>
          <w:tcPr>
            <w:tcW w:w="1055" w:type="dxa"/>
          </w:tcPr>
          <w:p w14:paraId="75AB6B45"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5</w:t>
            </w:r>
          </w:p>
        </w:tc>
        <w:tc>
          <w:tcPr>
            <w:tcW w:w="9514" w:type="dxa"/>
          </w:tcPr>
          <w:p w14:paraId="4C3F36F1"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Incremento do passivo a descoberto (patrimônio negativo).</w:t>
            </w:r>
          </w:p>
        </w:tc>
        <w:tc>
          <w:tcPr>
            <w:tcW w:w="1663" w:type="dxa"/>
            <w:vAlign w:val="center"/>
          </w:tcPr>
          <w:p w14:paraId="302BA593"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Gestão</w:t>
            </w:r>
          </w:p>
        </w:tc>
        <w:tc>
          <w:tcPr>
            <w:tcW w:w="1694" w:type="dxa"/>
            <w:vAlign w:val="center"/>
          </w:tcPr>
          <w:p w14:paraId="157BD312"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3A1D9C0A" w14:textId="77777777" w:rsidTr="002D7202">
        <w:trPr>
          <w:jc w:val="center"/>
        </w:trPr>
        <w:tc>
          <w:tcPr>
            <w:tcW w:w="1055" w:type="dxa"/>
          </w:tcPr>
          <w:p w14:paraId="6D8CF259"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6</w:t>
            </w:r>
          </w:p>
        </w:tc>
        <w:tc>
          <w:tcPr>
            <w:tcW w:w="9514" w:type="dxa"/>
          </w:tcPr>
          <w:p w14:paraId="533A390A"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Não encaminhamento de extratos bancários das contas movimentadas no exercício com o saldo em 31/12/2013.</w:t>
            </w:r>
          </w:p>
        </w:tc>
        <w:tc>
          <w:tcPr>
            <w:tcW w:w="1663" w:type="dxa"/>
            <w:vAlign w:val="center"/>
          </w:tcPr>
          <w:p w14:paraId="7BAB2672"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Financeiro</w:t>
            </w:r>
          </w:p>
        </w:tc>
        <w:tc>
          <w:tcPr>
            <w:tcW w:w="1694" w:type="dxa"/>
            <w:vAlign w:val="center"/>
          </w:tcPr>
          <w:p w14:paraId="6FEEE03E"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50F818DA" w14:textId="77777777" w:rsidTr="002D7202">
        <w:trPr>
          <w:jc w:val="center"/>
        </w:trPr>
        <w:tc>
          <w:tcPr>
            <w:tcW w:w="1055" w:type="dxa"/>
          </w:tcPr>
          <w:p w14:paraId="1CF80CAB"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7</w:t>
            </w:r>
          </w:p>
        </w:tc>
        <w:tc>
          <w:tcPr>
            <w:tcW w:w="9514" w:type="dxa"/>
          </w:tcPr>
          <w:p w14:paraId="730AB836"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Diferenças nos saldos contábeis em relação às posições apresentadas nos extratos das instituições bancárias.</w:t>
            </w:r>
          </w:p>
        </w:tc>
        <w:tc>
          <w:tcPr>
            <w:tcW w:w="1663" w:type="dxa"/>
            <w:vAlign w:val="center"/>
          </w:tcPr>
          <w:p w14:paraId="7D49E361"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Financeiro</w:t>
            </w:r>
          </w:p>
        </w:tc>
        <w:tc>
          <w:tcPr>
            <w:tcW w:w="1694" w:type="dxa"/>
            <w:vAlign w:val="center"/>
          </w:tcPr>
          <w:p w14:paraId="16A4F282"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14538976" w14:textId="77777777" w:rsidTr="002D7202">
        <w:trPr>
          <w:jc w:val="center"/>
        </w:trPr>
        <w:tc>
          <w:tcPr>
            <w:tcW w:w="1055" w:type="dxa"/>
          </w:tcPr>
          <w:p w14:paraId="58DE42CD"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8</w:t>
            </w:r>
          </w:p>
        </w:tc>
        <w:tc>
          <w:tcPr>
            <w:tcW w:w="9514" w:type="dxa"/>
          </w:tcPr>
          <w:p w14:paraId="61B5A9FB"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Não regularização de pendências nas conciliações bancárias.</w:t>
            </w:r>
          </w:p>
        </w:tc>
        <w:tc>
          <w:tcPr>
            <w:tcW w:w="1663" w:type="dxa"/>
            <w:vAlign w:val="center"/>
          </w:tcPr>
          <w:p w14:paraId="1146F786"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Financeiro</w:t>
            </w:r>
          </w:p>
        </w:tc>
        <w:tc>
          <w:tcPr>
            <w:tcW w:w="1694" w:type="dxa"/>
            <w:vAlign w:val="center"/>
          </w:tcPr>
          <w:p w14:paraId="6A929463"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371EFAAE" w14:textId="77777777" w:rsidTr="002D7202">
        <w:trPr>
          <w:jc w:val="center"/>
        </w:trPr>
        <w:tc>
          <w:tcPr>
            <w:tcW w:w="1055" w:type="dxa"/>
          </w:tcPr>
          <w:p w14:paraId="63CD3221"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9</w:t>
            </w:r>
          </w:p>
        </w:tc>
        <w:tc>
          <w:tcPr>
            <w:tcW w:w="9514" w:type="dxa"/>
          </w:tcPr>
          <w:p w14:paraId="52091A04"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Falta do parecer do Conselho Fiscal sobre as contas do exercício.</w:t>
            </w:r>
          </w:p>
        </w:tc>
        <w:tc>
          <w:tcPr>
            <w:tcW w:w="1663" w:type="dxa"/>
            <w:vAlign w:val="center"/>
          </w:tcPr>
          <w:p w14:paraId="4237F939"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Legais</w:t>
            </w:r>
          </w:p>
        </w:tc>
        <w:tc>
          <w:tcPr>
            <w:tcW w:w="1694" w:type="dxa"/>
            <w:vAlign w:val="center"/>
          </w:tcPr>
          <w:p w14:paraId="7860DD84"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35B2A679" w14:textId="77777777" w:rsidTr="002D7202">
        <w:trPr>
          <w:jc w:val="center"/>
        </w:trPr>
        <w:tc>
          <w:tcPr>
            <w:tcW w:w="1055" w:type="dxa"/>
          </w:tcPr>
          <w:p w14:paraId="3A83A414"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lastRenderedPageBreak/>
              <w:t>10</w:t>
            </w:r>
          </w:p>
        </w:tc>
        <w:tc>
          <w:tcPr>
            <w:tcW w:w="9514" w:type="dxa"/>
          </w:tcPr>
          <w:p w14:paraId="673A55F3"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Parecer do Conselho Fiscal aponta irregularidades.</w:t>
            </w:r>
          </w:p>
        </w:tc>
        <w:tc>
          <w:tcPr>
            <w:tcW w:w="1663" w:type="dxa"/>
            <w:vAlign w:val="center"/>
          </w:tcPr>
          <w:p w14:paraId="44003E71"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Legais</w:t>
            </w:r>
          </w:p>
        </w:tc>
        <w:tc>
          <w:tcPr>
            <w:tcW w:w="1694" w:type="dxa"/>
            <w:vAlign w:val="center"/>
          </w:tcPr>
          <w:p w14:paraId="586855DB"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7119CADF" w14:textId="77777777" w:rsidTr="002D7202">
        <w:trPr>
          <w:jc w:val="center"/>
        </w:trPr>
        <w:tc>
          <w:tcPr>
            <w:tcW w:w="1055" w:type="dxa"/>
          </w:tcPr>
          <w:p w14:paraId="21A949B9"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11</w:t>
            </w:r>
          </w:p>
        </w:tc>
        <w:tc>
          <w:tcPr>
            <w:tcW w:w="9514" w:type="dxa"/>
            <w:vAlign w:val="bottom"/>
          </w:tcPr>
          <w:p w14:paraId="767E08E8"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 xml:space="preserve">Não encaminhamento do Certificado de regularidade dos recolhimentos do INSS/FGTS. </w:t>
            </w:r>
          </w:p>
        </w:tc>
        <w:tc>
          <w:tcPr>
            <w:tcW w:w="1663" w:type="dxa"/>
            <w:vAlign w:val="center"/>
          </w:tcPr>
          <w:p w14:paraId="5C28B02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Regulamentares</w:t>
            </w:r>
          </w:p>
        </w:tc>
        <w:tc>
          <w:tcPr>
            <w:tcW w:w="1694" w:type="dxa"/>
            <w:vAlign w:val="center"/>
          </w:tcPr>
          <w:p w14:paraId="1FFABC62"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71CD0103" w14:textId="77777777" w:rsidTr="002D7202">
        <w:trPr>
          <w:jc w:val="center"/>
        </w:trPr>
        <w:tc>
          <w:tcPr>
            <w:tcW w:w="1055" w:type="dxa"/>
          </w:tcPr>
          <w:p w14:paraId="0588D3F6"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12</w:t>
            </w:r>
          </w:p>
        </w:tc>
        <w:tc>
          <w:tcPr>
            <w:tcW w:w="9514" w:type="dxa"/>
            <w:vAlign w:val="bottom"/>
          </w:tcPr>
          <w:p w14:paraId="6D383D16"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Não encaminhamento de dados ao sistema do Tribunal - Atos de Pessoal.</w:t>
            </w:r>
          </w:p>
        </w:tc>
        <w:tc>
          <w:tcPr>
            <w:tcW w:w="1663" w:type="dxa"/>
            <w:vAlign w:val="center"/>
          </w:tcPr>
          <w:p w14:paraId="218C621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Normas TCE-PR</w:t>
            </w:r>
          </w:p>
        </w:tc>
        <w:tc>
          <w:tcPr>
            <w:tcW w:w="1694" w:type="dxa"/>
            <w:vAlign w:val="center"/>
          </w:tcPr>
          <w:p w14:paraId="219BD1D1"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4C4F4952" w14:textId="77777777" w:rsidTr="002D7202">
        <w:trPr>
          <w:jc w:val="center"/>
        </w:trPr>
        <w:tc>
          <w:tcPr>
            <w:tcW w:w="1055" w:type="dxa"/>
          </w:tcPr>
          <w:p w14:paraId="60ACB1DF"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13</w:t>
            </w:r>
          </w:p>
        </w:tc>
        <w:tc>
          <w:tcPr>
            <w:tcW w:w="9514" w:type="dxa"/>
            <w:vAlign w:val="bottom"/>
          </w:tcPr>
          <w:p w14:paraId="5C30937F"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Não preen</w:t>
            </w:r>
            <w:r>
              <w:rPr>
                <w:rFonts w:ascii="Arial" w:hAnsi="Arial" w:cs="Arial"/>
                <w:color w:val="000000"/>
              </w:rPr>
              <w:t>chimento do Mural de Licitações</w:t>
            </w:r>
            <w:r w:rsidRPr="00F551A2">
              <w:rPr>
                <w:rFonts w:ascii="Arial" w:hAnsi="Arial" w:cs="Arial"/>
                <w:color w:val="000000"/>
              </w:rPr>
              <w:t xml:space="preserve"> ou falta de dados.</w:t>
            </w:r>
          </w:p>
        </w:tc>
        <w:tc>
          <w:tcPr>
            <w:tcW w:w="1663" w:type="dxa"/>
            <w:vAlign w:val="center"/>
          </w:tcPr>
          <w:p w14:paraId="4E97670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Normas TCE-PR</w:t>
            </w:r>
          </w:p>
        </w:tc>
        <w:tc>
          <w:tcPr>
            <w:tcW w:w="1694" w:type="dxa"/>
            <w:vAlign w:val="center"/>
          </w:tcPr>
          <w:p w14:paraId="21581CA2"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166C2E15" w14:textId="77777777" w:rsidTr="002D7202">
        <w:trPr>
          <w:jc w:val="center"/>
        </w:trPr>
        <w:tc>
          <w:tcPr>
            <w:tcW w:w="1055" w:type="dxa"/>
            <w:tcBorders>
              <w:bottom w:val="single" w:sz="6" w:space="0" w:color="auto"/>
            </w:tcBorders>
          </w:tcPr>
          <w:p w14:paraId="18BC99CC"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14</w:t>
            </w:r>
          </w:p>
        </w:tc>
        <w:tc>
          <w:tcPr>
            <w:tcW w:w="9514" w:type="dxa"/>
            <w:tcBorders>
              <w:bottom w:val="single" w:sz="6" w:space="0" w:color="auto"/>
            </w:tcBorders>
          </w:tcPr>
          <w:p w14:paraId="1664D3C5"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Não foi encaminhado o Relatório do Controle Interno.</w:t>
            </w:r>
          </w:p>
        </w:tc>
        <w:tc>
          <w:tcPr>
            <w:tcW w:w="1663" w:type="dxa"/>
            <w:tcBorders>
              <w:bottom w:val="single" w:sz="6" w:space="0" w:color="auto"/>
            </w:tcBorders>
            <w:vAlign w:val="center"/>
          </w:tcPr>
          <w:p w14:paraId="351CE9EF"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Controle interno</w:t>
            </w:r>
          </w:p>
        </w:tc>
        <w:tc>
          <w:tcPr>
            <w:tcW w:w="1694" w:type="dxa"/>
            <w:tcBorders>
              <w:bottom w:val="single" w:sz="6" w:space="0" w:color="auto"/>
            </w:tcBorders>
            <w:vAlign w:val="center"/>
          </w:tcPr>
          <w:p w14:paraId="31474699"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1B071D29" w14:textId="77777777" w:rsidTr="002D7202">
        <w:trPr>
          <w:jc w:val="center"/>
        </w:trPr>
        <w:tc>
          <w:tcPr>
            <w:tcW w:w="1055" w:type="dxa"/>
            <w:tcBorders>
              <w:top w:val="single" w:sz="6" w:space="0" w:color="auto"/>
              <w:bottom w:val="nil"/>
            </w:tcBorders>
          </w:tcPr>
          <w:p w14:paraId="4F308E94"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15</w:t>
            </w:r>
          </w:p>
        </w:tc>
        <w:tc>
          <w:tcPr>
            <w:tcW w:w="9514" w:type="dxa"/>
            <w:tcBorders>
              <w:top w:val="single" w:sz="6" w:space="0" w:color="auto"/>
              <w:bottom w:val="nil"/>
            </w:tcBorders>
          </w:tcPr>
          <w:p w14:paraId="14DAB164"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MANIFESTAÇÃO DO CONTROLE INTERNO APONTA IRREGULARIDADE:</w:t>
            </w:r>
          </w:p>
        </w:tc>
        <w:tc>
          <w:tcPr>
            <w:tcW w:w="1663" w:type="dxa"/>
            <w:tcBorders>
              <w:top w:val="single" w:sz="6" w:space="0" w:color="auto"/>
              <w:bottom w:val="nil"/>
            </w:tcBorders>
          </w:tcPr>
          <w:p w14:paraId="24D3F2D7" w14:textId="77777777" w:rsidR="002C1F32" w:rsidRPr="00F551A2" w:rsidRDefault="002C1F32" w:rsidP="002D7202">
            <w:pPr>
              <w:spacing w:before="60" w:after="60"/>
              <w:jc w:val="center"/>
              <w:rPr>
                <w:rFonts w:ascii="Arial" w:hAnsi="Arial" w:cs="Arial"/>
                <w:color w:val="000000"/>
              </w:rPr>
            </w:pPr>
          </w:p>
        </w:tc>
        <w:tc>
          <w:tcPr>
            <w:tcW w:w="1694" w:type="dxa"/>
            <w:tcBorders>
              <w:top w:val="single" w:sz="6" w:space="0" w:color="auto"/>
              <w:bottom w:val="nil"/>
            </w:tcBorders>
          </w:tcPr>
          <w:p w14:paraId="7217EDB5" w14:textId="77777777" w:rsidR="002C1F32" w:rsidRPr="00F551A2" w:rsidRDefault="002C1F32" w:rsidP="002D7202">
            <w:pPr>
              <w:spacing w:before="60" w:after="60"/>
              <w:jc w:val="center"/>
              <w:rPr>
                <w:rFonts w:ascii="Arial" w:hAnsi="Arial" w:cs="Arial"/>
                <w:color w:val="000000"/>
              </w:rPr>
            </w:pPr>
          </w:p>
        </w:tc>
      </w:tr>
      <w:tr w:rsidR="002C1F32" w:rsidRPr="00F551A2" w14:paraId="0CBF7951" w14:textId="77777777" w:rsidTr="002D7202">
        <w:trPr>
          <w:jc w:val="center"/>
        </w:trPr>
        <w:tc>
          <w:tcPr>
            <w:tcW w:w="1055" w:type="dxa"/>
            <w:tcBorders>
              <w:top w:val="nil"/>
              <w:bottom w:val="nil"/>
            </w:tcBorders>
          </w:tcPr>
          <w:p w14:paraId="7AF670A7"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15.1</w:t>
            </w:r>
          </w:p>
        </w:tc>
        <w:tc>
          <w:tcPr>
            <w:tcW w:w="9514" w:type="dxa"/>
            <w:tcBorders>
              <w:top w:val="nil"/>
              <w:bottom w:val="nil"/>
            </w:tcBorders>
          </w:tcPr>
          <w:p w14:paraId="5B4CB0CD" w14:textId="77777777" w:rsidR="002C1F32" w:rsidRPr="00F551A2" w:rsidRDefault="002C1F32" w:rsidP="002D7202">
            <w:pPr>
              <w:numPr>
                <w:ilvl w:val="0"/>
                <w:numId w:val="1"/>
              </w:numPr>
              <w:autoSpaceDE/>
              <w:autoSpaceDN/>
              <w:spacing w:before="60" w:after="60"/>
              <w:jc w:val="both"/>
              <w:rPr>
                <w:rFonts w:ascii="Arial" w:hAnsi="Arial" w:cs="Arial"/>
                <w:color w:val="000000"/>
              </w:rPr>
            </w:pPr>
            <w:r w:rsidRPr="00F551A2">
              <w:rPr>
                <w:rFonts w:ascii="Arial" w:hAnsi="Arial" w:cs="Arial"/>
                <w:color w:val="000000"/>
              </w:rPr>
              <w:t>em processos licitatórios, indicando a amostragem realizada.</w:t>
            </w:r>
          </w:p>
        </w:tc>
        <w:tc>
          <w:tcPr>
            <w:tcW w:w="1663" w:type="dxa"/>
            <w:tcBorders>
              <w:top w:val="nil"/>
              <w:bottom w:val="nil"/>
            </w:tcBorders>
          </w:tcPr>
          <w:p w14:paraId="28278550"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Legais</w:t>
            </w:r>
          </w:p>
        </w:tc>
        <w:tc>
          <w:tcPr>
            <w:tcW w:w="1694" w:type="dxa"/>
            <w:tcBorders>
              <w:top w:val="nil"/>
              <w:bottom w:val="nil"/>
            </w:tcBorders>
          </w:tcPr>
          <w:p w14:paraId="0F320391"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08D792E5" w14:textId="77777777" w:rsidTr="002D7202">
        <w:trPr>
          <w:jc w:val="center"/>
        </w:trPr>
        <w:tc>
          <w:tcPr>
            <w:tcW w:w="1055" w:type="dxa"/>
            <w:tcBorders>
              <w:top w:val="nil"/>
              <w:bottom w:val="nil"/>
            </w:tcBorders>
          </w:tcPr>
          <w:p w14:paraId="289DCF46"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15.2</w:t>
            </w:r>
          </w:p>
        </w:tc>
        <w:tc>
          <w:tcPr>
            <w:tcW w:w="9514" w:type="dxa"/>
            <w:tcBorders>
              <w:top w:val="nil"/>
              <w:bottom w:val="nil"/>
            </w:tcBorders>
          </w:tcPr>
          <w:p w14:paraId="492588C5" w14:textId="77777777" w:rsidR="002C1F32" w:rsidRPr="00F551A2" w:rsidRDefault="002C1F32" w:rsidP="002D7202">
            <w:pPr>
              <w:numPr>
                <w:ilvl w:val="0"/>
                <w:numId w:val="1"/>
              </w:numPr>
              <w:autoSpaceDE/>
              <w:autoSpaceDN/>
              <w:spacing w:before="60" w:after="60"/>
              <w:jc w:val="both"/>
              <w:rPr>
                <w:rFonts w:ascii="Arial" w:hAnsi="Arial" w:cs="Arial"/>
                <w:color w:val="000000"/>
              </w:rPr>
            </w:pPr>
            <w:r w:rsidRPr="00F551A2">
              <w:rPr>
                <w:rFonts w:ascii="Arial" w:hAnsi="Arial" w:cs="Arial"/>
                <w:color w:val="000000"/>
              </w:rPr>
              <w:t>no cumprimento de obrigações fiscais e trabalhistas.</w:t>
            </w:r>
          </w:p>
        </w:tc>
        <w:tc>
          <w:tcPr>
            <w:tcW w:w="1663" w:type="dxa"/>
            <w:tcBorders>
              <w:top w:val="nil"/>
              <w:bottom w:val="nil"/>
            </w:tcBorders>
          </w:tcPr>
          <w:p w14:paraId="3FFCCD53"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Legais</w:t>
            </w:r>
          </w:p>
        </w:tc>
        <w:tc>
          <w:tcPr>
            <w:tcW w:w="1694" w:type="dxa"/>
            <w:tcBorders>
              <w:top w:val="nil"/>
              <w:bottom w:val="nil"/>
            </w:tcBorders>
          </w:tcPr>
          <w:p w14:paraId="605DC83C"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210EDDBC" w14:textId="77777777" w:rsidTr="002D7202">
        <w:trPr>
          <w:jc w:val="center"/>
        </w:trPr>
        <w:tc>
          <w:tcPr>
            <w:tcW w:w="1055" w:type="dxa"/>
            <w:tcBorders>
              <w:top w:val="nil"/>
              <w:bottom w:val="nil"/>
            </w:tcBorders>
          </w:tcPr>
          <w:p w14:paraId="512B20A6"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15.3</w:t>
            </w:r>
          </w:p>
        </w:tc>
        <w:tc>
          <w:tcPr>
            <w:tcW w:w="9514" w:type="dxa"/>
            <w:tcBorders>
              <w:top w:val="nil"/>
              <w:bottom w:val="nil"/>
            </w:tcBorders>
          </w:tcPr>
          <w:p w14:paraId="7E9068C0" w14:textId="77777777" w:rsidR="002C1F32" w:rsidRPr="00F551A2" w:rsidRDefault="002C1F32" w:rsidP="002D7202">
            <w:pPr>
              <w:numPr>
                <w:ilvl w:val="0"/>
                <w:numId w:val="1"/>
              </w:numPr>
              <w:autoSpaceDE/>
              <w:autoSpaceDN/>
              <w:spacing w:before="60" w:after="60"/>
              <w:jc w:val="both"/>
              <w:rPr>
                <w:rFonts w:ascii="Arial" w:hAnsi="Arial" w:cs="Arial"/>
                <w:color w:val="000000"/>
              </w:rPr>
            </w:pPr>
            <w:r w:rsidRPr="00F551A2">
              <w:rPr>
                <w:rFonts w:ascii="Arial" w:hAnsi="Arial" w:cs="Arial"/>
                <w:color w:val="000000"/>
              </w:rPr>
              <w:t>quanto ao cumprimento de decisões e recomendações do Conselho Fiscal.</w:t>
            </w:r>
          </w:p>
        </w:tc>
        <w:tc>
          <w:tcPr>
            <w:tcW w:w="1663" w:type="dxa"/>
            <w:tcBorders>
              <w:top w:val="nil"/>
              <w:bottom w:val="nil"/>
            </w:tcBorders>
          </w:tcPr>
          <w:p w14:paraId="050F95E6"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Legais</w:t>
            </w:r>
          </w:p>
        </w:tc>
        <w:tc>
          <w:tcPr>
            <w:tcW w:w="1694" w:type="dxa"/>
            <w:tcBorders>
              <w:top w:val="nil"/>
              <w:bottom w:val="nil"/>
            </w:tcBorders>
          </w:tcPr>
          <w:p w14:paraId="41F64DAE"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2E97786D" w14:textId="77777777" w:rsidTr="002D7202">
        <w:trPr>
          <w:jc w:val="center"/>
        </w:trPr>
        <w:tc>
          <w:tcPr>
            <w:tcW w:w="1055" w:type="dxa"/>
            <w:tcBorders>
              <w:top w:val="nil"/>
              <w:bottom w:val="nil"/>
            </w:tcBorders>
          </w:tcPr>
          <w:p w14:paraId="525D40C0"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15.4</w:t>
            </w:r>
          </w:p>
        </w:tc>
        <w:tc>
          <w:tcPr>
            <w:tcW w:w="9514" w:type="dxa"/>
            <w:tcBorders>
              <w:top w:val="nil"/>
              <w:bottom w:val="nil"/>
            </w:tcBorders>
          </w:tcPr>
          <w:p w14:paraId="5E89DC37" w14:textId="77777777" w:rsidR="002C1F32" w:rsidRPr="00F551A2" w:rsidRDefault="002C1F32" w:rsidP="002D7202">
            <w:pPr>
              <w:numPr>
                <w:ilvl w:val="0"/>
                <w:numId w:val="1"/>
              </w:numPr>
              <w:autoSpaceDE/>
              <w:autoSpaceDN/>
              <w:spacing w:before="60" w:after="60"/>
              <w:jc w:val="both"/>
              <w:rPr>
                <w:rFonts w:ascii="Arial" w:hAnsi="Arial" w:cs="Arial"/>
                <w:color w:val="000000"/>
              </w:rPr>
            </w:pPr>
            <w:r w:rsidRPr="00F551A2">
              <w:rPr>
                <w:rFonts w:ascii="Arial" w:hAnsi="Arial" w:cs="Arial"/>
                <w:color w:val="000000"/>
              </w:rPr>
              <w:t xml:space="preserve">no cumprimento de decisões do Conselho de Administração. </w:t>
            </w:r>
          </w:p>
        </w:tc>
        <w:tc>
          <w:tcPr>
            <w:tcW w:w="1663" w:type="dxa"/>
            <w:tcBorders>
              <w:top w:val="nil"/>
              <w:bottom w:val="nil"/>
            </w:tcBorders>
          </w:tcPr>
          <w:p w14:paraId="69D21B58"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Legais</w:t>
            </w:r>
          </w:p>
        </w:tc>
        <w:tc>
          <w:tcPr>
            <w:tcW w:w="1694" w:type="dxa"/>
            <w:tcBorders>
              <w:top w:val="nil"/>
              <w:bottom w:val="nil"/>
            </w:tcBorders>
          </w:tcPr>
          <w:p w14:paraId="3C6FF85A"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7392657C" w14:textId="77777777" w:rsidTr="002D7202">
        <w:trPr>
          <w:jc w:val="center"/>
        </w:trPr>
        <w:tc>
          <w:tcPr>
            <w:tcW w:w="1055" w:type="dxa"/>
            <w:tcBorders>
              <w:top w:val="nil"/>
              <w:bottom w:val="nil"/>
            </w:tcBorders>
          </w:tcPr>
          <w:p w14:paraId="03F3BE60"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15.5</w:t>
            </w:r>
          </w:p>
        </w:tc>
        <w:tc>
          <w:tcPr>
            <w:tcW w:w="9514" w:type="dxa"/>
            <w:tcBorders>
              <w:top w:val="nil"/>
              <w:bottom w:val="nil"/>
            </w:tcBorders>
          </w:tcPr>
          <w:p w14:paraId="38DB1502" w14:textId="77777777" w:rsidR="002C1F32" w:rsidRPr="00F551A2" w:rsidRDefault="002C1F32" w:rsidP="002D7202">
            <w:pPr>
              <w:numPr>
                <w:ilvl w:val="0"/>
                <w:numId w:val="1"/>
              </w:numPr>
              <w:autoSpaceDE/>
              <w:autoSpaceDN/>
              <w:spacing w:before="60" w:after="60"/>
              <w:jc w:val="both"/>
              <w:rPr>
                <w:rFonts w:ascii="Arial" w:hAnsi="Arial" w:cs="Arial"/>
                <w:color w:val="000000"/>
              </w:rPr>
            </w:pPr>
            <w:r w:rsidRPr="00F551A2">
              <w:rPr>
                <w:rFonts w:ascii="Arial" w:hAnsi="Arial" w:cs="Arial"/>
                <w:color w:val="000000"/>
              </w:rPr>
              <w:t>no cumprimento de providências prescritas em procedimentos de fiscalização especiais (não ordinárias) realizadas pelo Controle Interno, especificando-se o assunto.</w:t>
            </w:r>
          </w:p>
        </w:tc>
        <w:tc>
          <w:tcPr>
            <w:tcW w:w="1663" w:type="dxa"/>
            <w:tcBorders>
              <w:top w:val="nil"/>
              <w:bottom w:val="nil"/>
            </w:tcBorders>
          </w:tcPr>
          <w:p w14:paraId="47C1C70A"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Legais</w:t>
            </w:r>
          </w:p>
        </w:tc>
        <w:tc>
          <w:tcPr>
            <w:tcW w:w="1694" w:type="dxa"/>
            <w:tcBorders>
              <w:top w:val="nil"/>
              <w:bottom w:val="nil"/>
            </w:tcBorders>
          </w:tcPr>
          <w:p w14:paraId="6FFDB840"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0E0B8FDC" w14:textId="77777777" w:rsidTr="002D7202">
        <w:trPr>
          <w:jc w:val="center"/>
        </w:trPr>
        <w:tc>
          <w:tcPr>
            <w:tcW w:w="1055" w:type="dxa"/>
            <w:tcBorders>
              <w:top w:val="nil"/>
              <w:bottom w:val="nil"/>
            </w:tcBorders>
          </w:tcPr>
          <w:p w14:paraId="524C3829"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15.6</w:t>
            </w:r>
          </w:p>
        </w:tc>
        <w:tc>
          <w:tcPr>
            <w:tcW w:w="9514" w:type="dxa"/>
            <w:tcBorders>
              <w:top w:val="nil"/>
              <w:bottom w:val="nil"/>
            </w:tcBorders>
          </w:tcPr>
          <w:p w14:paraId="51136F4F" w14:textId="77777777" w:rsidR="002C1F32" w:rsidRPr="00F551A2" w:rsidRDefault="002C1F32" w:rsidP="002D7202">
            <w:pPr>
              <w:numPr>
                <w:ilvl w:val="0"/>
                <w:numId w:val="1"/>
              </w:numPr>
              <w:autoSpaceDE/>
              <w:autoSpaceDN/>
              <w:spacing w:before="60" w:after="60"/>
              <w:jc w:val="both"/>
              <w:rPr>
                <w:rFonts w:ascii="Arial" w:hAnsi="Arial" w:cs="Arial"/>
                <w:color w:val="000000"/>
              </w:rPr>
            </w:pPr>
            <w:r w:rsidRPr="00F551A2">
              <w:rPr>
                <w:rFonts w:ascii="Arial" w:hAnsi="Arial" w:cs="Arial"/>
                <w:color w:val="000000"/>
              </w:rPr>
              <w:t>na baixa ou alienação de bens móveis ou imóveis.</w:t>
            </w:r>
          </w:p>
        </w:tc>
        <w:tc>
          <w:tcPr>
            <w:tcW w:w="1663" w:type="dxa"/>
            <w:tcBorders>
              <w:top w:val="nil"/>
              <w:bottom w:val="nil"/>
            </w:tcBorders>
          </w:tcPr>
          <w:p w14:paraId="71A2118C"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Contábeis</w:t>
            </w:r>
          </w:p>
        </w:tc>
        <w:tc>
          <w:tcPr>
            <w:tcW w:w="1694" w:type="dxa"/>
            <w:tcBorders>
              <w:top w:val="nil"/>
              <w:bottom w:val="nil"/>
            </w:tcBorders>
          </w:tcPr>
          <w:p w14:paraId="71881E9E"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2DCC8416" w14:textId="77777777" w:rsidTr="002D7202">
        <w:trPr>
          <w:jc w:val="center"/>
        </w:trPr>
        <w:tc>
          <w:tcPr>
            <w:tcW w:w="1055" w:type="dxa"/>
            <w:tcBorders>
              <w:top w:val="nil"/>
              <w:bottom w:val="nil"/>
            </w:tcBorders>
          </w:tcPr>
          <w:p w14:paraId="6C9A9328"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15.7</w:t>
            </w:r>
          </w:p>
        </w:tc>
        <w:tc>
          <w:tcPr>
            <w:tcW w:w="9514" w:type="dxa"/>
            <w:tcBorders>
              <w:top w:val="nil"/>
              <w:bottom w:val="nil"/>
            </w:tcBorders>
          </w:tcPr>
          <w:p w14:paraId="010C5421" w14:textId="77777777" w:rsidR="002C1F32" w:rsidRPr="00F551A2" w:rsidRDefault="002C1F32" w:rsidP="002D7202">
            <w:pPr>
              <w:numPr>
                <w:ilvl w:val="0"/>
                <w:numId w:val="1"/>
              </w:numPr>
              <w:autoSpaceDE/>
              <w:autoSpaceDN/>
              <w:spacing w:before="60" w:after="60"/>
              <w:jc w:val="both"/>
              <w:rPr>
                <w:rFonts w:ascii="Arial" w:hAnsi="Arial" w:cs="Arial"/>
                <w:color w:val="000000"/>
              </w:rPr>
            </w:pPr>
            <w:r w:rsidRPr="00F551A2">
              <w:rPr>
                <w:rFonts w:ascii="Arial" w:hAnsi="Arial" w:cs="Arial"/>
                <w:color w:val="000000"/>
              </w:rPr>
              <w:t>na observância da legislação sobre admissão, promoção e remuneração de pessoal.</w:t>
            </w:r>
          </w:p>
        </w:tc>
        <w:tc>
          <w:tcPr>
            <w:tcW w:w="1663" w:type="dxa"/>
            <w:tcBorders>
              <w:top w:val="nil"/>
              <w:bottom w:val="nil"/>
            </w:tcBorders>
          </w:tcPr>
          <w:p w14:paraId="51042D5C"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Legais</w:t>
            </w:r>
          </w:p>
        </w:tc>
        <w:tc>
          <w:tcPr>
            <w:tcW w:w="1694" w:type="dxa"/>
            <w:tcBorders>
              <w:top w:val="nil"/>
              <w:bottom w:val="nil"/>
            </w:tcBorders>
          </w:tcPr>
          <w:p w14:paraId="284D052E"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r w:rsidR="002C1F32" w:rsidRPr="00F551A2" w14:paraId="16E06A02" w14:textId="77777777" w:rsidTr="002D7202">
        <w:trPr>
          <w:jc w:val="center"/>
        </w:trPr>
        <w:tc>
          <w:tcPr>
            <w:tcW w:w="1055" w:type="dxa"/>
            <w:tcBorders>
              <w:top w:val="nil"/>
              <w:bottom w:val="single" w:sz="4" w:space="0" w:color="auto"/>
            </w:tcBorders>
          </w:tcPr>
          <w:p w14:paraId="19F419AF" w14:textId="77777777" w:rsidR="002C1F32" w:rsidRPr="00F551A2" w:rsidRDefault="002C1F32" w:rsidP="002D7202">
            <w:pPr>
              <w:spacing w:before="60" w:after="60"/>
              <w:jc w:val="right"/>
              <w:rPr>
                <w:rFonts w:ascii="Arial" w:hAnsi="Arial" w:cs="Arial"/>
                <w:color w:val="000000"/>
              </w:rPr>
            </w:pPr>
            <w:r w:rsidRPr="00F551A2">
              <w:rPr>
                <w:rFonts w:ascii="Arial" w:hAnsi="Arial" w:cs="Arial"/>
                <w:color w:val="000000"/>
              </w:rPr>
              <w:t>15.8</w:t>
            </w:r>
          </w:p>
        </w:tc>
        <w:tc>
          <w:tcPr>
            <w:tcW w:w="9514" w:type="dxa"/>
            <w:tcBorders>
              <w:top w:val="nil"/>
              <w:bottom w:val="single" w:sz="4" w:space="0" w:color="auto"/>
            </w:tcBorders>
          </w:tcPr>
          <w:p w14:paraId="448A124F" w14:textId="77777777" w:rsidR="002C1F32" w:rsidRPr="00F551A2" w:rsidRDefault="002C1F32" w:rsidP="002D7202">
            <w:pPr>
              <w:numPr>
                <w:ilvl w:val="0"/>
                <w:numId w:val="1"/>
              </w:numPr>
              <w:autoSpaceDE/>
              <w:autoSpaceDN/>
              <w:spacing w:before="60" w:after="60"/>
              <w:jc w:val="both"/>
              <w:rPr>
                <w:rFonts w:ascii="Arial" w:hAnsi="Arial" w:cs="Arial"/>
                <w:color w:val="000000"/>
              </w:rPr>
            </w:pPr>
            <w:r w:rsidRPr="00F551A2">
              <w:rPr>
                <w:rFonts w:ascii="Arial" w:hAnsi="Arial" w:cs="Arial"/>
                <w:color w:val="000000"/>
              </w:rPr>
              <w:t>no cumprimento de providências prescritas para o saneamento de inconformidades apontadas em auditoria/inspeção, realizadas pelo controle externo, e que tenham implicado na necessidade de adequações.</w:t>
            </w:r>
          </w:p>
        </w:tc>
        <w:tc>
          <w:tcPr>
            <w:tcW w:w="1663" w:type="dxa"/>
            <w:tcBorders>
              <w:top w:val="nil"/>
              <w:bottom w:val="single" w:sz="4" w:space="0" w:color="auto"/>
            </w:tcBorders>
          </w:tcPr>
          <w:p w14:paraId="7FED4254"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Legais</w:t>
            </w:r>
          </w:p>
        </w:tc>
        <w:tc>
          <w:tcPr>
            <w:tcW w:w="1694" w:type="dxa"/>
            <w:tcBorders>
              <w:top w:val="nil"/>
              <w:bottom w:val="single" w:sz="4" w:space="0" w:color="auto"/>
            </w:tcBorders>
          </w:tcPr>
          <w:p w14:paraId="4C16845B"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Restrição</w:t>
            </w:r>
          </w:p>
        </w:tc>
      </w:tr>
    </w:tbl>
    <w:p w14:paraId="3A4F8520" w14:textId="77777777" w:rsidR="002C1F32" w:rsidRPr="00F551A2" w:rsidRDefault="002C1F32" w:rsidP="002C1F32">
      <w:pPr>
        <w:rPr>
          <w:rFonts w:ascii="Arial" w:hAnsi="Arial" w:cs="Arial"/>
        </w:rPr>
      </w:pPr>
    </w:p>
    <w:p w14:paraId="17B2F186" w14:textId="77777777" w:rsidR="002C1F32" w:rsidRPr="00F551A2" w:rsidRDefault="002C1F32" w:rsidP="002C1F32">
      <w:pPr>
        <w:rPr>
          <w:rFonts w:ascii="Arial" w:hAnsi="Arial" w:cs="Arial"/>
          <w:b/>
        </w:rPr>
      </w:pPr>
      <w:r w:rsidRPr="00F551A2">
        <w:rPr>
          <w:rFonts w:ascii="Arial" w:hAnsi="Arial" w:cs="Arial"/>
        </w:rPr>
        <w:br w:type="page"/>
      </w:r>
    </w:p>
    <w:p w14:paraId="46E84D70" w14:textId="77777777" w:rsidR="002C1F32" w:rsidRPr="006A5FD2" w:rsidRDefault="002C1F32" w:rsidP="002C1F32">
      <w:pPr>
        <w:jc w:val="center"/>
        <w:rPr>
          <w:rFonts w:ascii="Arial" w:hAnsi="Arial" w:cs="Arial"/>
          <w:b/>
          <w:noProof/>
          <w:sz w:val="28"/>
          <w:szCs w:val="28"/>
        </w:rPr>
      </w:pPr>
      <w:r w:rsidRPr="006A5FD2">
        <w:rPr>
          <w:rFonts w:ascii="Arial" w:hAnsi="Arial" w:cs="Arial"/>
          <w:b/>
          <w:sz w:val="28"/>
          <w:szCs w:val="28"/>
        </w:rPr>
        <w:t xml:space="preserve">INSTRUÇÃO NORMATIVA Nº </w:t>
      </w:r>
      <w:r>
        <w:rPr>
          <w:rFonts w:ascii="Arial" w:hAnsi="Arial" w:cs="Arial"/>
          <w:b/>
          <w:sz w:val="28"/>
          <w:szCs w:val="28"/>
        </w:rPr>
        <w:t>94</w:t>
      </w:r>
      <w:r w:rsidRPr="006A5FD2">
        <w:rPr>
          <w:rFonts w:ascii="Arial" w:hAnsi="Arial" w:cs="Arial"/>
          <w:b/>
          <w:sz w:val="28"/>
          <w:szCs w:val="28"/>
        </w:rPr>
        <w:t>/201</w:t>
      </w:r>
      <w:r>
        <w:rPr>
          <w:rFonts w:ascii="Arial" w:hAnsi="Arial" w:cs="Arial"/>
          <w:b/>
          <w:sz w:val="28"/>
          <w:szCs w:val="28"/>
        </w:rPr>
        <w:t>4</w:t>
      </w:r>
    </w:p>
    <w:p w14:paraId="58EF9E86" w14:textId="77777777" w:rsidR="002C1F32" w:rsidRPr="006A5FD2" w:rsidRDefault="002C1F32" w:rsidP="002C1F32">
      <w:pPr>
        <w:rPr>
          <w:rFonts w:ascii="Arial" w:hAnsi="Arial" w:cs="Arial"/>
          <w:b/>
          <w:noProof/>
          <w:sz w:val="28"/>
          <w:szCs w:val="28"/>
        </w:rPr>
      </w:pPr>
    </w:p>
    <w:p w14:paraId="7BA1568A" w14:textId="77777777" w:rsidR="002C1F32" w:rsidRPr="006A5FD2" w:rsidRDefault="002C1F32" w:rsidP="002C1F32">
      <w:pPr>
        <w:jc w:val="center"/>
        <w:rPr>
          <w:rFonts w:ascii="Arial" w:hAnsi="Arial" w:cs="Arial"/>
          <w:b/>
          <w:noProof/>
          <w:sz w:val="28"/>
          <w:szCs w:val="28"/>
        </w:rPr>
      </w:pPr>
      <w:r w:rsidRPr="006A5FD2">
        <w:rPr>
          <w:rFonts w:ascii="Arial" w:hAnsi="Arial" w:cs="Arial"/>
          <w:b/>
          <w:noProof/>
          <w:sz w:val="28"/>
          <w:szCs w:val="28"/>
        </w:rPr>
        <w:t>ANEXO III</w:t>
      </w:r>
    </w:p>
    <w:p w14:paraId="7781E07E" w14:textId="77777777" w:rsidR="002C1F32" w:rsidRPr="00F551A2" w:rsidRDefault="002C1F32" w:rsidP="002C1F32">
      <w:pPr>
        <w:jc w:val="center"/>
        <w:rPr>
          <w:rFonts w:ascii="Arial" w:hAnsi="Arial" w:cs="Arial"/>
          <w:b/>
        </w:rPr>
      </w:pPr>
    </w:p>
    <w:p w14:paraId="4C8E456C" w14:textId="77777777" w:rsidR="002C1F32" w:rsidRPr="00F551A2" w:rsidRDefault="002C1F32" w:rsidP="00F31A29">
      <w:pPr>
        <w:tabs>
          <w:tab w:val="left" w:pos="1260"/>
          <w:tab w:val="left" w:pos="1440"/>
          <w:tab w:val="left" w:pos="1620"/>
          <w:tab w:val="left" w:pos="1800"/>
          <w:tab w:val="left" w:pos="1980"/>
        </w:tabs>
        <w:autoSpaceDE/>
        <w:autoSpaceDN/>
        <w:spacing w:before="120"/>
        <w:ind w:left="284"/>
        <w:jc w:val="both"/>
        <w:rPr>
          <w:rFonts w:ascii="Arial" w:hAnsi="Arial" w:cs="Arial"/>
          <w:color w:val="000000"/>
        </w:rPr>
      </w:pPr>
      <w:r>
        <w:rPr>
          <w:rFonts w:ascii="Arial" w:hAnsi="Arial" w:cs="Arial"/>
          <w:b/>
          <w:bCs/>
          <w:sz w:val="22"/>
          <w:szCs w:val="24"/>
        </w:rPr>
        <w:t xml:space="preserve"> </w:t>
      </w:r>
      <w:r w:rsidRPr="00F551A2">
        <w:rPr>
          <w:rFonts w:ascii="Arial" w:hAnsi="Arial" w:cs="Arial"/>
          <w:b/>
          <w:bCs/>
          <w:sz w:val="22"/>
          <w:szCs w:val="24"/>
        </w:rPr>
        <w:t xml:space="preserve">Aplicabilidade: </w:t>
      </w:r>
      <w:r w:rsidRPr="00F551A2">
        <w:rPr>
          <w:rFonts w:ascii="Arial" w:hAnsi="Arial" w:cs="Arial"/>
          <w:color w:val="000000"/>
        </w:rPr>
        <w:t>Organizações Sociais.</w:t>
      </w:r>
    </w:p>
    <w:p w14:paraId="090A1F9F" w14:textId="77777777" w:rsidR="002C1F32" w:rsidRPr="00F551A2" w:rsidRDefault="002C1F32" w:rsidP="002C1F32">
      <w:pPr>
        <w:jc w:val="center"/>
        <w:rPr>
          <w:rFonts w:ascii="Arial" w:hAnsi="Arial" w:cs="Arial"/>
          <w:b/>
        </w:rPr>
      </w:pPr>
    </w:p>
    <w:tbl>
      <w:tblPr>
        <w:tblW w:w="1360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4"/>
        <w:gridCol w:w="12471"/>
      </w:tblGrid>
      <w:tr w:rsidR="002C1F32" w:rsidRPr="00F551A2" w14:paraId="3D76C4FA" w14:textId="77777777" w:rsidTr="002D7202">
        <w:trPr>
          <w:cantSplit/>
          <w:trHeight w:val="509"/>
          <w:tblHeader/>
          <w:jc w:val="center"/>
        </w:trPr>
        <w:tc>
          <w:tcPr>
            <w:tcW w:w="1134" w:type="dxa"/>
            <w:vAlign w:val="center"/>
          </w:tcPr>
          <w:p w14:paraId="646BD301" w14:textId="77777777" w:rsidR="002C1F32" w:rsidRPr="00F551A2" w:rsidRDefault="002C1F32" w:rsidP="002D7202">
            <w:pPr>
              <w:jc w:val="center"/>
              <w:rPr>
                <w:rFonts w:ascii="Arial" w:hAnsi="Arial" w:cs="Arial"/>
                <w:b/>
                <w:color w:val="000000"/>
                <w:sz w:val="21"/>
                <w:szCs w:val="21"/>
              </w:rPr>
            </w:pPr>
            <w:r w:rsidRPr="00F551A2">
              <w:rPr>
                <w:rFonts w:ascii="Arial" w:hAnsi="Arial" w:cs="Arial"/>
                <w:b/>
                <w:color w:val="000000"/>
              </w:rPr>
              <w:t>Item</w:t>
            </w:r>
          </w:p>
        </w:tc>
        <w:tc>
          <w:tcPr>
            <w:tcW w:w="12471" w:type="dxa"/>
            <w:vAlign w:val="center"/>
          </w:tcPr>
          <w:p w14:paraId="178AA8B4" w14:textId="77777777" w:rsidR="002C1F32" w:rsidRPr="00F551A2" w:rsidRDefault="002C1F32" w:rsidP="002D7202">
            <w:pPr>
              <w:jc w:val="center"/>
              <w:rPr>
                <w:rFonts w:ascii="Arial" w:hAnsi="Arial" w:cs="Arial"/>
                <w:b/>
                <w:color w:val="000000"/>
                <w:sz w:val="21"/>
                <w:szCs w:val="21"/>
              </w:rPr>
            </w:pPr>
            <w:r w:rsidRPr="00F551A2">
              <w:rPr>
                <w:rFonts w:ascii="Arial" w:hAnsi="Arial" w:cs="Arial"/>
                <w:b/>
                <w:color w:val="000000"/>
              </w:rPr>
              <w:t>Escopo Ordenatório da Auditoria de Contas Anuais de Organizações Sociais</w:t>
            </w:r>
          </w:p>
        </w:tc>
      </w:tr>
      <w:tr w:rsidR="002C1F32" w:rsidRPr="00F551A2" w14:paraId="06DD8F89" w14:textId="77777777" w:rsidTr="002D7202">
        <w:trPr>
          <w:jc w:val="center"/>
        </w:trPr>
        <w:tc>
          <w:tcPr>
            <w:tcW w:w="1134" w:type="dxa"/>
          </w:tcPr>
          <w:p w14:paraId="106F7E8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1</w:t>
            </w:r>
          </w:p>
        </w:tc>
        <w:tc>
          <w:tcPr>
            <w:tcW w:w="12471" w:type="dxa"/>
          </w:tcPr>
          <w:p w14:paraId="205563AC"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 xml:space="preserve">Relatório da Diretoria de avaliação dos resultados quantitativos e qualitativos da gestão, especialmente nos aspectos da eficácia e eficiência no cumprimento dos objetivos sociais. </w:t>
            </w:r>
          </w:p>
        </w:tc>
      </w:tr>
      <w:tr w:rsidR="002C1F32" w:rsidRPr="00F551A2" w14:paraId="5D227335" w14:textId="77777777" w:rsidTr="002D7202">
        <w:trPr>
          <w:jc w:val="center"/>
        </w:trPr>
        <w:tc>
          <w:tcPr>
            <w:tcW w:w="1134" w:type="dxa"/>
          </w:tcPr>
          <w:p w14:paraId="7CD82A4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2</w:t>
            </w:r>
          </w:p>
        </w:tc>
        <w:tc>
          <w:tcPr>
            <w:tcW w:w="12471" w:type="dxa"/>
          </w:tcPr>
          <w:p w14:paraId="0BDA9F6B"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 xml:space="preserve">Quadro dos membros que </w:t>
            </w:r>
            <w:r>
              <w:rPr>
                <w:rFonts w:ascii="Arial" w:hAnsi="Arial" w:cs="Arial"/>
                <w:color w:val="000000"/>
              </w:rPr>
              <w:t>exerceram</w:t>
            </w:r>
            <w:r w:rsidRPr="00F551A2">
              <w:rPr>
                <w:rFonts w:ascii="Arial" w:hAnsi="Arial" w:cs="Arial"/>
                <w:color w:val="000000"/>
              </w:rPr>
              <w:t xml:space="preserve"> a Diretoria Executiva no período, respectivos atos de designação e remuneração.</w:t>
            </w:r>
          </w:p>
        </w:tc>
      </w:tr>
      <w:tr w:rsidR="002C1F32" w:rsidRPr="00F551A2" w14:paraId="27677F7E" w14:textId="77777777" w:rsidTr="002D7202">
        <w:trPr>
          <w:jc w:val="center"/>
        </w:trPr>
        <w:tc>
          <w:tcPr>
            <w:tcW w:w="1134" w:type="dxa"/>
          </w:tcPr>
          <w:p w14:paraId="0DAA9FF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3</w:t>
            </w:r>
          </w:p>
        </w:tc>
        <w:tc>
          <w:tcPr>
            <w:tcW w:w="12471" w:type="dxa"/>
          </w:tcPr>
          <w:p w14:paraId="65C73C77"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Quadro dos membros que atuaram no Conse</w:t>
            </w:r>
            <w:r>
              <w:rPr>
                <w:rFonts w:ascii="Arial" w:hAnsi="Arial" w:cs="Arial"/>
                <w:color w:val="000000"/>
              </w:rPr>
              <w:t>lho de Administração no período e</w:t>
            </w:r>
            <w:r w:rsidRPr="00F551A2">
              <w:rPr>
                <w:rFonts w:ascii="Arial" w:hAnsi="Arial" w:cs="Arial"/>
                <w:color w:val="000000"/>
              </w:rPr>
              <w:t xml:space="preserve"> respectivos atos de designação.</w:t>
            </w:r>
          </w:p>
        </w:tc>
      </w:tr>
      <w:tr w:rsidR="002C1F32" w:rsidRPr="00F551A2" w14:paraId="7DC52EE9" w14:textId="77777777" w:rsidTr="002D7202">
        <w:trPr>
          <w:jc w:val="center"/>
        </w:trPr>
        <w:tc>
          <w:tcPr>
            <w:tcW w:w="1134" w:type="dxa"/>
          </w:tcPr>
          <w:p w14:paraId="4892CB9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4</w:t>
            </w:r>
          </w:p>
        </w:tc>
        <w:tc>
          <w:tcPr>
            <w:tcW w:w="12471" w:type="dxa"/>
          </w:tcPr>
          <w:p w14:paraId="4298DF8E"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Elementos demonstrativos da motivação administrativa justificadora da opção pelo contrato de gestão, em relação aos benefícios pretendidos, as metas e resultados.</w:t>
            </w:r>
          </w:p>
        </w:tc>
      </w:tr>
      <w:tr w:rsidR="002C1F32" w:rsidRPr="00F551A2" w14:paraId="3F14B5DC" w14:textId="77777777" w:rsidTr="002D7202">
        <w:trPr>
          <w:jc w:val="center"/>
        </w:trPr>
        <w:tc>
          <w:tcPr>
            <w:tcW w:w="1134" w:type="dxa"/>
          </w:tcPr>
          <w:p w14:paraId="10A5A92B"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5</w:t>
            </w:r>
          </w:p>
        </w:tc>
        <w:tc>
          <w:tcPr>
            <w:tcW w:w="12471" w:type="dxa"/>
          </w:tcPr>
          <w:p w14:paraId="3E57884D"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Proposta de orçamento da Entidade e o Programa de Investimentos do período respectivo às contas.</w:t>
            </w:r>
          </w:p>
        </w:tc>
      </w:tr>
      <w:tr w:rsidR="002C1F32" w:rsidRPr="00F551A2" w14:paraId="46E7EB41" w14:textId="77777777" w:rsidTr="002D7202">
        <w:trPr>
          <w:jc w:val="center"/>
        </w:trPr>
        <w:tc>
          <w:tcPr>
            <w:tcW w:w="1134" w:type="dxa"/>
          </w:tcPr>
          <w:p w14:paraId="18918221"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6</w:t>
            </w:r>
          </w:p>
        </w:tc>
        <w:tc>
          <w:tcPr>
            <w:tcW w:w="12471" w:type="dxa"/>
          </w:tcPr>
          <w:p w14:paraId="2139F139"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Compatibilidade dos indicativos das diretrizes e metas estabelecidas e as realizadas.</w:t>
            </w:r>
          </w:p>
        </w:tc>
      </w:tr>
      <w:tr w:rsidR="002C1F32" w:rsidRPr="00F551A2" w14:paraId="7EC4024C" w14:textId="77777777" w:rsidTr="002D7202">
        <w:trPr>
          <w:jc w:val="center"/>
        </w:trPr>
        <w:tc>
          <w:tcPr>
            <w:tcW w:w="1134" w:type="dxa"/>
          </w:tcPr>
          <w:p w14:paraId="4A38E46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7</w:t>
            </w:r>
          </w:p>
        </w:tc>
        <w:tc>
          <w:tcPr>
            <w:tcW w:w="12471" w:type="dxa"/>
          </w:tcPr>
          <w:p w14:paraId="039ED0FC"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 xml:space="preserve">Compatibilidade entre os registros contábeis da contratante e da contratada dos repasses financeiros, vinculados ou não a atos prestacionais, inclusive transferências voluntárias. </w:t>
            </w:r>
          </w:p>
        </w:tc>
      </w:tr>
      <w:tr w:rsidR="002C1F32" w:rsidRPr="00F551A2" w14:paraId="37AB31D1" w14:textId="77777777" w:rsidTr="002D7202">
        <w:trPr>
          <w:jc w:val="center"/>
        </w:trPr>
        <w:tc>
          <w:tcPr>
            <w:tcW w:w="1134" w:type="dxa"/>
          </w:tcPr>
          <w:p w14:paraId="40992B00"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8</w:t>
            </w:r>
          </w:p>
        </w:tc>
        <w:tc>
          <w:tcPr>
            <w:tcW w:w="12471" w:type="dxa"/>
          </w:tcPr>
          <w:p w14:paraId="4F136F8C"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Procedimentos de controle interno do contrato de gestão e pactos derivados, com enfoque na avaliação quanto à economicidade, efetividade e eficácia dos atos e resultados.</w:t>
            </w:r>
          </w:p>
        </w:tc>
      </w:tr>
      <w:tr w:rsidR="002C1F32" w:rsidRPr="00F551A2" w14:paraId="7D502577" w14:textId="77777777" w:rsidTr="002D7202">
        <w:trPr>
          <w:jc w:val="center"/>
        </w:trPr>
        <w:tc>
          <w:tcPr>
            <w:tcW w:w="1134" w:type="dxa"/>
          </w:tcPr>
          <w:p w14:paraId="3DA2DE3E"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9</w:t>
            </w:r>
          </w:p>
        </w:tc>
        <w:tc>
          <w:tcPr>
            <w:tcW w:w="12471" w:type="dxa"/>
          </w:tcPr>
          <w:p w14:paraId="2C34B6A8"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Análise dos contratos de prestação de serviços não derivados de contratos de gestão, com prestações e contraprestações, visando aferir a economicidade para a Administração, a demonstração dos resultados pretendidos e a forma de seu acompanhamento pela contratante.</w:t>
            </w:r>
          </w:p>
        </w:tc>
      </w:tr>
      <w:tr w:rsidR="002C1F32" w:rsidRPr="00F551A2" w14:paraId="57C16D51" w14:textId="77777777" w:rsidTr="002D7202">
        <w:trPr>
          <w:jc w:val="center"/>
        </w:trPr>
        <w:tc>
          <w:tcPr>
            <w:tcW w:w="1134" w:type="dxa"/>
          </w:tcPr>
          <w:p w14:paraId="06BA4FA7"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10</w:t>
            </w:r>
          </w:p>
        </w:tc>
        <w:tc>
          <w:tcPr>
            <w:tcW w:w="12471" w:type="dxa"/>
          </w:tcPr>
          <w:p w14:paraId="348E723D"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Avaliação dos impactos dos contratos de gestão firmados e demais contratos, destes derivados ou não, no limite de gastos com pessoal da Administração Pública contratante, tendo em vista a relação de substituição de mão de obra do quadro.</w:t>
            </w:r>
          </w:p>
        </w:tc>
      </w:tr>
      <w:tr w:rsidR="002C1F32" w:rsidRPr="00F551A2" w14:paraId="485E81FF" w14:textId="77777777" w:rsidTr="002D7202">
        <w:trPr>
          <w:jc w:val="center"/>
        </w:trPr>
        <w:tc>
          <w:tcPr>
            <w:tcW w:w="1134" w:type="dxa"/>
          </w:tcPr>
          <w:p w14:paraId="328BB07E"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11</w:t>
            </w:r>
          </w:p>
        </w:tc>
        <w:tc>
          <w:tcPr>
            <w:tcW w:w="12471" w:type="dxa"/>
          </w:tcPr>
          <w:p w14:paraId="33FE931D"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Controles dos ativos técnicos e patrimoniais abrangidos pelo contrato de gestão, considerando as cessões de pessoal, bens e equipamentos, as aquisições e demonstração da equivalência patrimonial, à luz da legislação de qualificação da Organização e instrumentos contratuais.</w:t>
            </w:r>
          </w:p>
        </w:tc>
      </w:tr>
      <w:tr w:rsidR="002C1F32" w:rsidRPr="00F551A2" w14:paraId="0CF77B4A" w14:textId="77777777" w:rsidTr="002D7202">
        <w:trPr>
          <w:jc w:val="center"/>
        </w:trPr>
        <w:tc>
          <w:tcPr>
            <w:tcW w:w="1134" w:type="dxa"/>
          </w:tcPr>
          <w:p w14:paraId="6CADF1E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12</w:t>
            </w:r>
          </w:p>
        </w:tc>
        <w:tc>
          <w:tcPr>
            <w:tcW w:w="12471" w:type="dxa"/>
          </w:tcPr>
          <w:p w14:paraId="6825CB5C"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Avaliações da entidade pública contratante das prestações de contas encaminhadas pela Organização Social, dos relatórios de gestão, resultados obtidos, serviços prestados, sua qualidade e aceitação e balancetes contábeis de cada contrato ou ato derivado do co</w:t>
            </w:r>
            <w:r>
              <w:rPr>
                <w:rFonts w:ascii="Arial" w:hAnsi="Arial" w:cs="Arial"/>
                <w:color w:val="000000"/>
              </w:rPr>
              <w:t xml:space="preserve">ntrato de </w:t>
            </w:r>
            <w:r>
              <w:rPr>
                <w:rFonts w:ascii="Arial" w:hAnsi="Arial" w:cs="Arial"/>
                <w:color w:val="000000"/>
              </w:rPr>
              <w:lastRenderedPageBreak/>
              <w:t>gestão</w:t>
            </w:r>
            <w:r w:rsidRPr="00F551A2">
              <w:rPr>
                <w:rFonts w:ascii="Arial" w:hAnsi="Arial" w:cs="Arial"/>
                <w:color w:val="000000"/>
              </w:rPr>
              <w:t xml:space="preserve"> e posição da auditoria externa.</w:t>
            </w:r>
          </w:p>
        </w:tc>
      </w:tr>
      <w:tr w:rsidR="002C1F32" w:rsidRPr="00F551A2" w14:paraId="4A9022A2" w14:textId="77777777" w:rsidTr="002D7202">
        <w:trPr>
          <w:jc w:val="center"/>
        </w:trPr>
        <w:tc>
          <w:tcPr>
            <w:tcW w:w="1134" w:type="dxa"/>
          </w:tcPr>
          <w:p w14:paraId="0D418AD2"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lastRenderedPageBreak/>
              <w:t>13</w:t>
            </w:r>
          </w:p>
        </w:tc>
        <w:tc>
          <w:tcPr>
            <w:tcW w:w="12471" w:type="dxa"/>
          </w:tcPr>
          <w:p w14:paraId="267751F6"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Verificação das regularidades social, previdenciária e trabalhista.</w:t>
            </w:r>
          </w:p>
        </w:tc>
      </w:tr>
      <w:tr w:rsidR="002C1F32" w:rsidRPr="00F551A2" w14:paraId="75B3C460" w14:textId="77777777" w:rsidTr="002D7202">
        <w:trPr>
          <w:jc w:val="center"/>
        </w:trPr>
        <w:tc>
          <w:tcPr>
            <w:tcW w:w="1134" w:type="dxa"/>
          </w:tcPr>
          <w:p w14:paraId="168D79A5"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14</w:t>
            </w:r>
          </w:p>
        </w:tc>
        <w:tc>
          <w:tcPr>
            <w:tcW w:w="12471" w:type="dxa"/>
          </w:tcPr>
          <w:p w14:paraId="4C806BC8"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Aderência e conformidade aos regulamentos próprios da Organização Social para contratação de obras, serviços, compras e alienações.</w:t>
            </w:r>
          </w:p>
        </w:tc>
      </w:tr>
      <w:tr w:rsidR="002C1F32" w:rsidRPr="00F551A2" w14:paraId="042C9DEC" w14:textId="77777777" w:rsidTr="002D7202">
        <w:trPr>
          <w:jc w:val="center"/>
        </w:trPr>
        <w:tc>
          <w:tcPr>
            <w:tcW w:w="1134" w:type="dxa"/>
          </w:tcPr>
          <w:p w14:paraId="0C818639" w14:textId="77777777" w:rsidR="002C1F32" w:rsidRPr="00F551A2" w:rsidRDefault="002C1F32" w:rsidP="002D7202">
            <w:pPr>
              <w:spacing w:before="60" w:after="60"/>
              <w:jc w:val="center"/>
              <w:rPr>
                <w:rFonts w:ascii="Arial" w:hAnsi="Arial" w:cs="Arial"/>
                <w:color w:val="000000"/>
              </w:rPr>
            </w:pPr>
            <w:r w:rsidRPr="00F551A2">
              <w:rPr>
                <w:rFonts w:ascii="Arial" w:hAnsi="Arial" w:cs="Arial"/>
                <w:color w:val="000000"/>
              </w:rPr>
              <w:t>15</w:t>
            </w:r>
          </w:p>
        </w:tc>
        <w:tc>
          <w:tcPr>
            <w:tcW w:w="12471" w:type="dxa"/>
          </w:tcPr>
          <w:p w14:paraId="6006E92F" w14:textId="77777777" w:rsidR="002C1F32" w:rsidRPr="00F551A2" w:rsidRDefault="002C1F32" w:rsidP="002D7202">
            <w:pPr>
              <w:spacing w:before="60" w:after="60"/>
              <w:jc w:val="both"/>
              <w:rPr>
                <w:rFonts w:ascii="Arial" w:hAnsi="Arial" w:cs="Arial"/>
                <w:color w:val="000000"/>
              </w:rPr>
            </w:pPr>
            <w:r w:rsidRPr="00F551A2">
              <w:rPr>
                <w:rFonts w:ascii="Arial" w:hAnsi="Arial" w:cs="Arial"/>
                <w:color w:val="000000"/>
              </w:rPr>
              <w:t>Aderência e conformidade aos regulamentos próprios da Organização Social para contratação de pessoal, política de remuneração e benefícios.</w:t>
            </w:r>
          </w:p>
        </w:tc>
      </w:tr>
    </w:tbl>
    <w:p w14:paraId="3EB32526" w14:textId="77777777" w:rsidR="002C1F32" w:rsidRPr="00F551A2" w:rsidRDefault="002C1F32" w:rsidP="002C1F32">
      <w:pPr>
        <w:rPr>
          <w:rFonts w:ascii="Arial" w:hAnsi="Arial" w:cs="Arial"/>
        </w:rPr>
      </w:pPr>
    </w:p>
    <w:p w14:paraId="79A50867" w14:textId="77777777" w:rsidR="002C1F32" w:rsidRPr="00753580" w:rsidRDefault="002C1F32" w:rsidP="002C1F32"/>
    <w:p w14:paraId="4B40634F" w14:textId="77777777" w:rsidR="00496C83" w:rsidRPr="002C1F32" w:rsidRDefault="00496C83" w:rsidP="002C1F32"/>
    <w:sectPr w:rsidR="00496C83" w:rsidRPr="002C1F32" w:rsidSect="003A7CDA">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1845" w:right="851" w:bottom="85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15CA" w14:textId="77777777" w:rsidR="0097449E" w:rsidRDefault="0097449E" w:rsidP="00DC33C6">
      <w:r>
        <w:separator/>
      </w:r>
    </w:p>
  </w:endnote>
  <w:endnote w:type="continuationSeparator" w:id="0">
    <w:p w14:paraId="3DC809C2" w14:textId="77777777" w:rsidR="0097449E" w:rsidRDefault="0097449E" w:rsidP="00DC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1780" w14:textId="77777777" w:rsidR="002C1F32" w:rsidRDefault="002C1F32" w:rsidP="001C4D7B">
    <w:pPr>
      <w:pStyle w:val="Rodap"/>
      <w:tabs>
        <w:tab w:val="clear" w:pos="4252"/>
        <w:tab w:val="clear" w:pos="8504"/>
        <w:tab w:val="left" w:pos="53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AC9D" w14:textId="77777777" w:rsidR="001C4D7B" w:rsidRDefault="001C4D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DA19" w14:textId="77777777" w:rsidR="001C4D7B" w:rsidRDefault="001C4D7B">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CF56" w14:textId="77777777" w:rsidR="001C4D7B" w:rsidRDefault="001C4D7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E769D" w14:textId="77777777" w:rsidR="0097449E" w:rsidRDefault="0097449E" w:rsidP="00DC33C6">
      <w:r>
        <w:separator/>
      </w:r>
    </w:p>
  </w:footnote>
  <w:footnote w:type="continuationSeparator" w:id="0">
    <w:p w14:paraId="26E4A7B3" w14:textId="77777777" w:rsidR="0097449E" w:rsidRDefault="0097449E" w:rsidP="00DC33C6">
      <w:r>
        <w:continuationSeparator/>
      </w:r>
    </w:p>
  </w:footnote>
  <w:footnote w:id="1">
    <w:p w14:paraId="1E384CA5" w14:textId="77777777" w:rsidR="00CF0E45" w:rsidRPr="00FF6009" w:rsidRDefault="00CF0E45" w:rsidP="00CF0E45">
      <w:pPr>
        <w:pStyle w:val="Textodenotaderodap"/>
        <w:rPr>
          <w:rFonts w:ascii="Arial" w:hAnsi="Arial" w:cs="Arial"/>
        </w:rPr>
      </w:pPr>
      <w:r>
        <w:rPr>
          <w:rStyle w:val="Refdenotaderodap"/>
        </w:rPr>
        <w:footnoteRef/>
      </w:r>
      <w:r>
        <w:t xml:space="preserve"> </w:t>
      </w:r>
      <w:bookmarkStart w:id="0" w:name="_Hlk9321415"/>
      <w:r w:rsidRPr="00FF6009">
        <w:rPr>
          <w:rFonts w:ascii="Arial" w:hAnsi="Arial" w:cs="Arial"/>
          <w:b/>
        </w:rPr>
        <w:t>Notas da Biblioteca:</w:t>
      </w:r>
    </w:p>
    <w:bookmarkEnd w:id="0"/>
    <w:p w14:paraId="70E121B1" w14:textId="75FB471F" w:rsidR="00CF0E45" w:rsidRPr="004C738A" w:rsidRDefault="00CF0E45" w:rsidP="00CF0E45">
      <w:pPr>
        <w:numPr>
          <w:ilvl w:val="0"/>
          <w:numId w:val="2"/>
        </w:numPr>
        <w:autoSpaceDE/>
        <w:autoSpaceDN/>
        <w:ind w:left="426" w:hanging="284"/>
        <w:jc w:val="both"/>
        <w:rPr>
          <w:rFonts w:ascii="Arial" w:hAnsi="Arial" w:cs="Arial"/>
          <w:color w:val="0000FF"/>
          <w:u w:val="single"/>
        </w:rPr>
      </w:pPr>
      <w:r w:rsidRPr="004C738A">
        <w:rPr>
          <w:rFonts w:ascii="Arial" w:hAnsi="Arial" w:cs="Arial"/>
          <w:bCs/>
        </w:rPr>
        <w:t xml:space="preserve">Este texto não substitui o publicado no periódico: </w:t>
      </w:r>
      <w:hyperlink r:id="rId1" w:history="1">
        <w:r w:rsidR="007E0762" w:rsidRPr="004C738A">
          <w:rPr>
            <w:rStyle w:val="Hyperlink"/>
            <w:rFonts w:cs="Arial"/>
            <w:b/>
            <w:bCs/>
            <w:sz w:val="20"/>
          </w:rPr>
          <w:t>Diário Eletrônico do Tribunal de Contas do Estado do Paraná</w:t>
        </w:r>
        <w:r w:rsidR="007E0762" w:rsidRPr="004C738A">
          <w:rPr>
            <w:rStyle w:val="Hyperlink"/>
            <w:rFonts w:cs="Arial"/>
            <w:bCs/>
            <w:sz w:val="20"/>
          </w:rPr>
          <w:t>,</w:t>
        </w:r>
        <w:r w:rsidR="007E0762" w:rsidRPr="004C738A">
          <w:rPr>
            <w:rStyle w:val="Hyperlink"/>
            <w:rFonts w:cs="Arial"/>
            <w:sz w:val="20"/>
          </w:rPr>
          <w:t xml:space="preserve"> Curitiba, PR, n. 827, 20 fev. 2014, p. 42-46</w:t>
        </w:r>
      </w:hyperlink>
      <w:r w:rsidR="007E0762" w:rsidRPr="004C738A">
        <w:rPr>
          <w:rFonts w:ascii="Arial" w:hAnsi="Arial" w:cs="Arial"/>
        </w:rPr>
        <w:t>.</w:t>
      </w:r>
    </w:p>
    <w:p w14:paraId="283FE13F" w14:textId="733D885B" w:rsidR="00CF0E45" w:rsidRPr="00DE35FD" w:rsidRDefault="00CF0E45" w:rsidP="00DE35FD">
      <w:pPr>
        <w:numPr>
          <w:ilvl w:val="0"/>
          <w:numId w:val="2"/>
        </w:numPr>
        <w:autoSpaceDE/>
        <w:autoSpaceDN/>
        <w:ind w:left="426" w:hanging="284"/>
        <w:jc w:val="both"/>
        <w:rPr>
          <w:rFonts w:ascii="Arial" w:hAnsi="Arial" w:cs="Arial"/>
          <w:color w:val="0000FF"/>
          <w:u w:val="single"/>
        </w:rPr>
      </w:pPr>
      <w:r w:rsidRPr="004C738A">
        <w:rPr>
          <w:rFonts w:ascii="Arial" w:hAnsi="Arial" w:cs="Arial"/>
        </w:rPr>
        <w:t xml:space="preserve">Origem: </w:t>
      </w:r>
      <w:r w:rsidR="007114F8" w:rsidRPr="00DE35FD">
        <w:rPr>
          <w:rFonts w:ascii="Arial" w:hAnsi="Arial" w:cs="Arial"/>
        </w:rPr>
        <w:t xml:space="preserve">Processo n. 73865-8/13 – </w:t>
      </w:r>
      <w:hyperlink r:id="rId2" w:history="1">
        <w:r w:rsidR="007114F8" w:rsidRPr="00DE35FD">
          <w:rPr>
            <w:rStyle w:val="Hyperlink"/>
            <w:rFonts w:cs="Arial"/>
            <w:sz w:val="20"/>
          </w:rPr>
          <w:t>Acórdão n. 254/2014 – Tribunal Pleno.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D86E" w14:textId="77777777" w:rsidR="002C1F32" w:rsidRDefault="0097449E" w:rsidP="00DC33C6">
    <w:pPr>
      <w:pStyle w:val="Cabealho"/>
      <w:spacing w:before="480" w:after="120"/>
      <w:ind w:left="1134"/>
      <w:rPr>
        <w:rFonts w:ascii="Arial" w:hAnsi="Arial" w:cs="Arial"/>
        <w:b/>
        <w:sz w:val="28"/>
        <w:szCs w:val="28"/>
      </w:rPr>
    </w:pPr>
    <w:r>
      <w:rPr>
        <w:noProof/>
      </w:rPr>
      <w:pict w14:anchorId="3DDB8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Descrição: logo TC colorido - medio" style="position:absolute;left:0;text-align:left;margin-left:18.05pt;margin-top:1.4pt;width:47.7pt;height:56.1pt;z-index:2;visibility:visible">
          <v:imagedata r:id="rId1" o:title=" logo TC colorido - medio"/>
          <w10:wrap type="square"/>
        </v:shape>
      </w:pict>
    </w:r>
    <w:r w:rsidR="002C1F32">
      <w:rPr>
        <w:rFonts w:ascii="Arial" w:hAnsi="Arial" w:cs="Arial"/>
        <w:b/>
        <w:sz w:val="30"/>
        <w:szCs w:val="30"/>
      </w:rPr>
      <w:t xml:space="preserve">      </w:t>
    </w:r>
    <w:r w:rsidR="002C1F32" w:rsidRPr="000F1DD8">
      <w:rPr>
        <w:rFonts w:ascii="Arial" w:hAnsi="Arial" w:cs="Arial"/>
        <w:b/>
        <w:sz w:val="28"/>
        <w:szCs w:val="28"/>
      </w:rPr>
      <w:t>TRIBUNAL DE CONTAS DO ESTADO DO PARANÁ</w:t>
    </w:r>
  </w:p>
  <w:p w14:paraId="3DA15DA0" w14:textId="77777777" w:rsidR="000F1DD8" w:rsidRPr="000F1DD8" w:rsidRDefault="000F1DD8" w:rsidP="000F1DD8">
    <w:pPr>
      <w:pStyle w:val="Cabealho"/>
      <w:ind w:left="1134"/>
      <w:rPr>
        <w:sz w:val="28"/>
        <w:szCs w:val="28"/>
      </w:rPr>
    </w:pPr>
  </w:p>
  <w:p w14:paraId="06A5AFD5" w14:textId="77777777" w:rsidR="002C1F32" w:rsidRDefault="002C1F32" w:rsidP="001C4D7B">
    <w:pPr>
      <w:pStyle w:val="Cabealho"/>
      <w:tabs>
        <w:tab w:val="clear" w:pos="4252"/>
        <w:tab w:val="clear" w:pos="8504"/>
        <w:tab w:val="left" w:pos="154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7D37" w14:textId="77777777" w:rsidR="001C4D7B" w:rsidRDefault="001C4D7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20FC" w14:textId="77777777" w:rsidR="004D0828" w:rsidRDefault="0097449E" w:rsidP="001C2188">
    <w:pPr>
      <w:pStyle w:val="Cabealho"/>
      <w:spacing w:before="480" w:after="120"/>
      <w:jc w:val="center"/>
    </w:pPr>
    <w:r>
      <w:rPr>
        <w:noProof/>
      </w:rPr>
      <w:pict w14:anchorId="2A6CA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alt="Descrição: logo TC colorido - medio" style="position:absolute;left:0;text-align:left;margin-left:18.05pt;margin-top:1.4pt;width:47.7pt;height:56.1pt;z-index:1;visibility:visible">
          <v:imagedata r:id="rId1" o:title=" logo TC colorido - medio"/>
          <w10:wrap type="square"/>
        </v:shape>
      </w:pict>
    </w:r>
    <w:r w:rsidR="004D0828">
      <w:rPr>
        <w:rFonts w:ascii="Arial" w:hAnsi="Arial" w:cs="Arial"/>
        <w:b/>
        <w:sz w:val="30"/>
        <w:szCs w:val="30"/>
      </w:rPr>
      <w:t>TRIBUNAL DE CONTAS DO ESTADO DO PARANÁ</w:t>
    </w:r>
  </w:p>
  <w:p w14:paraId="50141B38" w14:textId="77777777" w:rsidR="001C4D7B" w:rsidRDefault="001C4D7B">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68FF" w14:textId="77777777" w:rsidR="001C4D7B" w:rsidRDefault="001C4D7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1B1"/>
    <w:multiLevelType w:val="hybridMultilevel"/>
    <w:tmpl w:val="4A9EE162"/>
    <w:lvl w:ilvl="0" w:tplc="F44CD34E">
      <w:start w:val="1"/>
      <w:numFmt w:val="lowerLetter"/>
      <w:lvlText w:val="%1)"/>
      <w:lvlJc w:val="left"/>
      <w:pPr>
        <w:ind w:left="720" w:hanging="360"/>
      </w:pPr>
      <w:rPr>
        <w:rFonts w:ascii="Arial" w:hAnsi="Arial" w:cs="Arial" w:hint="default"/>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11E6B7D"/>
    <w:multiLevelType w:val="hybridMultilevel"/>
    <w:tmpl w:val="B69289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09835266">
    <w:abstractNumId w:val="1"/>
  </w:num>
  <w:num w:numId="2" w16cid:durableId="160931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C83"/>
    <w:rsid w:val="000510F1"/>
    <w:rsid w:val="000F1DD8"/>
    <w:rsid w:val="001809E1"/>
    <w:rsid w:val="001A0551"/>
    <w:rsid w:val="001C2188"/>
    <w:rsid w:val="001C4D7B"/>
    <w:rsid w:val="0026010F"/>
    <w:rsid w:val="002A740A"/>
    <w:rsid w:val="002B0601"/>
    <w:rsid w:val="002C1F32"/>
    <w:rsid w:val="002D7202"/>
    <w:rsid w:val="002F098C"/>
    <w:rsid w:val="003A7CDA"/>
    <w:rsid w:val="00496C83"/>
    <w:rsid w:val="004A4BEF"/>
    <w:rsid w:val="004A66EC"/>
    <w:rsid w:val="004C738A"/>
    <w:rsid w:val="004D0828"/>
    <w:rsid w:val="004F505B"/>
    <w:rsid w:val="005D1949"/>
    <w:rsid w:val="006A08BD"/>
    <w:rsid w:val="006A5FD2"/>
    <w:rsid w:val="006D0BF2"/>
    <w:rsid w:val="007078B7"/>
    <w:rsid w:val="007114F8"/>
    <w:rsid w:val="00773387"/>
    <w:rsid w:val="00781389"/>
    <w:rsid w:val="007E0762"/>
    <w:rsid w:val="0089389D"/>
    <w:rsid w:val="008C203D"/>
    <w:rsid w:val="008F2E6E"/>
    <w:rsid w:val="00954BE9"/>
    <w:rsid w:val="0097449E"/>
    <w:rsid w:val="009A58D7"/>
    <w:rsid w:val="009D5BD5"/>
    <w:rsid w:val="00A07EBE"/>
    <w:rsid w:val="00A217A0"/>
    <w:rsid w:val="00A662B0"/>
    <w:rsid w:val="00AA43A0"/>
    <w:rsid w:val="00B23BDC"/>
    <w:rsid w:val="00B32D67"/>
    <w:rsid w:val="00B47395"/>
    <w:rsid w:val="00B80341"/>
    <w:rsid w:val="00C06DF5"/>
    <w:rsid w:val="00C1081B"/>
    <w:rsid w:val="00C400C6"/>
    <w:rsid w:val="00C4697E"/>
    <w:rsid w:val="00C61603"/>
    <w:rsid w:val="00CF0E45"/>
    <w:rsid w:val="00D22B02"/>
    <w:rsid w:val="00DC33C6"/>
    <w:rsid w:val="00DE35FD"/>
    <w:rsid w:val="00E65515"/>
    <w:rsid w:val="00F05C17"/>
    <w:rsid w:val="00F31A29"/>
    <w:rsid w:val="00F50BBA"/>
    <w:rsid w:val="00F551A2"/>
    <w:rsid w:val="00FF2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7E1E4"/>
  <w15:chartTrackingRefBased/>
  <w15:docId w15:val="{577DF09C-68E8-4DED-B673-91AB2078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83"/>
    <w:pPr>
      <w:autoSpaceDE w:val="0"/>
      <w:autoSpaceDN w:val="0"/>
    </w:pPr>
    <w:rPr>
      <w:rFonts w:ascii="Times New Roman" w:eastAsia="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96C83"/>
    <w:pPr>
      <w:tabs>
        <w:tab w:val="center" w:pos="4252"/>
        <w:tab w:val="right" w:pos="8504"/>
      </w:tabs>
    </w:pPr>
  </w:style>
  <w:style w:type="character" w:customStyle="1" w:styleId="CabealhoChar">
    <w:name w:val="Cabeçalho Char"/>
    <w:link w:val="Cabealho"/>
    <w:uiPriority w:val="99"/>
    <w:rsid w:val="00496C83"/>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496C83"/>
    <w:pPr>
      <w:tabs>
        <w:tab w:val="center" w:pos="4252"/>
        <w:tab w:val="right" w:pos="8504"/>
      </w:tabs>
    </w:pPr>
  </w:style>
  <w:style w:type="character" w:customStyle="1" w:styleId="RodapChar">
    <w:name w:val="Rodapé Char"/>
    <w:link w:val="Rodap"/>
    <w:uiPriority w:val="99"/>
    <w:rsid w:val="00496C83"/>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96C83"/>
    <w:rPr>
      <w:rFonts w:ascii="Tahoma" w:hAnsi="Tahoma" w:cs="Tahoma"/>
      <w:sz w:val="16"/>
      <w:szCs w:val="16"/>
    </w:rPr>
  </w:style>
  <w:style w:type="character" w:customStyle="1" w:styleId="TextodebaloChar">
    <w:name w:val="Texto de balão Char"/>
    <w:link w:val="Textodebalo"/>
    <w:uiPriority w:val="99"/>
    <w:semiHidden/>
    <w:rsid w:val="00496C83"/>
    <w:rPr>
      <w:rFonts w:ascii="Tahoma" w:eastAsia="Times New Roman" w:hAnsi="Tahoma" w:cs="Tahoma"/>
      <w:sz w:val="16"/>
      <w:szCs w:val="16"/>
      <w:lang w:eastAsia="pt-BR"/>
    </w:rPr>
  </w:style>
  <w:style w:type="paragraph" w:styleId="Textodenotaderodap">
    <w:name w:val="footnote text"/>
    <w:basedOn w:val="Normal"/>
    <w:link w:val="TextodenotaderodapChar"/>
    <w:unhideWhenUsed/>
    <w:rsid w:val="00CF0E45"/>
  </w:style>
  <w:style w:type="character" w:customStyle="1" w:styleId="TextodenotaderodapChar">
    <w:name w:val="Texto de nota de rodapé Char"/>
    <w:link w:val="Textodenotaderodap"/>
    <w:rsid w:val="00CF0E45"/>
    <w:rPr>
      <w:rFonts w:ascii="Times New Roman" w:eastAsia="Times New Roman" w:hAnsi="Times New Roman"/>
    </w:rPr>
  </w:style>
  <w:style w:type="character" w:styleId="Refdenotaderodap">
    <w:name w:val="footnote reference"/>
    <w:uiPriority w:val="99"/>
    <w:semiHidden/>
    <w:unhideWhenUsed/>
    <w:rsid w:val="00CF0E45"/>
    <w:rPr>
      <w:vertAlign w:val="superscript"/>
    </w:rPr>
  </w:style>
  <w:style w:type="character" w:styleId="Hyperlink">
    <w:name w:val="Hyperlink"/>
    <w:rsid w:val="00CF0E45"/>
    <w:rPr>
      <w:rFonts w:ascii="Arial" w:hAnsi="Arial"/>
      <w:color w:val="0000FF"/>
      <w:sz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1.previdencia.gov.br/sps/app/demfin/df_detalhe.asp?frequencia=2&amp;tipo=1&amp;uf=987885" TargetMode="Externa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1.tce.pr.gov.br/multimidia/2014/2/pdf/00257407.pdf" TargetMode="External"/><Relationship Id="rId1" Type="http://schemas.openxmlformats.org/officeDocument/2006/relationships/hyperlink" Target="http://www1.tce.pr.gov.br/multimidia/2014/2/pdf/002557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3581</Words>
  <Characters>19343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22879</CharactersWithSpaces>
  <SharedDoc>false</SharedDoc>
  <HLinks>
    <vt:vector size="6" baseType="variant">
      <vt:variant>
        <vt:i4>7274569</vt:i4>
      </vt:variant>
      <vt:variant>
        <vt:i4>0</vt:i4>
      </vt:variant>
      <vt:variant>
        <vt:i4>0</vt:i4>
      </vt:variant>
      <vt:variant>
        <vt:i4>5</vt:i4>
      </vt:variant>
      <vt:variant>
        <vt:lpwstr>http://www1.previdencia.gov.br/sps/app/demfin/df_detalhe.asp?frequencia=2&amp;tipo=1&amp;uf=987885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Heloisa Caldas Ferreira</dc:creator>
  <cp:keywords/>
  <cp:lastModifiedBy>Yarusya</cp:lastModifiedBy>
  <cp:revision>17</cp:revision>
  <cp:lastPrinted>2014-02-14T18:09:00Z</cp:lastPrinted>
  <dcterms:created xsi:type="dcterms:W3CDTF">2022-06-22T20:59:00Z</dcterms:created>
  <dcterms:modified xsi:type="dcterms:W3CDTF">2022-06-29T22:20:00Z</dcterms:modified>
</cp:coreProperties>
</file>