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25E" w14:textId="4A5F66B3" w:rsidR="00D87005" w:rsidRDefault="00DC321D" w:rsidP="00510A9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29B8">
        <w:rPr>
          <w:rFonts w:ascii="Arial" w:hAnsi="Arial" w:cs="Arial"/>
          <w:b/>
          <w:bCs/>
          <w:sz w:val="28"/>
          <w:szCs w:val="28"/>
        </w:rPr>
        <w:t>INSTRUÇÃO NORMATIVA Nº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 xml:space="preserve"> 11</w:t>
      </w:r>
      <w:r w:rsidR="00E1566A" w:rsidRPr="005929B8">
        <w:rPr>
          <w:rFonts w:ascii="Arial" w:hAnsi="Arial" w:cs="Arial"/>
          <w:b/>
          <w:bCs/>
          <w:sz w:val="28"/>
          <w:szCs w:val="28"/>
        </w:rPr>
        <w:t>7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>/2016</w:t>
      </w:r>
      <w:r w:rsidR="004639B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36187821" w14:textId="302C1950" w:rsidR="00F206CC" w:rsidRPr="00F206CC" w:rsidRDefault="00F206CC" w:rsidP="00F206C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FF"/>
          <w:sz w:val="26"/>
          <w:szCs w:val="26"/>
        </w:rPr>
      </w:pPr>
      <w:r w:rsidRPr="00F206CC">
        <w:rPr>
          <w:rFonts w:ascii="Arial" w:hAnsi="Arial" w:cs="Arial"/>
          <w:b/>
          <w:bCs/>
          <w:color w:val="0000FF"/>
          <w:sz w:val="26"/>
          <w:szCs w:val="26"/>
        </w:rPr>
        <w:t>CONSOLIDADA</w:t>
      </w:r>
    </w:p>
    <w:p w14:paraId="7101CD77" w14:textId="77777777" w:rsidR="007D26C8" w:rsidRPr="009A591B" w:rsidRDefault="007D26C8" w:rsidP="00FC4910">
      <w:pPr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9A591B">
        <w:rPr>
          <w:rFonts w:ascii="Arial" w:hAnsi="Arial" w:cs="Arial"/>
          <w:i/>
          <w:iCs/>
        </w:rPr>
        <w:t>Estabelece procedimento especial para a instrução de processos de atos sujeitos a registro no âmbito do Tribunal de Contas do Estado do Paraná.</w:t>
      </w:r>
    </w:p>
    <w:p w14:paraId="6D344F08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591B">
        <w:rPr>
          <w:rFonts w:ascii="Arial" w:hAnsi="Arial" w:cs="Arial"/>
          <w:sz w:val="24"/>
          <w:szCs w:val="24"/>
        </w:rPr>
        <w:t xml:space="preserve">O </w:t>
      </w:r>
      <w:r w:rsidRPr="005929B8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5929B8">
        <w:rPr>
          <w:rFonts w:ascii="Arial" w:hAnsi="Arial" w:cs="Arial"/>
          <w:sz w:val="24"/>
          <w:szCs w:val="24"/>
        </w:rPr>
        <w:t>, no uso das atribuições contidas no art. 2º, I, da Lei Complementar nº 113, de 15 de dezembro de 2005, e no art. 5º, XIII, do Regimento Interno, e com base nos arts. 187, II, 193 a 196, também do Regimento Interno, e</w:t>
      </w:r>
    </w:p>
    <w:p w14:paraId="0AC8C90A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que a</w:t>
      </w:r>
      <w:r w:rsidRPr="005929B8">
        <w:rPr>
          <w:rFonts w:ascii="Arial" w:hAnsi="Arial" w:cs="Arial"/>
          <w:b/>
          <w:sz w:val="24"/>
          <w:szCs w:val="24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Diretoria de Controle de </w:t>
      </w:r>
      <w:r w:rsidR="00600500">
        <w:rPr>
          <w:rFonts w:ascii="Arial" w:hAnsi="Arial" w:cs="Arial"/>
          <w:sz w:val="24"/>
          <w:szCs w:val="24"/>
        </w:rPr>
        <w:t xml:space="preserve">Atos de </w:t>
      </w:r>
      <w:r w:rsidRPr="005929B8">
        <w:rPr>
          <w:rFonts w:ascii="Arial" w:hAnsi="Arial" w:cs="Arial"/>
          <w:sz w:val="24"/>
          <w:szCs w:val="24"/>
        </w:rPr>
        <w:t>Pessoal é a unidade do Tribunal de Contas do Estado do Paraná com maior volume de processos para análise;</w:t>
      </w:r>
    </w:p>
    <w:p w14:paraId="53D5441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as diretrizes para o aprimoramento dos Tribunais de Contas do Brasil propostas na Resolução nº 1/2014 da ATRICON;</w:t>
      </w:r>
    </w:p>
    <w:p w14:paraId="37A2472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imprimir maior agilidade à apreciação e julgamento de processos, cumprindo prazos razoáveis;</w:t>
      </w:r>
    </w:p>
    <w:p w14:paraId="6790755D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estabelecer padrões e critérios uniformes para as análises, com vistas à sua padronização;</w:t>
      </w:r>
    </w:p>
    <w:p w14:paraId="2BF3549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consolidação do processo eletrônico através do Sistema Integrado de Atos de Pessoal (SIAP);</w:t>
      </w:r>
    </w:p>
    <w:p w14:paraId="3100FC9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os princípios constitucionais da segurança jurídica, da boa-fé objetiva e da proteção da confiança;</w:t>
      </w:r>
    </w:p>
    <w:p w14:paraId="0DE747F6" w14:textId="77777777" w:rsidR="00FD72CA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mudança de paradigma na fiscalização dos atos sujeitos a registro no âmbito deste Tribunal de Contas.</w:t>
      </w:r>
    </w:p>
    <w:p w14:paraId="7CC05BB1" w14:textId="77777777" w:rsidR="007D26C8" w:rsidRPr="005929B8" w:rsidRDefault="007D26C8" w:rsidP="00FD72CA">
      <w:pPr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RESOLVE:</w:t>
      </w:r>
    </w:p>
    <w:p w14:paraId="7A8A7F65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</w:t>
      </w:r>
    </w:p>
    <w:p w14:paraId="2E464DB0" w14:textId="77777777" w:rsidR="007D26C8" w:rsidRPr="005929B8" w:rsidRDefault="007D26C8" w:rsidP="009F1864">
      <w:pPr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PRELIMINARES</w:t>
      </w:r>
    </w:p>
    <w:p w14:paraId="5A1F267D" w14:textId="19CC36D6" w:rsidR="007D26C8" w:rsidRPr="005929B8" w:rsidRDefault="007D26C8" w:rsidP="00E70392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Art. 1º</w:t>
      </w:r>
      <w:r w:rsidRPr="005929B8">
        <w:rPr>
          <w:rFonts w:ascii="Arial" w:hAnsi="Arial" w:cs="Arial"/>
          <w:bCs/>
          <w:sz w:val="24"/>
          <w:szCs w:val="24"/>
        </w:rPr>
        <w:t xml:space="preserve"> </w:t>
      </w:r>
      <w:r w:rsidRPr="00AE7F8D">
        <w:rPr>
          <w:rFonts w:ascii="Arial" w:hAnsi="Arial" w:cs="Arial"/>
          <w:bCs/>
          <w:strike/>
          <w:sz w:val="24"/>
          <w:szCs w:val="24"/>
        </w:rPr>
        <w:t xml:space="preserve">A presente normativa estabelece procedimento especial para a instrução dos processos de aposentadoria, reserva, reforma, pensão e admissão de pessoal </w:t>
      </w:r>
      <w:r w:rsidRPr="00AE7F8D">
        <w:rPr>
          <w:rFonts w:ascii="Arial" w:hAnsi="Arial" w:cs="Arial"/>
          <w:strike/>
          <w:sz w:val="24"/>
          <w:szCs w:val="24"/>
        </w:rPr>
        <w:t>que ingressaram neste Tribunal anteriormente à implementação do Sistema Integrado de Atos de Pessoal – SIAP.</w:t>
      </w:r>
      <w:r w:rsidR="00C64A5A">
        <w:rPr>
          <w:rFonts w:ascii="Arial" w:hAnsi="Arial" w:cs="Arial"/>
          <w:sz w:val="24"/>
          <w:szCs w:val="24"/>
        </w:rPr>
        <w:t xml:space="preserve"> </w:t>
      </w:r>
      <w:r w:rsidR="00C64A5A" w:rsidRPr="00AE7F8D">
        <w:rPr>
          <w:rFonts w:ascii="Arial" w:hAnsi="Arial" w:cs="Arial"/>
          <w:color w:val="0000FF"/>
          <w:sz w:val="24"/>
          <w:szCs w:val="24"/>
        </w:rPr>
        <w:t xml:space="preserve">(Revogado pela </w:t>
      </w:r>
      <w:hyperlink r:id="rId8" w:history="1">
        <w:r w:rsidR="00C64A5A" w:rsidRPr="00AE7F8D">
          <w:rPr>
            <w:rStyle w:val="Hyperlink"/>
            <w:sz w:val="24"/>
            <w:szCs w:val="24"/>
          </w:rPr>
          <w:t>Resolução n. 62</w:t>
        </w:r>
        <w:r w:rsidR="00AE7F8D">
          <w:rPr>
            <w:rStyle w:val="Hyperlink"/>
            <w:sz w:val="24"/>
            <w:szCs w:val="24"/>
          </w:rPr>
          <w:t>/</w:t>
        </w:r>
        <w:r w:rsidR="00C64A5A" w:rsidRPr="00AE7F8D">
          <w:rPr>
            <w:rStyle w:val="Hyperlink"/>
            <w:sz w:val="24"/>
            <w:szCs w:val="24"/>
          </w:rPr>
          <w:t>2017</w:t>
        </w:r>
      </w:hyperlink>
      <w:r w:rsidR="00AE7F8D" w:rsidRPr="00AE7F8D">
        <w:rPr>
          <w:rStyle w:val="Hyperlink"/>
          <w:sz w:val="24"/>
          <w:szCs w:val="24"/>
        </w:rPr>
        <w:t>)</w:t>
      </w:r>
    </w:p>
    <w:p w14:paraId="7814632C" w14:textId="77777777" w:rsidR="007D26C8" w:rsidRPr="005929B8" w:rsidRDefault="007D26C8" w:rsidP="00E70392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Parágrafo único. O procedimento especial previsto no </w:t>
      </w:r>
      <w:r w:rsidRPr="005929B8">
        <w:rPr>
          <w:rFonts w:ascii="Arial" w:hAnsi="Arial" w:cs="Arial"/>
          <w:i/>
          <w:sz w:val="24"/>
          <w:szCs w:val="24"/>
        </w:rPr>
        <w:t>caput</w:t>
      </w:r>
      <w:r w:rsidRPr="005929B8">
        <w:rPr>
          <w:rFonts w:ascii="Arial" w:hAnsi="Arial" w:cs="Arial"/>
          <w:sz w:val="24"/>
          <w:szCs w:val="24"/>
        </w:rPr>
        <w:t xml:space="preserve"> aplicar-se-á aos processos de </w:t>
      </w:r>
      <w:r w:rsidRPr="005929B8">
        <w:rPr>
          <w:rFonts w:ascii="Arial" w:hAnsi="Arial" w:cs="Arial"/>
          <w:bCs/>
          <w:sz w:val="24"/>
          <w:szCs w:val="24"/>
        </w:rPr>
        <w:t>aposentadoria, reserva, reforma e pensão</w:t>
      </w:r>
      <w:r w:rsidRPr="005929B8">
        <w:rPr>
          <w:rFonts w:ascii="Arial" w:hAnsi="Arial" w:cs="Arial"/>
          <w:sz w:val="24"/>
          <w:szCs w:val="24"/>
        </w:rPr>
        <w:t xml:space="preserve"> que não possuem prévia instrução da unidade técnica e a todos os processos de admissão de pessoal que se enquadrarem nos dispositivos da presente normativa.</w:t>
      </w:r>
    </w:p>
    <w:p w14:paraId="412D800D" w14:textId="77777777" w:rsidR="007D26C8" w:rsidRDefault="007D26C8" w:rsidP="00E70392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2º</w:t>
      </w:r>
      <w:r w:rsidRPr="005929B8">
        <w:rPr>
          <w:rFonts w:ascii="Arial" w:hAnsi="Arial" w:cs="Arial"/>
          <w:bCs/>
          <w:sz w:val="24"/>
          <w:szCs w:val="24"/>
        </w:rPr>
        <w:t xml:space="preserve"> Nos processos citados no art. 1º, a análise da unidade técnica, a atuação do Relator e a intervenção do Ministério Público observarão o disposto nos capítulos seguintes.</w:t>
      </w:r>
    </w:p>
    <w:p w14:paraId="561F9121" w14:textId="77777777" w:rsidR="00E70392" w:rsidRPr="005929B8" w:rsidRDefault="00E70392" w:rsidP="00E70392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9965050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</w:t>
      </w:r>
    </w:p>
    <w:p w14:paraId="6693BB8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 ESCOPO REDUZIDO</w:t>
      </w:r>
    </w:p>
    <w:p w14:paraId="4C8DA87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Seção I</w:t>
      </w:r>
    </w:p>
    <w:p w14:paraId="7184E48C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concessão de aposentadoria e pensão</w:t>
      </w:r>
    </w:p>
    <w:p w14:paraId="1240D0B7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3º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concessão de aposentadorias, reservas e reformas limitar-se-á à verificação:</w:t>
      </w:r>
    </w:p>
    <w:p w14:paraId="5B93A7B6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dos requisitos constitucionais para a inativação: atendimento dos tempos de contribuição, serviço público, carreira, cargo, data de ingresso; idade mínima; atendimento dos tempos especiais (professor, policial civil etc.); enquadramento nas regras de direito adquirido, de acordo com a regra constitucional de opção do servidor aposentado;</w:t>
      </w:r>
    </w:p>
    <w:p w14:paraId="4A95E9E7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no laudo médico, da indicação da doença, que possibilite a confirmação da forma de cálculo (proventos proporcionais ou integrais), nos casos de aposentadoria por invalidez;</w:t>
      </w:r>
    </w:p>
    <w:p w14:paraId="743B1543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proventos, com base no Acórdão nº 3155/14-Pleno, quando aplicável; conferência do valor nominal apontado no cálculo da média, bem como conferência da proporção aplicada, nos casos em que houver;</w:t>
      </w:r>
    </w:p>
    <w:p w14:paraId="19AB9D15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IV - do ato de concessão do benefício: nome do servidor; regra constitucional, assinatura e publicação.</w:t>
      </w:r>
    </w:p>
    <w:p w14:paraId="67B5FE47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4º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da unidade técnica dos atos de concessão de pensão limitar-se-á à verificação </w:t>
      </w:r>
    </w:p>
    <w:p w14:paraId="4BE8C6DA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da certidão de óbito;</w:t>
      </w:r>
    </w:p>
    <w:p w14:paraId="3C2189F7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II - </w:t>
      </w:r>
      <w:r w:rsidRPr="005929B8">
        <w:rPr>
          <w:rFonts w:ascii="Arial" w:hAnsi="Arial" w:cs="Arial"/>
          <w:sz w:val="24"/>
          <w:szCs w:val="24"/>
        </w:rPr>
        <w:t>da comprovação do vínculo previdenciário do beneficiário;</w:t>
      </w:r>
    </w:p>
    <w:p w14:paraId="6DB68A5D" w14:textId="77777777" w:rsidR="007D26C8" w:rsidRPr="005929B8" w:rsidRDefault="007D26C8" w:rsidP="00E70392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proventos: conferência nominal com o valor da última remuneração/proventos e análise das verbas transitórias para os atos publicados após o Acórdão nº 3155/14-Pleno;</w:t>
      </w:r>
    </w:p>
    <w:p w14:paraId="0EE7167D" w14:textId="77777777" w:rsidR="007D26C8" w:rsidRDefault="007D26C8" w:rsidP="00E70392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lastRenderedPageBreak/>
        <w:t>IV - do ato de concessão da pensão: nome do servidor, do beneficiário, assinatura e publicação.</w:t>
      </w:r>
    </w:p>
    <w:p w14:paraId="3172C4FD" w14:textId="77777777" w:rsidR="00E70392" w:rsidRPr="005929B8" w:rsidRDefault="00E70392" w:rsidP="00E70392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14:paraId="525660E6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Seção II</w:t>
      </w:r>
    </w:p>
    <w:p w14:paraId="56D026D4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admissão de pessoal</w:t>
      </w:r>
    </w:p>
    <w:p w14:paraId="0A6E739A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5º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admissão de pessoal inicial limitar-se-á à verificação:</w:t>
      </w:r>
    </w:p>
    <w:p w14:paraId="4A559397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 - do edital do certame (número de vagas, cargos, remuneração, inscrições, prazo de validade) e sua respectiva publicação;</w:t>
      </w:r>
    </w:p>
    <w:p w14:paraId="500BEDFB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da existência de justificativa e de previsão legal, nas contratações temporárias;</w:t>
      </w:r>
    </w:p>
    <w:p w14:paraId="74B5A620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III - dos seguintes documentos: lei de criação do cargo; edital de homologação do </w:t>
      </w:r>
      <w:proofErr w:type="gramStart"/>
      <w:r w:rsidRPr="005929B8">
        <w:rPr>
          <w:rFonts w:ascii="Arial" w:hAnsi="Arial" w:cs="Arial"/>
          <w:sz w:val="24"/>
          <w:szCs w:val="24"/>
        </w:rPr>
        <w:t>resultado final</w:t>
      </w:r>
      <w:proofErr w:type="gramEnd"/>
      <w:r w:rsidRPr="005929B8">
        <w:rPr>
          <w:rFonts w:ascii="Arial" w:hAnsi="Arial" w:cs="Arial"/>
          <w:sz w:val="24"/>
          <w:szCs w:val="24"/>
        </w:rPr>
        <w:t>; declaração assinada pelo gestor de não acúmulo de cargos dos servidores admitidos; lista contendo os candidatos admitidos e indicação das situações de nomeação fora da ordem.</w:t>
      </w:r>
    </w:p>
    <w:p w14:paraId="77B301B3" w14:textId="77777777" w:rsidR="007D26C8" w:rsidRDefault="007D26C8" w:rsidP="00E70392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Parágrafo único: Se a admissão de pessoal for complementar, a verificação limitar-se-á a observância do prazo de validade do certame, da declaração assinada pelo gestor de não acúmulo de cargos dos servidores admitidos e da lista contendo os candidatos admitidos e indicação das situações de nomeação fora da ordem.</w:t>
      </w:r>
    </w:p>
    <w:p w14:paraId="0D0507A6" w14:textId="77777777" w:rsidR="00E70392" w:rsidRPr="005929B8" w:rsidRDefault="00E70392" w:rsidP="00E70392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2955156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III</w:t>
      </w:r>
    </w:p>
    <w:p w14:paraId="4023077B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5929B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SEGURANÇA JURÍDICA</w:t>
      </w:r>
    </w:p>
    <w:p w14:paraId="1AE2C537" w14:textId="77777777" w:rsidR="007D26C8" w:rsidRDefault="007D26C8" w:rsidP="00E70392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6º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Os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processos de admissão de pessoal autuados há mais de </w:t>
      </w:r>
      <w:r w:rsidRPr="005929B8">
        <w:rPr>
          <w:rFonts w:ascii="Arial" w:hAnsi="Arial" w:cs="Arial"/>
          <w:sz w:val="24"/>
          <w:szCs w:val="24"/>
        </w:rPr>
        <w:t xml:space="preserve">05 anos nesta Corte de Contas receberão parecer pelo registro com base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 e da razoável duração do processo, salvo se houver indícios de irregularidades graves ou de má-fé do servidor admitido já em discussão nos autos.</w:t>
      </w:r>
    </w:p>
    <w:p w14:paraId="7538DE41" w14:textId="77777777" w:rsidR="00E70392" w:rsidRPr="005929B8" w:rsidRDefault="00E70392" w:rsidP="00E70392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08B4860E" w14:textId="77777777" w:rsidR="007D26C8" w:rsidRPr="005929B8" w:rsidRDefault="007D26C8" w:rsidP="00FD72CA">
      <w:pPr>
        <w:tabs>
          <w:tab w:val="left" w:pos="851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CAPÍTULO IV</w:t>
      </w:r>
    </w:p>
    <w:p w14:paraId="10878DF9" w14:textId="77777777" w:rsidR="007D26C8" w:rsidRPr="005929B8" w:rsidRDefault="007D26C8" w:rsidP="00FD72CA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sz w:val="24"/>
          <w:szCs w:val="24"/>
        </w:rPr>
        <w:t>DA PERDA DE OBJETO</w:t>
      </w:r>
    </w:p>
    <w:p w14:paraId="3B5E367D" w14:textId="77777777" w:rsidR="007D26C8" w:rsidRPr="005929B8" w:rsidRDefault="007D26C8" w:rsidP="00E70392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  <w:shd w:val="clear" w:color="auto" w:fill="FFFFFF"/>
        </w:rPr>
        <w:t>Art. 7º</w:t>
      </w:r>
      <w:r w:rsidRPr="005929B8">
        <w:rPr>
          <w:rFonts w:ascii="Arial" w:hAnsi="Arial" w:cs="Arial"/>
          <w:sz w:val="24"/>
          <w:szCs w:val="24"/>
          <w:shd w:val="clear" w:color="auto" w:fill="FFFFFF"/>
        </w:rPr>
        <w:t xml:space="preserve"> Poderá ser considerada </w:t>
      </w:r>
      <w:r w:rsidRPr="005929B8">
        <w:rPr>
          <w:rFonts w:ascii="Arial" w:hAnsi="Arial" w:cs="Arial"/>
          <w:sz w:val="24"/>
          <w:szCs w:val="24"/>
        </w:rPr>
        <w:t xml:space="preserve">prejudicada por perda de objeto a análise dos atos de </w:t>
      </w:r>
      <w:r w:rsidRPr="005929B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admissão de pessoal </w:t>
      </w:r>
      <w:r w:rsidRPr="005929B8">
        <w:rPr>
          <w:rFonts w:ascii="Arial" w:hAnsi="Arial" w:cs="Arial"/>
          <w:sz w:val="24"/>
          <w:szCs w:val="24"/>
        </w:rPr>
        <w:t>cujos efeitos financeiros tenham se exaurido antes de seu julgamento pelo Tribunal, no caso de se encontrarem expirados os contratos de trabalho.</w:t>
      </w:r>
    </w:p>
    <w:p w14:paraId="285D399F" w14:textId="77777777" w:rsidR="007D26C8" w:rsidRDefault="007D26C8" w:rsidP="00E70392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5929B8">
        <w:rPr>
          <w:rFonts w:ascii="Arial" w:hAnsi="Arial" w:cs="Arial"/>
          <w:sz w:val="24"/>
          <w:szCs w:val="24"/>
        </w:rPr>
        <w:t xml:space="preserve">Parágrafo único. O reconhecimento da prejudicialidade da análise não </w:t>
      </w:r>
      <w:r w:rsidRPr="005929B8">
        <w:rPr>
          <w:rFonts w:ascii="Arial" w:hAnsi="Arial" w:cs="Arial"/>
          <w:sz w:val="24"/>
          <w:szCs w:val="24"/>
          <w:bdr w:val="none" w:sz="0" w:space="0" w:color="auto" w:frame="1"/>
        </w:rPr>
        <w:t>exclui a necessidade de registro dos respectivos atos pela unidade técnica. </w:t>
      </w:r>
    </w:p>
    <w:p w14:paraId="6BC54E4B" w14:textId="77777777" w:rsidR="00E70392" w:rsidRDefault="00E70392" w:rsidP="00E70392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1B7844EF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CAPÍTULO V</w:t>
      </w:r>
    </w:p>
    <w:p w14:paraId="6FF932D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461FDD16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8º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Poderão ser agrupados em lote, de acordo com o assunto, o órgão/entidade de origem e/ou critérios de semelhança, os processos em que a unidade técnica se manifeste pelo registro ou pela perda de objeto.</w:t>
      </w:r>
    </w:p>
    <w:p w14:paraId="4F716863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1º Os critérios de semelhança serão estabelecidos e verificados pela unidade técnica responsável pela instrução.</w:t>
      </w:r>
    </w:p>
    <w:p w14:paraId="4CBE7E2C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2º Os processos receberão análise individualizada, salvo quando o critério for único e permitir análise conjunta.</w:t>
      </w:r>
    </w:p>
    <w:p w14:paraId="42FB4084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§ 3º A pedido da unidade técnica, os processos agrupados em lote poderão ser avocados pelo Presidente deste Tribunal, em </w:t>
      </w:r>
      <w:r w:rsidRPr="005929B8">
        <w:rPr>
          <w:rFonts w:ascii="Arial" w:hAnsi="Arial" w:cs="Arial"/>
          <w:sz w:val="24"/>
          <w:szCs w:val="24"/>
        </w:rPr>
        <w:t>caráter excepcional, com base no artigo 17 do Regimento Interno.</w:t>
      </w:r>
    </w:p>
    <w:p w14:paraId="3BE6DC53" w14:textId="77777777" w:rsidR="00FD72CA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9º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unidade técnica fica autorizada a solicitar </w:t>
      </w:r>
      <w:r w:rsidRPr="005929B8">
        <w:rPr>
          <w:rFonts w:ascii="Arial" w:hAnsi="Arial" w:cs="Arial"/>
          <w:sz w:val="24"/>
          <w:szCs w:val="24"/>
        </w:rPr>
        <w:t>junto ao órgão/entidade responsável pelas admissões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</w:t>
      </w:r>
      <w:r w:rsidRPr="005929B8">
        <w:rPr>
          <w:rFonts w:ascii="Arial" w:hAnsi="Arial" w:cs="Arial"/>
          <w:sz w:val="24"/>
          <w:szCs w:val="24"/>
        </w:rPr>
        <w:t>dados ou informações que entender necessários à finalização do registro.</w:t>
      </w:r>
    </w:p>
    <w:p w14:paraId="229F23DC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10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registro dos atos nos termos desta Instrução Normativa não impede nova apreciação caso haja indícios de ilegalidades não apreciados.</w:t>
      </w:r>
    </w:p>
    <w:p w14:paraId="4E2F823E" w14:textId="77777777" w:rsidR="007D26C8" w:rsidRPr="005929B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11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Instrução Normativa entra em vigor na data da sua publicação.</w:t>
      </w:r>
    </w:p>
    <w:p w14:paraId="0FA45DC4" w14:textId="44B53A8B" w:rsidR="007D26C8" w:rsidRDefault="007D26C8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12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Ficam afastadas as disposições em contrário das Instruções Normativas </w:t>
      </w:r>
      <w:hyperlink r:id="rId9" w:history="1">
        <w:r w:rsidRPr="00816C73">
          <w:rPr>
            <w:rStyle w:val="Hyperlink"/>
            <w:sz w:val="24"/>
            <w:szCs w:val="24"/>
            <w:shd w:val="clear" w:color="auto" w:fill="FFFFFF"/>
          </w:rPr>
          <w:t>nº 69/12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nº </w:t>
      </w:r>
      <w:hyperlink r:id="rId10" w:history="1">
        <w:r w:rsidRPr="00682748">
          <w:rPr>
            <w:rStyle w:val="Hyperlink"/>
            <w:sz w:val="24"/>
            <w:szCs w:val="24"/>
            <w:shd w:val="clear" w:color="auto" w:fill="FFFFFF"/>
          </w:rPr>
          <w:t>71/12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quanto aos processos de que trata a presente Instrução.</w:t>
      </w:r>
    </w:p>
    <w:p w14:paraId="1A2ECEAF" w14:textId="77777777" w:rsidR="00E70392" w:rsidRPr="005929B8" w:rsidRDefault="00E70392" w:rsidP="00E7039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ADE87E" w14:textId="77777777" w:rsidR="00670C50" w:rsidRDefault="00670C50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095B2E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 xml:space="preserve">12 de maio </w:t>
      </w:r>
      <w:r w:rsidRPr="00095B2E">
        <w:rPr>
          <w:rFonts w:ascii="Arial" w:hAnsi="Arial" w:cs="Arial"/>
          <w:sz w:val="24"/>
          <w:szCs w:val="24"/>
        </w:rPr>
        <w:t>de 2016.</w:t>
      </w:r>
    </w:p>
    <w:p w14:paraId="17126241" w14:textId="77777777" w:rsidR="004227EA" w:rsidRPr="00095B2E" w:rsidRDefault="004227EA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BCFDC5" w14:textId="77777777" w:rsidR="00D34C3C" w:rsidRDefault="00D34C3C" w:rsidP="00D34C3C">
      <w:pPr>
        <w:pStyle w:val="Assina"/>
        <w:spacing w:before="36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IVENS ZSCHOERPER LINHARES</w:t>
      </w:r>
    </w:p>
    <w:p w14:paraId="166039CC" w14:textId="77777777" w:rsidR="007D26C8" w:rsidRPr="005929B8" w:rsidRDefault="00D34C3C" w:rsidP="00D34C3C">
      <w:pPr>
        <w:pStyle w:val="Assina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Vice-Presidente no exercício da Presidência</w:t>
      </w:r>
      <w:r w:rsidR="007D26C8" w:rsidRPr="005929B8">
        <w:rPr>
          <w:rFonts w:ascii="Arial" w:hAnsi="Arial" w:cs="Arial"/>
          <w:b/>
          <w:szCs w:val="24"/>
        </w:rPr>
        <w:br w:type="page"/>
      </w:r>
      <w:r w:rsidR="007D26C8" w:rsidRPr="005929B8">
        <w:rPr>
          <w:rFonts w:ascii="Arial" w:hAnsi="Arial" w:cs="Arial"/>
          <w:b/>
          <w:szCs w:val="24"/>
        </w:rPr>
        <w:lastRenderedPageBreak/>
        <w:t>ANEXO I</w:t>
      </w:r>
    </w:p>
    <w:p w14:paraId="049608AD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– INATIVAÇÃO</w:t>
      </w:r>
    </w:p>
    <w:p w14:paraId="0AD785DB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12"/>
          <w:szCs w:val="12"/>
        </w:rPr>
      </w:pPr>
    </w:p>
    <w:p w14:paraId="0936CE18" w14:textId="77777777" w:rsidR="007D26C8" w:rsidRPr="005929B8" w:rsidRDefault="007D26C8" w:rsidP="00ED296E">
      <w:pPr>
        <w:spacing w:before="120" w:after="120" w:line="240" w:lineRule="auto"/>
        <w:ind w:right="567"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 de inativação, com escopo reduzido, nos termos da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168D36A7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8"/>
          <w:szCs w:val="8"/>
        </w:rPr>
      </w:pPr>
    </w:p>
    <w:p w14:paraId="42766688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APOSENTADORIA: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7D26C8" w:rsidRPr="00E84E5B" w14:paraId="687EE95E" w14:textId="77777777" w:rsidTr="00ED296E">
        <w:tc>
          <w:tcPr>
            <w:tcW w:w="6173" w:type="dxa"/>
            <w:shd w:val="clear" w:color="auto" w:fill="auto"/>
          </w:tcPr>
          <w:p w14:paraId="53483C48" w14:textId="77777777" w:rsidR="007D26C8" w:rsidRPr="00E84E5B" w:rsidRDefault="007D26C8" w:rsidP="00ED296E">
            <w:pPr>
              <w:spacing w:before="120"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53D7DEF" w14:textId="16ACD47A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3150340" w14:textId="7F60087C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82AAEC1" w14:textId="77777777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B9952C" w14:textId="77777777" w:rsidTr="00ED296E">
        <w:tc>
          <w:tcPr>
            <w:tcW w:w="6173" w:type="dxa"/>
            <w:shd w:val="clear" w:color="auto" w:fill="auto"/>
          </w:tcPr>
          <w:p w14:paraId="67CBB16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Foram observados os tempos de contribuição, serviço público, carreira, cargo e a data de ingresso?</w:t>
            </w:r>
          </w:p>
        </w:tc>
        <w:tc>
          <w:tcPr>
            <w:tcW w:w="739" w:type="dxa"/>
            <w:shd w:val="clear" w:color="auto" w:fill="auto"/>
          </w:tcPr>
          <w:p w14:paraId="0C60EE9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DAD151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0E896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F566EDF" w14:textId="77777777" w:rsidTr="00ED296E">
        <w:tc>
          <w:tcPr>
            <w:tcW w:w="6173" w:type="dxa"/>
            <w:shd w:val="clear" w:color="auto" w:fill="auto"/>
          </w:tcPr>
          <w:p w14:paraId="269C9CB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tempo especial exigido (professor, policial civil)?</w:t>
            </w:r>
          </w:p>
        </w:tc>
        <w:tc>
          <w:tcPr>
            <w:tcW w:w="739" w:type="dxa"/>
            <w:shd w:val="clear" w:color="auto" w:fill="auto"/>
          </w:tcPr>
          <w:p w14:paraId="6134E95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5E814F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79B66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7DC2A240" w14:textId="77777777" w:rsidTr="00ED296E">
        <w:tc>
          <w:tcPr>
            <w:tcW w:w="6173" w:type="dxa"/>
            <w:shd w:val="clear" w:color="auto" w:fill="auto"/>
          </w:tcPr>
          <w:p w14:paraId="51E82D5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idade mínima exigida?</w:t>
            </w:r>
          </w:p>
        </w:tc>
        <w:tc>
          <w:tcPr>
            <w:tcW w:w="739" w:type="dxa"/>
            <w:shd w:val="clear" w:color="auto" w:fill="auto"/>
          </w:tcPr>
          <w:p w14:paraId="5321262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9C13FB8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B64D5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45F5BF5" w14:textId="77777777" w:rsidTr="00ED296E">
        <w:tc>
          <w:tcPr>
            <w:tcW w:w="6173" w:type="dxa"/>
            <w:shd w:val="clear" w:color="auto" w:fill="auto"/>
          </w:tcPr>
          <w:p w14:paraId="2ED77DA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regra de direito adquirido?</w:t>
            </w:r>
          </w:p>
        </w:tc>
        <w:tc>
          <w:tcPr>
            <w:tcW w:w="739" w:type="dxa"/>
            <w:shd w:val="clear" w:color="auto" w:fill="auto"/>
          </w:tcPr>
          <w:p w14:paraId="1BFCCBE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C2670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C4F7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569767" w14:textId="77777777" w:rsidTr="00ED296E">
        <w:tc>
          <w:tcPr>
            <w:tcW w:w="6173" w:type="dxa"/>
            <w:shd w:val="clear" w:color="auto" w:fill="auto"/>
          </w:tcPr>
          <w:p w14:paraId="295775E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laudo médico contém a indicação da doença que possibilite a confirmação da regularidade da forma de cálculo (proventos proporcionais ou integrais), com base no princípio da legalidade?</w:t>
            </w:r>
          </w:p>
        </w:tc>
        <w:tc>
          <w:tcPr>
            <w:tcW w:w="739" w:type="dxa"/>
            <w:shd w:val="clear" w:color="auto" w:fill="auto"/>
          </w:tcPr>
          <w:p w14:paraId="1B523B91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CC3E2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DCA94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9FB345F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5514CDD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0F8693E7" w14:textId="77777777" w:rsidTr="00ED296E">
        <w:tc>
          <w:tcPr>
            <w:tcW w:w="6173" w:type="dxa"/>
            <w:shd w:val="clear" w:color="auto" w:fill="auto"/>
          </w:tcPr>
          <w:p w14:paraId="1A29AD30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4BE5DC7C" w14:textId="084FA1A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C4856EA" w14:textId="17937175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E3B2EFF" w14:textId="1D126304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22CE21B" w14:textId="77777777" w:rsidTr="00ED296E">
        <w:tc>
          <w:tcPr>
            <w:tcW w:w="6173" w:type="dxa"/>
            <w:shd w:val="clear" w:color="auto" w:fill="auto"/>
          </w:tcPr>
          <w:p w14:paraId="38E4BF4A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 ou da média aritmética calculada, bem como da proporcionalidade adotada, em sendo o caso?</w:t>
            </w:r>
          </w:p>
        </w:tc>
        <w:tc>
          <w:tcPr>
            <w:tcW w:w="739" w:type="dxa"/>
            <w:shd w:val="clear" w:color="auto" w:fill="auto"/>
          </w:tcPr>
          <w:p w14:paraId="3A8B407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B34F31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5F903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A33B9F" w14:textId="77777777" w:rsidTr="00ED296E">
        <w:tc>
          <w:tcPr>
            <w:tcW w:w="6173" w:type="dxa"/>
            <w:shd w:val="clear" w:color="auto" w:fill="auto"/>
          </w:tcPr>
          <w:p w14:paraId="7EEAE1E6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3155/14, caso aplicável? </w:t>
            </w:r>
          </w:p>
        </w:tc>
        <w:tc>
          <w:tcPr>
            <w:tcW w:w="739" w:type="dxa"/>
            <w:shd w:val="clear" w:color="auto" w:fill="auto"/>
          </w:tcPr>
          <w:p w14:paraId="13E9285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2BC9D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FA693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633180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412DB982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INATIVAÇÃO: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1E1E29DD" w14:textId="77777777" w:rsidTr="00ED296E">
        <w:tc>
          <w:tcPr>
            <w:tcW w:w="6173" w:type="dxa"/>
            <w:shd w:val="clear" w:color="auto" w:fill="auto"/>
          </w:tcPr>
          <w:p w14:paraId="12327876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543FE3D" w14:textId="72E1BF9D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C7D4CEB" w14:textId="4053C72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DFC9648" w14:textId="2211E8C2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7C2341" w14:textId="77777777" w:rsidTr="00ED296E">
        <w:tc>
          <w:tcPr>
            <w:tcW w:w="6173" w:type="dxa"/>
            <w:shd w:val="clear" w:color="auto" w:fill="auto"/>
          </w:tcPr>
          <w:p w14:paraId="0638D7B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a regra constitucional aplicada e a assinatura do gestor responsável? Foi comprovada a sua publicação?</w:t>
            </w:r>
          </w:p>
        </w:tc>
        <w:tc>
          <w:tcPr>
            <w:tcW w:w="739" w:type="dxa"/>
            <w:shd w:val="clear" w:color="auto" w:fill="auto"/>
          </w:tcPr>
          <w:p w14:paraId="4DB8EF9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ACD02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F3FEA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71615A5D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3ED49566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inativação ora analisado. Ao Ministério Público de Contas para manifestação.</w:t>
      </w:r>
    </w:p>
    <w:p w14:paraId="7C744E6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4EFE7C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29AD58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18FE1334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337B18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063350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– PENSÃO</w:t>
      </w:r>
    </w:p>
    <w:p w14:paraId="68EB7DF8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D4C813D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 de concessão de pensão,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6B06DB72" w14:textId="77777777" w:rsidR="007D26C8" w:rsidRPr="005929B8" w:rsidRDefault="007D26C8" w:rsidP="007D26C8">
      <w:pPr>
        <w:spacing w:before="120" w:after="120" w:line="240" w:lineRule="auto"/>
        <w:ind w:firstLine="1701"/>
        <w:rPr>
          <w:rFonts w:ascii="Arial" w:hAnsi="Arial" w:cs="Arial"/>
        </w:rPr>
      </w:pPr>
    </w:p>
    <w:p w14:paraId="011D9FE6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PENSÃO: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43003572" w14:textId="77777777" w:rsidTr="004D5B07">
        <w:tc>
          <w:tcPr>
            <w:tcW w:w="6173" w:type="dxa"/>
            <w:shd w:val="clear" w:color="auto" w:fill="auto"/>
          </w:tcPr>
          <w:p w14:paraId="688BFB37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5D3163D1" w14:textId="575B981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ACF3160" w14:textId="56E8F14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9A611A9" w14:textId="531F0158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8260F45" w14:textId="77777777" w:rsidTr="004D5B07">
        <w:tc>
          <w:tcPr>
            <w:tcW w:w="6173" w:type="dxa"/>
            <w:shd w:val="clear" w:color="auto" w:fill="auto"/>
          </w:tcPr>
          <w:p w14:paraId="7A0F20F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certidão de óbito do servidor?</w:t>
            </w:r>
          </w:p>
        </w:tc>
        <w:tc>
          <w:tcPr>
            <w:tcW w:w="739" w:type="dxa"/>
            <w:shd w:val="clear" w:color="auto" w:fill="auto"/>
          </w:tcPr>
          <w:p w14:paraId="317099A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7C40B5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F4CB3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BB2E548" w14:textId="77777777" w:rsidTr="004D5B07">
        <w:tc>
          <w:tcPr>
            <w:tcW w:w="6173" w:type="dxa"/>
            <w:shd w:val="clear" w:color="auto" w:fill="auto"/>
          </w:tcPr>
          <w:p w14:paraId="2724AC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comprovado o vínculo previdenciário do beneficiário?</w:t>
            </w:r>
          </w:p>
        </w:tc>
        <w:tc>
          <w:tcPr>
            <w:tcW w:w="739" w:type="dxa"/>
            <w:shd w:val="clear" w:color="auto" w:fill="auto"/>
          </w:tcPr>
          <w:p w14:paraId="45011DD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6E1EB3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0A56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6912A6D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B975BFA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6E45A600" w14:textId="77777777" w:rsidTr="004D5B07">
        <w:tc>
          <w:tcPr>
            <w:tcW w:w="6173" w:type="dxa"/>
            <w:shd w:val="clear" w:color="auto" w:fill="auto"/>
          </w:tcPr>
          <w:p w14:paraId="48B03F71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C7E9FAE" w14:textId="45F0F1A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10C09095" w14:textId="295E0C11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46776AB6" w14:textId="15A26EF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279429EB" w14:textId="77777777" w:rsidTr="004D5B07">
        <w:tc>
          <w:tcPr>
            <w:tcW w:w="6173" w:type="dxa"/>
            <w:shd w:val="clear" w:color="auto" w:fill="auto"/>
          </w:tcPr>
          <w:p w14:paraId="00FE3E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remuneração/proventos?</w:t>
            </w:r>
          </w:p>
        </w:tc>
        <w:tc>
          <w:tcPr>
            <w:tcW w:w="739" w:type="dxa"/>
            <w:shd w:val="clear" w:color="auto" w:fill="auto"/>
          </w:tcPr>
          <w:p w14:paraId="34B7ED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18B85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6494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79224392" w14:textId="77777777" w:rsidTr="004D5B07">
        <w:tc>
          <w:tcPr>
            <w:tcW w:w="6173" w:type="dxa"/>
            <w:shd w:val="clear" w:color="auto" w:fill="auto"/>
          </w:tcPr>
          <w:p w14:paraId="7A18EF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 (para os atos publicados após 13/06/2014)? </w:t>
            </w:r>
          </w:p>
        </w:tc>
        <w:tc>
          <w:tcPr>
            <w:tcW w:w="739" w:type="dxa"/>
            <w:shd w:val="clear" w:color="auto" w:fill="auto"/>
          </w:tcPr>
          <w:p w14:paraId="29B0328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78FBE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99D8E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32872057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4F07D74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CONCESSÃO DA PENSÃO: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3A14751B" w14:textId="77777777" w:rsidTr="004D5B07">
        <w:tc>
          <w:tcPr>
            <w:tcW w:w="6173" w:type="dxa"/>
            <w:shd w:val="clear" w:color="auto" w:fill="auto"/>
          </w:tcPr>
          <w:p w14:paraId="1909886F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DC3D422" w14:textId="6D5D80CE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CADCC9A" w14:textId="619D646A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28F2F40" w14:textId="2EAB778B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218DD02" w14:textId="77777777" w:rsidTr="004D5B07">
        <w:tc>
          <w:tcPr>
            <w:tcW w:w="6173" w:type="dxa"/>
            <w:shd w:val="clear" w:color="auto" w:fill="auto"/>
          </w:tcPr>
          <w:p w14:paraId="3DDD51E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do(s) beneficiário(s) e assinatura do gestor responsável? Foi comprovada sua publicação?</w:t>
            </w:r>
          </w:p>
        </w:tc>
        <w:tc>
          <w:tcPr>
            <w:tcW w:w="739" w:type="dxa"/>
            <w:shd w:val="clear" w:color="auto" w:fill="auto"/>
          </w:tcPr>
          <w:p w14:paraId="6E9B83CC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F1C1F7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F124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4EE37F9A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08A303AD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concessão de pensão ora analisado. Ao Ministério Público de Contas para manifestação.</w:t>
      </w:r>
    </w:p>
    <w:p w14:paraId="70D0B752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215BCD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66F9C431" w14:textId="77777777" w:rsidR="007D26C8" w:rsidRPr="005929B8" w:rsidRDefault="007D26C8" w:rsidP="00670C50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 ____________________________________________</w:t>
      </w:r>
    </w:p>
    <w:p w14:paraId="16E867F7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INICIAL</w:t>
      </w:r>
    </w:p>
    <w:p w14:paraId="6CE9323D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394140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34890E17" w14:textId="77777777" w:rsidR="007D26C8" w:rsidRPr="005929B8" w:rsidRDefault="007D26C8" w:rsidP="007D26C8">
      <w:pPr>
        <w:spacing w:after="120" w:line="240" w:lineRule="auto"/>
        <w:ind w:firstLine="1701"/>
        <w:rPr>
          <w:rFonts w:ascii="Arial" w:hAnsi="Arial"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5D4371" w:rsidRPr="00E84E5B" w14:paraId="1138E44D" w14:textId="77777777" w:rsidTr="005D4371">
        <w:tc>
          <w:tcPr>
            <w:tcW w:w="6173" w:type="dxa"/>
            <w:shd w:val="clear" w:color="auto" w:fill="auto"/>
          </w:tcPr>
          <w:p w14:paraId="08EE5A08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B0097EF" w14:textId="2C57D5F4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20D17A0D" w14:textId="64179599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1F44107A" w14:textId="73D76A20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FE1E745" w14:textId="77777777" w:rsidTr="005D4371">
        <w:tc>
          <w:tcPr>
            <w:tcW w:w="6173" w:type="dxa"/>
            <w:shd w:val="clear" w:color="auto" w:fill="auto"/>
          </w:tcPr>
          <w:p w14:paraId="4E9B187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O edital do certame previu número de vagas e a remuneração do(s) cargo(s)/empregos(s) a serem providos? </w:t>
            </w:r>
          </w:p>
        </w:tc>
        <w:tc>
          <w:tcPr>
            <w:tcW w:w="739" w:type="dxa"/>
            <w:shd w:val="clear" w:color="auto" w:fill="auto"/>
          </w:tcPr>
          <w:p w14:paraId="2F076E4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B1F08E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A4DDE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6B4258A" w14:textId="77777777" w:rsidTr="005D4371">
        <w:tc>
          <w:tcPr>
            <w:tcW w:w="6173" w:type="dxa"/>
            <w:shd w:val="clear" w:color="auto" w:fill="auto"/>
          </w:tcPr>
          <w:p w14:paraId="287221A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prazo e a forma das inscrições, bem como o prazo de validade do certame estavam previstos no edital?</w:t>
            </w:r>
          </w:p>
        </w:tc>
        <w:tc>
          <w:tcPr>
            <w:tcW w:w="739" w:type="dxa"/>
            <w:shd w:val="clear" w:color="auto" w:fill="auto"/>
          </w:tcPr>
          <w:p w14:paraId="3D82C67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D0463D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76700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50074C5F" w14:textId="77777777" w:rsidTr="005D4371">
        <w:tc>
          <w:tcPr>
            <w:tcW w:w="6173" w:type="dxa"/>
            <w:shd w:val="clear" w:color="auto" w:fill="auto"/>
          </w:tcPr>
          <w:p w14:paraId="3811020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edital foi devidamente publicado?</w:t>
            </w:r>
          </w:p>
        </w:tc>
        <w:tc>
          <w:tcPr>
            <w:tcW w:w="739" w:type="dxa"/>
            <w:shd w:val="clear" w:color="auto" w:fill="auto"/>
          </w:tcPr>
          <w:p w14:paraId="7F880A7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106EA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5189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9BBE417" w14:textId="77777777" w:rsidTr="005D4371">
        <w:tc>
          <w:tcPr>
            <w:tcW w:w="6173" w:type="dxa"/>
            <w:shd w:val="clear" w:color="auto" w:fill="auto"/>
          </w:tcPr>
          <w:p w14:paraId="4309C2F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Há justificativa e previsão legal para a contratação temporária?</w:t>
            </w:r>
          </w:p>
        </w:tc>
        <w:tc>
          <w:tcPr>
            <w:tcW w:w="739" w:type="dxa"/>
            <w:shd w:val="clear" w:color="auto" w:fill="auto"/>
          </w:tcPr>
          <w:p w14:paraId="688A1B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553DB4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0F945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BB92C2A" w14:textId="77777777" w:rsidTr="005D4371">
        <w:tc>
          <w:tcPr>
            <w:tcW w:w="6173" w:type="dxa"/>
            <w:shd w:val="clear" w:color="auto" w:fill="auto"/>
          </w:tcPr>
          <w:p w14:paraId="682A2F8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lei de criação do cargo? </w:t>
            </w:r>
          </w:p>
        </w:tc>
        <w:tc>
          <w:tcPr>
            <w:tcW w:w="739" w:type="dxa"/>
            <w:shd w:val="clear" w:color="auto" w:fill="auto"/>
          </w:tcPr>
          <w:p w14:paraId="356F355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65D89B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7926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E767A8C" w14:textId="77777777" w:rsidTr="005D4371">
        <w:tc>
          <w:tcPr>
            <w:tcW w:w="6173" w:type="dxa"/>
            <w:shd w:val="clear" w:color="auto" w:fill="auto"/>
          </w:tcPr>
          <w:p w14:paraId="49E00F1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anexado o edital de homologação do </w:t>
            </w:r>
            <w:proofErr w:type="gramStart"/>
            <w:r w:rsidRPr="00E84E5B">
              <w:rPr>
                <w:rFonts w:ascii="Arial" w:eastAsia="MS Mincho" w:hAnsi="Arial" w:cs="Arial"/>
              </w:rPr>
              <w:t>resultado final</w:t>
            </w:r>
            <w:proofErr w:type="gramEnd"/>
            <w:r w:rsidRPr="00E84E5B">
              <w:rPr>
                <w:rFonts w:ascii="Arial" w:eastAsia="MS Mincho" w:hAnsi="Arial" w:cs="Arial"/>
              </w:rPr>
              <w:t>?</w:t>
            </w:r>
          </w:p>
        </w:tc>
        <w:tc>
          <w:tcPr>
            <w:tcW w:w="739" w:type="dxa"/>
            <w:shd w:val="clear" w:color="auto" w:fill="auto"/>
          </w:tcPr>
          <w:p w14:paraId="33B0ACC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BE1B8B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79386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C914431" w14:textId="77777777" w:rsidTr="005D4371">
        <w:tc>
          <w:tcPr>
            <w:tcW w:w="6173" w:type="dxa"/>
            <w:shd w:val="clear" w:color="auto" w:fill="auto"/>
          </w:tcPr>
          <w:p w14:paraId="52483B9A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declaração assinada pelo gestor de não acúmulo de cargos dos servidores admitidos?</w:t>
            </w:r>
          </w:p>
        </w:tc>
        <w:tc>
          <w:tcPr>
            <w:tcW w:w="739" w:type="dxa"/>
            <w:shd w:val="clear" w:color="auto" w:fill="auto"/>
          </w:tcPr>
          <w:p w14:paraId="38236EC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25D3DA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13117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28A2651" w14:textId="77777777" w:rsidTr="005D4371">
        <w:tc>
          <w:tcPr>
            <w:tcW w:w="6173" w:type="dxa"/>
            <w:shd w:val="clear" w:color="auto" w:fill="auto"/>
          </w:tcPr>
          <w:p w14:paraId="3BF1D65B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7B930A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8B8CF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AAEE7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08ECACEC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7AB295C0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3027EA8A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065D8E2C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4E23DFE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150E04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26B800D2" w14:textId="77777777" w:rsidR="007D26C8" w:rsidRPr="005929B8" w:rsidRDefault="007D26C8" w:rsidP="00670C50">
      <w:pPr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  <w:r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COMPLEMENTAR</w:t>
      </w:r>
    </w:p>
    <w:p w14:paraId="7C043EA5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E42F49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51F6DA5C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992"/>
      </w:tblGrid>
      <w:tr w:rsidR="005D4371" w:rsidRPr="00E84E5B" w14:paraId="0A03FEEC" w14:textId="77777777" w:rsidTr="005D4371">
        <w:tc>
          <w:tcPr>
            <w:tcW w:w="6173" w:type="dxa"/>
            <w:shd w:val="clear" w:color="auto" w:fill="auto"/>
          </w:tcPr>
          <w:p w14:paraId="0623E945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AB8BA7C" w14:textId="5B195D93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BD6E64A" w14:textId="487E556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992" w:type="dxa"/>
            <w:shd w:val="clear" w:color="auto" w:fill="auto"/>
          </w:tcPr>
          <w:p w14:paraId="4E4D640C" w14:textId="40590C5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19F6132" w14:textId="77777777" w:rsidTr="005D4371">
        <w:tc>
          <w:tcPr>
            <w:tcW w:w="6173" w:type="dxa"/>
            <w:shd w:val="clear" w:color="auto" w:fill="auto"/>
          </w:tcPr>
          <w:p w14:paraId="5657600D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processo de admissão inicial referente ao presente certame já obteve julgamento pelo registro dos atos?</w:t>
            </w:r>
          </w:p>
        </w:tc>
        <w:tc>
          <w:tcPr>
            <w:tcW w:w="739" w:type="dxa"/>
            <w:shd w:val="clear" w:color="auto" w:fill="auto"/>
          </w:tcPr>
          <w:p w14:paraId="710CB50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89B36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B317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2C2FA4B" w14:textId="77777777" w:rsidTr="005D4371">
        <w:tc>
          <w:tcPr>
            <w:tcW w:w="6173" w:type="dxa"/>
            <w:shd w:val="clear" w:color="auto" w:fill="auto"/>
          </w:tcPr>
          <w:p w14:paraId="3A609AD9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prazo de validade do certame?</w:t>
            </w:r>
          </w:p>
        </w:tc>
        <w:tc>
          <w:tcPr>
            <w:tcW w:w="739" w:type="dxa"/>
            <w:shd w:val="clear" w:color="auto" w:fill="auto"/>
          </w:tcPr>
          <w:p w14:paraId="27214EF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3DE8B21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B8C5C6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43C96549" w14:textId="77777777" w:rsidTr="005D4371">
        <w:tc>
          <w:tcPr>
            <w:tcW w:w="6173" w:type="dxa"/>
            <w:shd w:val="clear" w:color="auto" w:fill="auto"/>
          </w:tcPr>
          <w:p w14:paraId="6D0905A1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declaração assinada pelo gestor de não acúmulo de cargos dos servidores admitidos? </w:t>
            </w:r>
          </w:p>
        </w:tc>
        <w:tc>
          <w:tcPr>
            <w:tcW w:w="739" w:type="dxa"/>
            <w:shd w:val="clear" w:color="auto" w:fill="auto"/>
          </w:tcPr>
          <w:p w14:paraId="0E29F16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A1E659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2B362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0EB8FA8" w14:textId="77777777" w:rsidTr="005D4371">
        <w:tc>
          <w:tcPr>
            <w:tcW w:w="6173" w:type="dxa"/>
            <w:shd w:val="clear" w:color="auto" w:fill="auto"/>
          </w:tcPr>
          <w:p w14:paraId="203F89BF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094314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032BF1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DAAB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57F2E73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1C9CF1E3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4BF8613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12B5527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51298BE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41E7F8C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7B3EB88F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303B4BD9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DD98E15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SEGURANÇA JURÍDICA</w:t>
      </w:r>
    </w:p>
    <w:p w14:paraId="4E2CBC0E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25374BD1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atos de admissão de pessoal, cujo processo foi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autuado há mais de </w:t>
      </w:r>
      <w:r w:rsidRPr="005929B8">
        <w:rPr>
          <w:rFonts w:ascii="Arial" w:hAnsi="Arial" w:cs="Arial"/>
          <w:sz w:val="24"/>
          <w:szCs w:val="24"/>
        </w:rPr>
        <w:t>05 anos nessa Corte de Contas.</w:t>
      </w:r>
    </w:p>
    <w:p w14:paraId="55644586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Considerando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confiança, o princípio da razoável duração do processo</w:t>
      </w:r>
      <w:r w:rsidRPr="005929B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5929B8">
        <w:rPr>
          <w:rFonts w:ascii="Arial" w:hAnsi="Arial" w:cs="Arial"/>
          <w:sz w:val="24"/>
          <w:szCs w:val="24"/>
        </w:rPr>
        <w:t xml:space="preserve">, bem como o disposto na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 xml:space="preserve">, opina-se pelo registro dos atos admissionais constantes dos presentes autos. </w:t>
      </w:r>
    </w:p>
    <w:p w14:paraId="02CC1327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A07811A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PERDA DE OBJETO</w:t>
      </w:r>
    </w:p>
    <w:p w14:paraId="3CF0BCA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7A824D53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de contratações temporárias cuja análise ficou prejudicada em razão da perda do objeto, visto que os contratos de trabalho já se encontram expirados. </w:t>
      </w:r>
    </w:p>
    <w:p w14:paraId="73DD5040" w14:textId="77777777" w:rsidR="00B663BE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Assim, considerando o exaurimento dos efeitos financeiros, bem como o disposto na Instrução Normativa nº </w:t>
      </w:r>
      <w:r w:rsidR="00996ED0">
        <w:rPr>
          <w:rFonts w:ascii="Arial" w:hAnsi="Arial" w:cs="Arial"/>
          <w:sz w:val="24"/>
          <w:szCs w:val="24"/>
        </w:rPr>
        <w:t>117/2016,</w:t>
      </w:r>
      <w:r w:rsidRPr="005929B8">
        <w:rPr>
          <w:rFonts w:ascii="Arial" w:hAnsi="Arial" w:cs="Arial"/>
          <w:sz w:val="24"/>
          <w:szCs w:val="24"/>
        </w:rPr>
        <w:t xml:space="preserve"> opina-se pelo registro dos atos admissionais constantes dos presentes autos. </w:t>
      </w:r>
    </w:p>
    <w:sectPr w:rsidR="00B663BE" w:rsidRPr="005929B8" w:rsidSect="00F47C46">
      <w:headerReference w:type="default" r:id="rId11"/>
      <w:footerReference w:type="default" r:id="rId12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9053" w14:textId="77777777" w:rsidR="0066249B" w:rsidRDefault="0066249B" w:rsidP="00884717">
      <w:pPr>
        <w:spacing w:after="0" w:line="240" w:lineRule="auto"/>
      </w:pPr>
      <w:r>
        <w:separator/>
      </w:r>
    </w:p>
  </w:endnote>
  <w:endnote w:type="continuationSeparator" w:id="0">
    <w:p w14:paraId="0C553BCE" w14:textId="77777777" w:rsidR="0066249B" w:rsidRDefault="0066249B" w:rsidP="0088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240" w14:textId="3F424AC4" w:rsidR="00095B2E" w:rsidRPr="00A30189" w:rsidRDefault="00095B2E">
    <w:pPr>
      <w:pStyle w:val="Rodap"/>
      <w:jc w:val="right"/>
      <w:rPr>
        <w:rFonts w:ascii="Arial" w:hAnsi="Arial" w:cs="Arial"/>
      </w:rPr>
    </w:pPr>
  </w:p>
  <w:p w14:paraId="17D6730A" w14:textId="77777777" w:rsidR="00095B2E" w:rsidRDefault="00095B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98D4" w14:textId="77777777" w:rsidR="0066249B" w:rsidRDefault="0066249B" w:rsidP="00884717">
      <w:pPr>
        <w:spacing w:after="0" w:line="240" w:lineRule="auto"/>
      </w:pPr>
      <w:r>
        <w:separator/>
      </w:r>
    </w:p>
  </w:footnote>
  <w:footnote w:type="continuationSeparator" w:id="0">
    <w:p w14:paraId="387ACF50" w14:textId="77777777" w:rsidR="0066249B" w:rsidRDefault="0066249B" w:rsidP="00884717">
      <w:pPr>
        <w:spacing w:after="0" w:line="240" w:lineRule="auto"/>
      </w:pPr>
      <w:r>
        <w:continuationSeparator/>
      </w:r>
    </w:p>
  </w:footnote>
  <w:footnote w:id="1">
    <w:p w14:paraId="2FE52228" w14:textId="77777777" w:rsidR="008465B9" w:rsidRPr="00205F2C" w:rsidRDefault="004639BF" w:rsidP="008465B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8465B9" w:rsidRPr="00205F2C">
        <w:rPr>
          <w:rFonts w:ascii="Arial" w:hAnsi="Arial" w:cs="Arial"/>
          <w:b/>
        </w:rPr>
        <w:t>Notas da Biblioteca:</w:t>
      </w:r>
    </w:p>
    <w:bookmarkEnd w:id="0"/>
    <w:p w14:paraId="045C18D3" w14:textId="004ABC30" w:rsidR="008465B9" w:rsidRPr="00A9740E" w:rsidRDefault="008465B9" w:rsidP="00A9740E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A9740E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0F0F39" w:rsidRPr="009820F5">
          <w:rPr>
            <w:rStyle w:val="Hyperlink"/>
            <w:b/>
            <w:bCs/>
            <w:sz w:val="20"/>
            <w:szCs w:val="20"/>
          </w:rPr>
          <w:t>Diário Eletrônico do Tribunal de Contas do Estado do Paraná</w:t>
        </w:r>
        <w:r w:rsidR="000F0F39" w:rsidRPr="00D02624">
          <w:rPr>
            <w:rStyle w:val="Hyperlink"/>
            <w:sz w:val="20"/>
            <w:szCs w:val="20"/>
          </w:rPr>
          <w:t>, Curitiba, PR, n. 1361, 18 maio 2016, p. 43-46</w:t>
        </w:r>
      </w:hyperlink>
      <w:r w:rsidR="000F0F39" w:rsidRPr="00D02624">
        <w:rPr>
          <w:rFonts w:ascii="Arial" w:hAnsi="Arial" w:cs="Arial"/>
          <w:sz w:val="20"/>
          <w:szCs w:val="20"/>
        </w:rPr>
        <w:t>.</w:t>
      </w:r>
    </w:p>
    <w:p w14:paraId="48F3B2B3" w14:textId="5687DDF3" w:rsidR="004639BF" w:rsidRPr="00A9740E" w:rsidRDefault="008465B9" w:rsidP="00A9740E">
      <w:pPr>
        <w:pStyle w:val="Textodenotaderodap"/>
        <w:numPr>
          <w:ilvl w:val="0"/>
          <w:numId w:val="2"/>
        </w:numPr>
        <w:ind w:left="426" w:hanging="284"/>
        <w:rPr>
          <w:rStyle w:val="Hyperlink"/>
          <w:sz w:val="20"/>
        </w:rPr>
      </w:pPr>
      <w:r w:rsidRPr="00A9740E">
        <w:rPr>
          <w:rFonts w:ascii="Arial" w:hAnsi="Arial" w:cs="Arial"/>
        </w:rPr>
        <w:t xml:space="preserve">Origem: </w:t>
      </w:r>
      <w:r w:rsidR="00F7545B" w:rsidRPr="00A9740E">
        <w:rPr>
          <w:rFonts w:ascii="Arial" w:hAnsi="Arial" w:cs="Arial"/>
        </w:rPr>
        <w:t xml:space="preserve">Processo n. 287380/16 – </w:t>
      </w:r>
      <w:hyperlink r:id="rId2" w:history="1">
        <w:r w:rsidR="00F7545B" w:rsidRPr="00A9740E">
          <w:rPr>
            <w:rStyle w:val="Hyperlink"/>
            <w:sz w:val="20"/>
          </w:rPr>
          <w:t>Acórdão n. 2.110/2016 – Tribunal Pleno.</w:t>
        </w:r>
      </w:hyperlink>
    </w:p>
    <w:p w14:paraId="05049EF5" w14:textId="2A11480D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A9740E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A9740E">
        <w:rPr>
          <w:rFonts w:ascii="Arial" w:hAnsi="Arial" w:cs="Arial"/>
          <w:b/>
          <w:bCs/>
          <w:sz w:val="20"/>
          <w:szCs w:val="20"/>
        </w:rPr>
        <w:t xml:space="preserve"> por: </w:t>
      </w:r>
      <w:hyperlink r:id="rId3" w:history="1">
        <w:r w:rsidRPr="00A9740E">
          <w:rPr>
            <w:rStyle w:val="Hyperlink"/>
            <w:sz w:val="20"/>
            <w:szCs w:val="20"/>
          </w:rPr>
          <w:t>Resolução n. 62, de 14 de dezembro de 2017.</w:t>
        </w:r>
      </w:hyperlink>
    </w:p>
    <w:p w14:paraId="1D52CDEF" w14:textId="3E59D37C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A9740E">
        <w:rPr>
          <w:rFonts w:ascii="Arial" w:hAnsi="Arial" w:cs="Arial"/>
          <w:b/>
          <w:bCs/>
          <w:sz w:val="20"/>
          <w:szCs w:val="20"/>
        </w:rPr>
        <w:t xml:space="preserve">Ver também: </w:t>
      </w:r>
    </w:p>
    <w:p w14:paraId="0CB314C2" w14:textId="77777777" w:rsidR="00AB1AED" w:rsidRPr="00A9740E" w:rsidRDefault="00000000" w:rsidP="00A9740E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4" w:history="1">
        <w:r w:rsidR="00AB1AED" w:rsidRPr="00A9740E">
          <w:rPr>
            <w:rStyle w:val="Hyperlink"/>
            <w:sz w:val="20"/>
            <w:szCs w:val="20"/>
          </w:rPr>
          <w:t>Instrução Normativa n. 69, de 24 de maio de 2012</w:t>
        </w:r>
      </w:hyperlink>
      <w:r w:rsidR="00AB1AED" w:rsidRPr="00A9740E">
        <w:rPr>
          <w:rFonts w:ascii="Arial" w:hAnsi="Arial" w:cs="Arial"/>
          <w:sz w:val="20"/>
          <w:szCs w:val="20"/>
        </w:rPr>
        <w:t>.</w:t>
      </w:r>
    </w:p>
    <w:p w14:paraId="0778D857" w14:textId="4FAF4592" w:rsidR="00AB1AED" w:rsidRPr="00477CDC" w:rsidRDefault="00000000" w:rsidP="00477CDC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5" w:history="1">
        <w:r w:rsidR="00AB1AED" w:rsidRPr="00A9740E">
          <w:rPr>
            <w:rStyle w:val="Hyperlink"/>
            <w:sz w:val="20"/>
            <w:szCs w:val="20"/>
          </w:rPr>
          <w:t>Instrução Normativa n. 71, de 16 de agosto de 2012</w:t>
        </w:r>
      </w:hyperlink>
      <w:r w:rsidR="00477CDC">
        <w:rPr>
          <w:rStyle w:val="Hyperlink"/>
          <w:sz w:val="20"/>
          <w:szCs w:val="20"/>
        </w:rPr>
        <w:t>.</w:t>
      </w:r>
    </w:p>
  </w:footnote>
  <w:footnote w:id="2">
    <w:p w14:paraId="2F241007" w14:textId="77777777" w:rsidR="00674E13" w:rsidRDefault="007D26C8" w:rsidP="00674E13">
      <w:pPr>
        <w:pStyle w:val="Textodenotaderodap"/>
        <w:ind w:left="142" w:hanging="142"/>
        <w:rPr>
          <w:rFonts w:ascii="Arial" w:hAnsi="Arial" w:cs="Arial"/>
          <w:sz w:val="22"/>
          <w:szCs w:val="22"/>
        </w:rPr>
      </w:pPr>
      <w:r w:rsidRPr="00670C50">
        <w:rPr>
          <w:rStyle w:val="Refdenotaderodap"/>
          <w:rFonts w:ascii="Arial" w:hAnsi="Arial" w:cs="Arial"/>
          <w:sz w:val="22"/>
          <w:szCs w:val="22"/>
        </w:rPr>
        <w:footnoteRef/>
      </w:r>
      <w:r w:rsidRPr="00670C50">
        <w:rPr>
          <w:rFonts w:ascii="Arial" w:hAnsi="Arial" w:cs="Arial"/>
          <w:sz w:val="22"/>
          <w:szCs w:val="22"/>
        </w:rPr>
        <w:t xml:space="preserve"> </w:t>
      </w:r>
      <w:r w:rsidR="00674E13">
        <w:rPr>
          <w:rFonts w:ascii="Arial" w:hAnsi="Arial" w:cs="Arial"/>
          <w:sz w:val="22"/>
          <w:szCs w:val="22"/>
        </w:rPr>
        <w:tab/>
        <w:t>Constituição Federal:</w:t>
      </w:r>
    </w:p>
    <w:p w14:paraId="1587B87C" w14:textId="77777777" w:rsidR="007D26C8" w:rsidRPr="00670C50" w:rsidRDefault="00674E13" w:rsidP="00674E13">
      <w:pPr>
        <w:pStyle w:val="Textodenotaderodap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7D26C8" w:rsidRPr="00670C50">
        <w:rPr>
          <w:rFonts w:ascii="Arial" w:hAnsi="Arial" w:cs="Arial"/>
          <w:sz w:val="22"/>
          <w:szCs w:val="22"/>
        </w:rPr>
        <w:t>Art. 5º (...)</w:t>
      </w:r>
    </w:p>
    <w:p w14:paraId="12BD1BA8" w14:textId="77777777" w:rsidR="007D26C8" w:rsidRPr="00670C50" w:rsidRDefault="007D26C8" w:rsidP="00674E13">
      <w:pPr>
        <w:pStyle w:val="Textodenotaderodap"/>
        <w:ind w:left="142"/>
        <w:jc w:val="both"/>
        <w:rPr>
          <w:rFonts w:ascii="Arial" w:hAnsi="Arial" w:cs="Arial"/>
          <w:sz w:val="22"/>
          <w:szCs w:val="22"/>
        </w:rPr>
      </w:pP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LXXVIII 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>a todos, no âmbito judicial e administrativo, são assegurados a razoável duração do processo e os meios que garantam a celeridade de sua tramitação.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E7D8" w14:textId="77777777" w:rsidR="00B663BE" w:rsidRPr="006533E9" w:rsidRDefault="00000000" w:rsidP="00B663BE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7F4C5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B663BE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4AB2EC5" w14:textId="77777777" w:rsidR="00B663BE" w:rsidRDefault="00B663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880"/>
    <w:multiLevelType w:val="hybridMultilevel"/>
    <w:tmpl w:val="12FCD5D8"/>
    <w:lvl w:ilvl="0" w:tplc="3F36616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0402B"/>
    <w:multiLevelType w:val="hybridMultilevel"/>
    <w:tmpl w:val="D870F310"/>
    <w:lvl w:ilvl="0" w:tplc="743A3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29306">
    <w:abstractNumId w:val="1"/>
  </w:num>
  <w:num w:numId="2" w16cid:durableId="12708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0FB"/>
    <w:rsid w:val="00007649"/>
    <w:rsid w:val="0006097B"/>
    <w:rsid w:val="00095B2E"/>
    <w:rsid w:val="000B5FB0"/>
    <w:rsid w:val="000B6B77"/>
    <w:rsid w:val="000D4D8E"/>
    <w:rsid w:val="000D50A4"/>
    <w:rsid w:val="000F0F39"/>
    <w:rsid w:val="00171E66"/>
    <w:rsid w:val="00172034"/>
    <w:rsid w:val="001808BC"/>
    <w:rsid w:val="001B29DF"/>
    <w:rsid w:val="001C4DF6"/>
    <w:rsid w:val="001F1C32"/>
    <w:rsid w:val="00216F31"/>
    <w:rsid w:val="00226A3C"/>
    <w:rsid w:val="002448E0"/>
    <w:rsid w:val="002500C1"/>
    <w:rsid w:val="00284B22"/>
    <w:rsid w:val="002B74FE"/>
    <w:rsid w:val="002C2952"/>
    <w:rsid w:val="002F116C"/>
    <w:rsid w:val="003002BA"/>
    <w:rsid w:val="0032642B"/>
    <w:rsid w:val="00347261"/>
    <w:rsid w:val="0035469A"/>
    <w:rsid w:val="003559D1"/>
    <w:rsid w:val="003618EB"/>
    <w:rsid w:val="003671E9"/>
    <w:rsid w:val="0037008F"/>
    <w:rsid w:val="003900DF"/>
    <w:rsid w:val="003B0E80"/>
    <w:rsid w:val="00412ED4"/>
    <w:rsid w:val="004179FB"/>
    <w:rsid w:val="004227EA"/>
    <w:rsid w:val="004639BF"/>
    <w:rsid w:val="004750FB"/>
    <w:rsid w:val="00477CDC"/>
    <w:rsid w:val="00477DD0"/>
    <w:rsid w:val="004B3D47"/>
    <w:rsid w:val="004B4D06"/>
    <w:rsid w:val="004C2FFB"/>
    <w:rsid w:val="004D5B07"/>
    <w:rsid w:val="004E0CB8"/>
    <w:rsid w:val="0050447A"/>
    <w:rsid w:val="00510A97"/>
    <w:rsid w:val="00533294"/>
    <w:rsid w:val="00555C48"/>
    <w:rsid w:val="00564DB3"/>
    <w:rsid w:val="00572F98"/>
    <w:rsid w:val="005929B8"/>
    <w:rsid w:val="005D4371"/>
    <w:rsid w:val="005E747A"/>
    <w:rsid w:val="005F6944"/>
    <w:rsid w:val="00600500"/>
    <w:rsid w:val="006047CA"/>
    <w:rsid w:val="00614EB2"/>
    <w:rsid w:val="0066249B"/>
    <w:rsid w:val="00670358"/>
    <w:rsid w:val="00670C50"/>
    <w:rsid w:val="00674E13"/>
    <w:rsid w:val="00682748"/>
    <w:rsid w:val="0068283A"/>
    <w:rsid w:val="006A0D10"/>
    <w:rsid w:val="006A6547"/>
    <w:rsid w:val="006C387E"/>
    <w:rsid w:val="006D5DF6"/>
    <w:rsid w:val="006D76A7"/>
    <w:rsid w:val="00702784"/>
    <w:rsid w:val="00706FBE"/>
    <w:rsid w:val="00724F46"/>
    <w:rsid w:val="007544F4"/>
    <w:rsid w:val="007561D8"/>
    <w:rsid w:val="007947DC"/>
    <w:rsid w:val="0079643F"/>
    <w:rsid w:val="00797AF7"/>
    <w:rsid w:val="007A6AB1"/>
    <w:rsid w:val="007C1E6F"/>
    <w:rsid w:val="007D09C7"/>
    <w:rsid w:val="007D205D"/>
    <w:rsid w:val="007D26C8"/>
    <w:rsid w:val="00816C73"/>
    <w:rsid w:val="0084001A"/>
    <w:rsid w:val="008465B9"/>
    <w:rsid w:val="008826FF"/>
    <w:rsid w:val="00884717"/>
    <w:rsid w:val="008C77A9"/>
    <w:rsid w:val="008E0E83"/>
    <w:rsid w:val="008F7040"/>
    <w:rsid w:val="00900007"/>
    <w:rsid w:val="00932BAA"/>
    <w:rsid w:val="00936C91"/>
    <w:rsid w:val="00970EFC"/>
    <w:rsid w:val="0097457C"/>
    <w:rsid w:val="0098088B"/>
    <w:rsid w:val="009820F5"/>
    <w:rsid w:val="009861A9"/>
    <w:rsid w:val="00996ED0"/>
    <w:rsid w:val="009A591B"/>
    <w:rsid w:val="009F1864"/>
    <w:rsid w:val="009F1D95"/>
    <w:rsid w:val="00A13CEC"/>
    <w:rsid w:val="00A25D65"/>
    <w:rsid w:val="00A30189"/>
    <w:rsid w:val="00A41D29"/>
    <w:rsid w:val="00A55C27"/>
    <w:rsid w:val="00A83B10"/>
    <w:rsid w:val="00A9740E"/>
    <w:rsid w:val="00AA3B2F"/>
    <w:rsid w:val="00AB1AED"/>
    <w:rsid w:val="00AC593B"/>
    <w:rsid w:val="00AD008F"/>
    <w:rsid w:val="00AE7F8D"/>
    <w:rsid w:val="00B47A92"/>
    <w:rsid w:val="00B512DE"/>
    <w:rsid w:val="00B663BE"/>
    <w:rsid w:val="00B9128B"/>
    <w:rsid w:val="00BC059A"/>
    <w:rsid w:val="00BC0844"/>
    <w:rsid w:val="00BC61E4"/>
    <w:rsid w:val="00C264EC"/>
    <w:rsid w:val="00C4258C"/>
    <w:rsid w:val="00C55BD7"/>
    <w:rsid w:val="00C64A5A"/>
    <w:rsid w:val="00C8180F"/>
    <w:rsid w:val="00C933A8"/>
    <w:rsid w:val="00CF68F3"/>
    <w:rsid w:val="00CF7B6C"/>
    <w:rsid w:val="00D02500"/>
    <w:rsid w:val="00D02624"/>
    <w:rsid w:val="00D25905"/>
    <w:rsid w:val="00D34C3C"/>
    <w:rsid w:val="00D42337"/>
    <w:rsid w:val="00D629BE"/>
    <w:rsid w:val="00D814F1"/>
    <w:rsid w:val="00D87005"/>
    <w:rsid w:val="00DC321D"/>
    <w:rsid w:val="00DC5215"/>
    <w:rsid w:val="00DE26E4"/>
    <w:rsid w:val="00E1566A"/>
    <w:rsid w:val="00E45EBF"/>
    <w:rsid w:val="00E52CCF"/>
    <w:rsid w:val="00E56A97"/>
    <w:rsid w:val="00E626F0"/>
    <w:rsid w:val="00E70392"/>
    <w:rsid w:val="00E84E5B"/>
    <w:rsid w:val="00E9655A"/>
    <w:rsid w:val="00EA286A"/>
    <w:rsid w:val="00EC0775"/>
    <w:rsid w:val="00EC49C9"/>
    <w:rsid w:val="00ED296E"/>
    <w:rsid w:val="00F0404C"/>
    <w:rsid w:val="00F206CC"/>
    <w:rsid w:val="00F30EC8"/>
    <w:rsid w:val="00F334B8"/>
    <w:rsid w:val="00F47C46"/>
    <w:rsid w:val="00F7545B"/>
    <w:rsid w:val="00FC4910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310A"/>
  <w15:chartTrackingRefBased/>
  <w15:docId w15:val="{6A9741BE-18A9-4BA6-AAC3-197DA77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847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84717"/>
    <w:rPr>
      <w:sz w:val="20"/>
      <w:szCs w:val="20"/>
    </w:rPr>
  </w:style>
  <w:style w:type="character" w:styleId="Refdenotaderodap">
    <w:name w:val="footnote reference"/>
    <w:unhideWhenUsed/>
    <w:rsid w:val="00884717"/>
    <w:rPr>
      <w:vertAlign w:val="superscript"/>
    </w:rPr>
  </w:style>
  <w:style w:type="paragraph" w:customStyle="1" w:styleId="Default">
    <w:name w:val="Default"/>
    <w:rsid w:val="007D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63B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63B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D26C8"/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26C8"/>
    <w:pPr>
      <w:ind w:left="720"/>
      <w:contextualSpacing/>
    </w:pPr>
    <w:rPr>
      <w:rFonts w:eastAsia="MS Mincho"/>
    </w:rPr>
  </w:style>
  <w:style w:type="paragraph" w:customStyle="1" w:styleId="Assina">
    <w:name w:val="Assina"/>
    <w:basedOn w:val="Normal"/>
    <w:rsid w:val="00D34C3C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unhideWhenUsed/>
    <w:rsid w:val="008465B9"/>
    <w:rPr>
      <w:rFonts w:ascii="Arial" w:hAnsi="Arial" w:cs="Arial" w:hint="default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81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62-de-14-de-dezembro-de-2017/309279/area/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nstrucao-normativa-n-71-de-16-de-agosto-de-2012/237402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9-de-24-de-maio-de-2012/237404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62-de-14-de-dezembro-de-2017/309279/area/10" TargetMode="External"/><Relationship Id="rId2" Type="http://schemas.openxmlformats.org/officeDocument/2006/relationships/hyperlink" Target="https://www1.tce.pr.gov.br/multimidia/2016/5/pdf/00295124.pdf" TargetMode="External"/><Relationship Id="rId1" Type="http://schemas.openxmlformats.org/officeDocument/2006/relationships/hyperlink" Target="https://www1.tce.pr.gov.br/multimidia/2016/5/pdf/00294113.pdf" TargetMode="External"/><Relationship Id="rId5" Type="http://schemas.openxmlformats.org/officeDocument/2006/relationships/hyperlink" Target="http://www1.tce.pr.gov.br/conteudo/instrucao-normativa-n-71-de-16-de-agosto-de-2012/237402/area/10" TargetMode="External"/><Relationship Id="rId4" Type="http://schemas.openxmlformats.org/officeDocument/2006/relationships/hyperlink" Target="http://www1.tce.pr.gov.br/conteudo/instrucao-normativa-n-69-de-24-de-maio-de-2012/23740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A0F6-1734-4A90-AE23-1FD0D37F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2050</Words>
  <Characters>11075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Robles de Andrade</dc:creator>
  <cp:keywords/>
  <cp:lastModifiedBy>Yarusya Fonseca</cp:lastModifiedBy>
  <cp:revision>9</cp:revision>
  <dcterms:created xsi:type="dcterms:W3CDTF">2022-06-23T20:15:00Z</dcterms:created>
  <dcterms:modified xsi:type="dcterms:W3CDTF">2022-07-13T00:44:00Z</dcterms:modified>
</cp:coreProperties>
</file>