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D8AA" w14:textId="15EC7A4F" w:rsidR="007858E7" w:rsidRPr="00AC0D10" w:rsidRDefault="007858E7" w:rsidP="007858E7">
      <w:pPr>
        <w:spacing w:before="240"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C0D10">
        <w:rPr>
          <w:rFonts w:ascii="Arial" w:hAnsi="Arial" w:cs="Arial"/>
          <w:b/>
          <w:sz w:val="28"/>
          <w:szCs w:val="28"/>
        </w:rPr>
        <w:t xml:space="preserve">INSTRUÇÃO NORMATIVA Nº </w:t>
      </w:r>
      <w:r>
        <w:rPr>
          <w:rFonts w:ascii="Arial" w:hAnsi="Arial" w:cs="Arial"/>
          <w:b/>
          <w:sz w:val="28"/>
          <w:szCs w:val="28"/>
        </w:rPr>
        <w:t>120</w:t>
      </w:r>
      <w:r w:rsidRPr="00AC0D10">
        <w:rPr>
          <w:rFonts w:ascii="Arial" w:hAnsi="Arial" w:cs="Arial"/>
          <w:b/>
          <w:sz w:val="28"/>
          <w:szCs w:val="28"/>
        </w:rPr>
        <w:t>/2016</w:t>
      </w:r>
      <w:r w:rsidR="00FC74AF">
        <w:rPr>
          <w:rStyle w:val="Refdenotaderodap"/>
          <w:rFonts w:ascii="Arial" w:hAnsi="Arial" w:cs="Arial"/>
          <w:b/>
          <w:sz w:val="28"/>
          <w:szCs w:val="28"/>
        </w:rPr>
        <w:footnoteReference w:id="2"/>
      </w:r>
    </w:p>
    <w:p w14:paraId="7F71BF61" w14:textId="77777777" w:rsidR="007858E7" w:rsidRDefault="007858E7" w:rsidP="007858E7">
      <w:pPr>
        <w:spacing w:before="360" w:after="360"/>
        <w:ind w:left="4536"/>
        <w:jc w:val="both"/>
        <w:rPr>
          <w:rFonts w:ascii="Arial" w:hAnsi="Arial" w:cs="Arial"/>
          <w:i/>
          <w:sz w:val="22"/>
          <w:szCs w:val="22"/>
        </w:rPr>
      </w:pPr>
      <w:r w:rsidRPr="00E5595E">
        <w:rPr>
          <w:rFonts w:ascii="Arial" w:hAnsi="Arial" w:cs="Arial"/>
          <w:i/>
          <w:sz w:val="22"/>
          <w:szCs w:val="22"/>
        </w:rPr>
        <w:t>Dispõe sobre envio de informações relativas aos Cargos/Empregos e Funções, às Verbas, aos Veículos de Publicação, à Folha de Pagamento e ao Histórico Funcional dos servidores estaduais e municipais.</w:t>
      </w:r>
    </w:p>
    <w:p w14:paraId="49C7F355" w14:textId="77777777" w:rsidR="007858E7" w:rsidRDefault="007858E7" w:rsidP="007858E7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D5C91">
        <w:rPr>
          <w:rFonts w:ascii="Arial" w:hAnsi="Arial" w:cs="Arial"/>
          <w:bCs/>
          <w:sz w:val="24"/>
          <w:szCs w:val="24"/>
        </w:rPr>
        <w:t xml:space="preserve">O </w:t>
      </w:r>
      <w:r w:rsidRPr="00AC0D10">
        <w:rPr>
          <w:rFonts w:ascii="Arial" w:hAnsi="Arial" w:cs="Arial"/>
          <w:b/>
          <w:sz w:val="24"/>
          <w:szCs w:val="24"/>
        </w:rPr>
        <w:t xml:space="preserve">TRIBUNAL DE CONTAS DO ESTADO DO PARANÁ, </w:t>
      </w:r>
      <w:r>
        <w:rPr>
          <w:rFonts w:ascii="Arial" w:hAnsi="Arial" w:cs="Arial"/>
          <w:sz w:val="24"/>
          <w:szCs w:val="24"/>
        </w:rPr>
        <w:t>no uso de suas</w:t>
      </w:r>
      <w:r w:rsidRPr="00356971">
        <w:rPr>
          <w:rFonts w:ascii="Arial" w:hAnsi="Arial" w:cs="Arial"/>
          <w:sz w:val="24"/>
          <w:szCs w:val="24"/>
        </w:rPr>
        <w:t xml:space="preserve"> atribuições</w:t>
      </w:r>
      <w:r>
        <w:rPr>
          <w:rFonts w:ascii="Arial" w:hAnsi="Arial" w:cs="Arial"/>
          <w:sz w:val="24"/>
          <w:szCs w:val="24"/>
        </w:rPr>
        <w:t xml:space="preserve"> </w:t>
      </w:r>
      <w:r w:rsidRPr="007457E2">
        <w:rPr>
          <w:rFonts w:ascii="Arial" w:hAnsi="Arial" w:cs="Arial"/>
          <w:sz w:val="24"/>
          <w:szCs w:val="24"/>
        </w:rPr>
        <w:t xml:space="preserve">previstas no art. 75 da Constituição Estadual, no art. 1º, XIII, da Lei Complementar nº 113/2005, e com fundamento nos </w:t>
      </w:r>
      <w:proofErr w:type="spellStart"/>
      <w:r w:rsidRPr="007457E2">
        <w:rPr>
          <w:rFonts w:ascii="Arial" w:hAnsi="Arial" w:cs="Arial"/>
          <w:sz w:val="24"/>
          <w:szCs w:val="24"/>
        </w:rPr>
        <w:t>arts</w:t>
      </w:r>
      <w:proofErr w:type="spellEnd"/>
      <w:r w:rsidRPr="007457E2">
        <w:rPr>
          <w:rFonts w:ascii="Arial" w:hAnsi="Arial" w:cs="Arial"/>
          <w:sz w:val="24"/>
          <w:szCs w:val="24"/>
        </w:rPr>
        <w:t>. 252, 257, 258, 273, IV, do Regimento Interno deste Tribunal</w:t>
      </w:r>
      <w:r>
        <w:rPr>
          <w:rFonts w:ascii="Arial" w:hAnsi="Arial" w:cs="Arial"/>
          <w:sz w:val="24"/>
          <w:szCs w:val="24"/>
        </w:rPr>
        <w:t>,</w:t>
      </w:r>
    </w:p>
    <w:p w14:paraId="1BFC8C69" w14:textId="77777777" w:rsidR="007858E7" w:rsidRPr="00356971" w:rsidRDefault="007858E7" w:rsidP="00817EA9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240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356971">
        <w:rPr>
          <w:rFonts w:ascii="Arial" w:hAnsi="Arial" w:cs="Arial"/>
          <w:b/>
          <w:bCs/>
          <w:sz w:val="24"/>
          <w:szCs w:val="24"/>
        </w:rPr>
        <w:t>RESOLVE</w:t>
      </w:r>
    </w:p>
    <w:p w14:paraId="1067841B" w14:textId="77777777" w:rsidR="007858E7" w:rsidRPr="007457E2" w:rsidRDefault="007858E7" w:rsidP="007858E7">
      <w:pPr>
        <w:keepNext/>
        <w:keepLines/>
        <w:autoSpaceDE/>
        <w:autoSpaceDN/>
        <w:spacing w:before="1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_Toc403751288"/>
      <w:bookmarkStart w:id="2" w:name="_Toc438203128"/>
      <w:r w:rsidRPr="007457E2">
        <w:rPr>
          <w:rFonts w:ascii="Arial" w:hAnsi="Arial" w:cs="Arial"/>
          <w:b/>
          <w:bCs/>
          <w:sz w:val="24"/>
          <w:szCs w:val="24"/>
        </w:rPr>
        <w:t>CAPÍTULO I</w:t>
      </w:r>
      <w:bookmarkEnd w:id="1"/>
      <w:bookmarkEnd w:id="2"/>
    </w:p>
    <w:p w14:paraId="6E43B861" w14:textId="77777777" w:rsidR="007858E7" w:rsidRPr="007457E2" w:rsidRDefault="007858E7" w:rsidP="007858E7">
      <w:pPr>
        <w:keepNext/>
        <w:keepLines/>
        <w:autoSpaceDE/>
        <w:autoSpaceDN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3" w:name="_Toc438203129"/>
      <w:r w:rsidRPr="007457E2">
        <w:rPr>
          <w:rFonts w:ascii="Arial" w:hAnsi="Arial" w:cs="Arial"/>
          <w:b/>
          <w:bCs/>
          <w:sz w:val="24"/>
          <w:szCs w:val="24"/>
        </w:rPr>
        <w:t>DAS DISPOSIÇÕES GERAIS</w:t>
      </w:r>
      <w:bookmarkEnd w:id="3"/>
    </w:p>
    <w:p w14:paraId="37054066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</w:t>
      </w:r>
      <w:r w:rsidRPr="007457E2">
        <w:rPr>
          <w:rFonts w:ascii="Arial" w:hAnsi="Arial" w:cs="Arial"/>
          <w:b/>
          <w:sz w:val="24"/>
          <w:szCs w:val="24"/>
        </w:rPr>
        <w:t xml:space="preserve"> </w:t>
      </w:r>
      <w:r w:rsidRPr="007457E2">
        <w:rPr>
          <w:rFonts w:ascii="Arial" w:hAnsi="Arial" w:cs="Arial"/>
          <w:sz w:val="24"/>
          <w:szCs w:val="24"/>
        </w:rPr>
        <w:t>As normas desta Instrução aplicam-se aos órgãos e entidades da Administração Pública Direta e Indireta municipal e estadual, incluídas as secretarias de Estado, as autarquias, fundações e sociedades instituídas e mantidas pelo Poder Público, os fundos especiais, os órgãos de regime especial, os serviços sociais autônomos, as empresas públicas e as sociedades de economia mista, os consórcios intermunicipais, o Poder Legislativo (estadual e municipais), o Tribunal de Contas, o Tribunal de Justiça e o Ministério Público estadual, além de outros entes que venham a ser entendidos como sujeitos à fiscalização deste Tribunal de Contas.</w:t>
      </w:r>
    </w:p>
    <w:p w14:paraId="5F8456E7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</w:t>
      </w:r>
      <w:r w:rsidRPr="007457E2">
        <w:rPr>
          <w:rFonts w:ascii="Arial" w:hAnsi="Arial" w:cs="Arial"/>
          <w:b/>
          <w:sz w:val="24"/>
          <w:szCs w:val="24"/>
        </w:rPr>
        <w:t xml:space="preserve"> </w:t>
      </w:r>
      <w:r w:rsidRPr="007457E2">
        <w:rPr>
          <w:rFonts w:ascii="Arial" w:hAnsi="Arial" w:cs="Arial"/>
          <w:sz w:val="24"/>
          <w:szCs w:val="24"/>
        </w:rPr>
        <w:t xml:space="preserve">Os entes e as entidades referidos no art. 1º deverão providenciar e manter atualizado o cadastro das informações atinentes aos seus Quadros de Cargos/Empregos e Funções, Verbas, Cadastro de Veículos de Publicação, Histórico Funcional e dados da Folha de Pagamento de seus servidores, conforme </w:t>
      </w:r>
      <w:r w:rsidRPr="007457E2">
        <w:rPr>
          <w:rFonts w:ascii="Arial" w:hAnsi="Arial" w:cs="Arial"/>
          <w:i/>
          <w:sz w:val="24"/>
          <w:szCs w:val="24"/>
        </w:rPr>
        <w:t xml:space="preserve">layout </w:t>
      </w:r>
      <w:r w:rsidRPr="007457E2">
        <w:rPr>
          <w:rFonts w:ascii="Arial" w:hAnsi="Arial" w:cs="Arial"/>
          <w:sz w:val="24"/>
          <w:szCs w:val="24"/>
        </w:rPr>
        <w:t>de dados (dicionário de dados) publicado pelo TCE/PR.</w:t>
      </w:r>
    </w:p>
    <w:p w14:paraId="7306D18D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t>§ 1º Os</w:t>
      </w:r>
      <w:r w:rsidRPr="007457E2">
        <w:rPr>
          <w:rFonts w:ascii="Arial" w:hAnsi="Arial" w:cs="Arial"/>
          <w:i/>
          <w:sz w:val="24"/>
          <w:szCs w:val="24"/>
        </w:rPr>
        <w:t xml:space="preserve"> layouts</w:t>
      </w:r>
      <w:r w:rsidRPr="007457E2">
        <w:rPr>
          <w:rFonts w:ascii="Arial" w:hAnsi="Arial" w:cs="Arial"/>
          <w:sz w:val="24"/>
          <w:szCs w:val="24"/>
        </w:rPr>
        <w:t xml:space="preserve"> de dados (dicionários de dados) e o manual do Sistema Integrado de Atos de Pessoal </w:t>
      </w:r>
      <w:r w:rsidRPr="007457E2">
        <w:rPr>
          <w:rFonts w:ascii="Arial" w:hAnsi="Arial" w:cs="Arial"/>
          <w:b/>
          <w:sz w:val="24"/>
          <w:szCs w:val="24"/>
        </w:rPr>
        <w:t xml:space="preserve">– </w:t>
      </w:r>
      <w:r w:rsidRPr="007457E2">
        <w:rPr>
          <w:rFonts w:ascii="Arial" w:hAnsi="Arial" w:cs="Arial"/>
          <w:sz w:val="24"/>
          <w:szCs w:val="24"/>
        </w:rPr>
        <w:t xml:space="preserve">SIAP poderão sofrer alterações, a critério do Tribunal de Contas do Estado do Paraná e, nessa hipótese, o novo </w:t>
      </w:r>
      <w:r w:rsidRPr="007457E2">
        <w:rPr>
          <w:rFonts w:ascii="Arial" w:hAnsi="Arial" w:cs="Arial"/>
          <w:i/>
          <w:sz w:val="24"/>
          <w:szCs w:val="24"/>
        </w:rPr>
        <w:t>layout</w:t>
      </w:r>
      <w:r w:rsidRPr="007457E2">
        <w:rPr>
          <w:rFonts w:ascii="Arial" w:hAnsi="Arial" w:cs="Arial"/>
          <w:sz w:val="24"/>
          <w:szCs w:val="24"/>
        </w:rPr>
        <w:t xml:space="preserve"> de dados (dicionário de dados) será publicado no endereço eletrônico do TCE/PR, sendo exigida a sua utilização depois de decorrido prazo razoável de </w:t>
      </w:r>
      <w:r w:rsidRPr="007457E2">
        <w:rPr>
          <w:rFonts w:ascii="Arial" w:hAnsi="Arial" w:cs="Arial"/>
          <w:sz w:val="24"/>
          <w:szCs w:val="24"/>
        </w:rPr>
        <w:lastRenderedPageBreak/>
        <w:t>sua publicação, conforme a complexidade da mudança realizada, excetuadas as modificações destinadas a facilitar ou esclarecer a utilização do SIAP, que poderão ser exigidas de imediato.</w:t>
      </w:r>
    </w:p>
    <w:p w14:paraId="67A2152B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t xml:space="preserve">§ 2º A remessa dos dados via importação só será aceita após prévia validação das informações, conforme </w:t>
      </w:r>
      <w:r w:rsidRPr="007457E2">
        <w:rPr>
          <w:rFonts w:ascii="Arial" w:hAnsi="Arial" w:cs="Arial"/>
          <w:i/>
          <w:sz w:val="24"/>
          <w:szCs w:val="24"/>
        </w:rPr>
        <w:t>layout</w:t>
      </w:r>
      <w:r w:rsidRPr="007457E2">
        <w:rPr>
          <w:rFonts w:ascii="Arial" w:hAnsi="Arial" w:cs="Arial"/>
          <w:sz w:val="24"/>
          <w:szCs w:val="24"/>
        </w:rPr>
        <w:t xml:space="preserve"> de dados (dicionário de dados).</w:t>
      </w:r>
    </w:p>
    <w:p w14:paraId="5012F1B4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t xml:space="preserve">§ 3º Os dados informados nos sistemas tratados por esta Instrução poderão ser consumidos em outros sistemas do TCE/PR. </w:t>
      </w:r>
    </w:p>
    <w:p w14:paraId="01CF737E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t>§ 4º Em caso de envio incorreto de dados, a alteração deverá ser realizada pelo próprio ente/entidade e os dados do responsável pelas alterações ficarão gravados no sistema, inclusive para fins de responsabilização.</w:t>
      </w:r>
    </w:p>
    <w:p w14:paraId="0E8E47DF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t>§ 5º As análises e fiscalizações realizadas pelo Tribunal de Contas indicarão a versão dos dados utilizados, caso tenha havido alteração e a informação seja relevante para a discussão.</w:t>
      </w:r>
    </w:p>
    <w:p w14:paraId="0367F81B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t xml:space="preserve">§ 6º Nas hipóteses em que o dicionário de dados (layout de dados) do Sistema Integrado de Atos de Pessoal – SIAP exigir informação acerca do fundamento jurídico, os dados da legislação correlata deverão ser previamente cadastrados no Sistema </w:t>
      </w:r>
      <w:proofErr w:type="spellStart"/>
      <w:r w:rsidRPr="007457E2">
        <w:rPr>
          <w:rFonts w:ascii="Arial" w:hAnsi="Arial" w:cs="Arial"/>
          <w:sz w:val="24"/>
          <w:szCs w:val="24"/>
        </w:rPr>
        <w:t>Atoteca</w:t>
      </w:r>
      <w:proofErr w:type="spellEnd"/>
      <w:r w:rsidRPr="007457E2">
        <w:rPr>
          <w:rFonts w:ascii="Arial" w:hAnsi="Arial" w:cs="Arial"/>
          <w:sz w:val="24"/>
          <w:szCs w:val="24"/>
        </w:rPr>
        <w:t xml:space="preserve"> do TCE.</w:t>
      </w:r>
    </w:p>
    <w:p w14:paraId="46A5CFDE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3º</w:t>
      </w:r>
      <w:r w:rsidRPr="007457E2">
        <w:rPr>
          <w:rFonts w:ascii="Arial" w:hAnsi="Arial" w:cs="Arial"/>
          <w:sz w:val="24"/>
          <w:szCs w:val="24"/>
        </w:rPr>
        <w:t xml:space="preserve"> Detectada a ausência de informação ou de atualização dos dados dos sistemas referidos no art. 2º, o gestor poderá ser responsabilizado, nos termos da Lei Complementar nº 113/05, estando também o ente/entidade sujeito às penalidades cabíveis, inclusive impedimento de emissão de certidão liberatória, nos termos do art. 289 e seguintes do Regimento Interno.</w:t>
      </w:r>
    </w:p>
    <w:p w14:paraId="622449FE" w14:textId="77777777" w:rsidR="007858E7" w:rsidRPr="007457E2" w:rsidRDefault="007858E7" w:rsidP="00BF394B">
      <w:pPr>
        <w:tabs>
          <w:tab w:val="left" w:pos="7797"/>
        </w:tabs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4º</w:t>
      </w:r>
      <w:r w:rsidRPr="007457E2">
        <w:rPr>
          <w:rFonts w:ascii="Arial" w:hAnsi="Arial" w:cs="Arial"/>
          <w:sz w:val="24"/>
          <w:szCs w:val="24"/>
        </w:rPr>
        <w:t xml:space="preserve"> As deficiências de controle interno recorrentes no órgão e as irregularidades e os indícios de inconformidades constatados nos dados informados poderão ser apontados pela unidade técnica, utilizando-se dos meios disponibilizados pelo Tribunal de Contas.</w:t>
      </w:r>
    </w:p>
    <w:p w14:paraId="25378704" w14:textId="77777777" w:rsidR="007858E7" w:rsidRPr="007457E2" w:rsidRDefault="007858E7" w:rsidP="00BF394B">
      <w:pPr>
        <w:spacing w:before="120"/>
        <w:ind w:right="49"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t>Parágrafo único. Caso sejam detectados irregularidades ou indícios de inconformidades, a unidade técnica poderá apurar as causas e solicitar a instauração de processo, a execução de procedimento de fiscalização, a realização de treinamento e capacitação na entidade jurisdicionada ou outras medidas cabíveis e disponibilizadas pelo Tribunal de Contas, conforme o caso.</w:t>
      </w:r>
    </w:p>
    <w:p w14:paraId="5CC426C3" w14:textId="77777777" w:rsidR="007858E7" w:rsidRPr="007457E2" w:rsidRDefault="007858E7" w:rsidP="00927B7C">
      <w:pPr>
        <w:keepNext/>
        <w:keepLines/>
        <w:autoSpaceDE/>
        <w:autoSpaceDN/>
        <w:spacing w:before="36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4" w:name="_Toc403751290"/>
      <w:bookmarkStart w:id="5" w:name="_Toc438203130"/>
      <w:r w:rsidRPr="007457E2">
        <w:rPr>
          <w:rFonts w:ascii="Arial" w:hAnsi="Arial" w:cs="Arial"/>
          <w:b/>
          <w:bCs/>
          <w:sz w:val="24"/>
          <w:szCs w:val="24"/>
        </w:rPr>
        <w:t>CAPÍTULO II</w:t>
      </w:r>
      <w:bookmarkEnd w:id="4"/>
      <w:bookmarkEnd w:id="5"/>
    </w:p>
    <w:p w14:paraId="6C0FFFD9" w14:textId="77777777" w:rsidR="007858E7" w:rsidRPr="007457E2" w:rsidRDefault="007858E7" w:rsidP="007858E7">
      <w:pPr>
        <w:keepNext/>
        <w:keepLines/>
        <w:autoSpaceDE/>
        <w:autoSpaceDN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6" w:name="_Toc437604637"/>
      <w:r w:rsidRPr="007457E2">
        <w:rPr>
          <w:rFonts w:ascii="Arial" w:hAnsi="Arial" w:cs="Arial"/>
          <w:b/>
          <w:bCs/>
          <w:sz w:val="24"/>
          <w:szCs w:val="24"/>
        </w:rPr>
        <w:t>DO QUADRO DE VERBAS E DO QUADRO DE CARGOS/EMPREGOS E FUNÇÕES</w:t>
      </w:r>
      <w:bookmarkEnd w:id="6"/>
    </w:p>
    <w:p w14:paraId="3CD70F15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b/>
          <w:sz w:val="24"/>
          <w:szCs w:val="24"/>
        </w:rPr>
        <w:t xml:space="preserve">Art. 5º </w:t>
      </w:r>
      <w:r w:rsidRPr="007457E2">
        <w:rPr>
          <w:rFonts w:ascii="Arial" w:hAnsi="Arial" w:cs="Arial"/>
          <w:sz w:val="24"/>
          <w:szCs w:val="24"/>
        </w:rPr>
        <w:t>As entidades relacionadas no artigo 1º desta instrução deverão encaminhar ao TCE/PR informações afetas ao Quadro de Verbas e ao Quadro de Cargos/Empregos e Funções de seus servidores em meio digital, via SIAP.</w:t>
      </w:r>
    </w:p>
    <w:p w14:paraId="216A7E29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t>§ 1º As informações relativas ao Quadro de Verbas e ao Quadro de Cargos/Empregos e Funções deverão ser mantidas sempre atualizadas, devendo ser informada a existência de todas as alterações legislativas supervenientes dos dados já cadastrados.</w:t>
      </w:r>
    </w:p>
    <w:p w14:paraId="0D76A318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lastRenderedPageBreak/>
        <w:t>§ 2º As informações relativas ao Quadro de Verbas e ao Quadro de Cargos/Empregos e Funções deverão ser enviadas ao Módulo correlato do SIAP até o dia 20 do mês posterior à publicação da lei ou do ato normativo gerador da obrigação de alimentação do sistema.</w:t>
      </w:r>
    </w:p>
    <w:p w14:paraId="1B5B8C0A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t>§ 3º Caso o dia 20 não seja dia útil, o prazo previsto no § 2º será prorrogado até o primeiro dia útil posterior.</w:t>
      </w:r>
    </w:p>
    <w:p w14:paraId="22181794" w14:textId="77777777" w:rsidR="007858E7" w:rsidRPr="007457E2" w:rsidRDefault="007858E7" w:rsidP="00BF394B">
      <w:pPr>
        <w:spacing w:before="120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14:paraId="114D483C" w14:textId="77777777" w:rsidR="007858E7" w:rsidRPr="007457E2" w:rsidRDefault="007858E7" w:rsidP="007858E7">
      <w:pPr>
        <w:keepNext/>
        <w:keepLines/>
        <w:autoSpaceDE/>
        <w:autoSpaceDN/>
        <w:spacing w:before="1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7" w:name="_Toc403751295"/>
      <w:bookmarkStart w:id="8" w:name="_Toc437604638"/>
      <w:r w:rsidRPr="007457E2">
        <w:rPr>
          <w:rFonts w:ascii="Arial" w:hAnsi="Arial" w:cs="Arial"/>
          <w:b/>
          <w:bCs/>
          <w:sz w:val="24"/>
          <w:szCs w:val="24"/>
        </w:rPr>
        <w:t xml:space="preserve">CAPÍTULO </w:t>
      </w:r>
      <w:bookmarkEnd w:id="7"/>
      <w:bookmarkEnd w:id="8"/>
      <w:r w:rsidRPr="007457E2">
        <w:rPr>
          <w:rFonts w:ascii="Arial" w:hAnsi="Arial" w:cs="Arial"/>
          <w:b/>
          <w:bCs/>
          <w:sz w:val="24"/>
          <w:szCs w:val="24"/>
        </w:rPr>
        <w:t>III</w:t>
      </w:r>
    </w:p>
    <w:p w14:paraId="5CD8D380" w14:textId="77777777" w:rsidR="007858E7" w:rsidRPr="007457E2" w:rsidRDefault="007858E7" w:rsidP="007858E7">
      <w:pPr>
        <w:keepNext/>
        <w:keepLines/>
        <w:autoSpaceDE/>
        <w:autoSpaceDN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9" w:name="_Toc403751296"/>
      <w:bookmarkStart w:id="10" w:name="_Toc437604639"/>
      <w:r w:rsidRPr="007457E2">
        <w:rPr>
          <w:rFonts w:ascii="Arial" w:hAnsi="Arial" w:cs="Arial"/>
          <w:b/>
          <w:bCs/>
          <w:sz w:val="24"/>
          <w:szCs w:val="24"/>
        </w:rPr>
        <w:t>DO HISTÓRICO FUNCIONAL DE SERVIDORES</w:t>
      </w:r>
      <w:bookmarkEnd w:id="9"/>
      <w:bookmarkEnd w:id="10"/>
    </w:p>
    <w:p w14:paraId="0536CE10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6º</w:t>
      </w:r>
      <w:r w:rsidRPr="007457E2">
        <w:rPr>
          <w:rFonts w:ascii="Arial" w:hAnsi="Arial" w:cs="Arial"/>
          <w:b/>
          <w:sz w:val="24"/>
          <w:szCs w:val="24"/>
        </w:rPr>
        <w:t xml:space="preserve"> </w:t>
      </w:r>
      <w:r w:rsidRPr="007457E2">
        <w:rPr>
          <w:rFonts w:ascii="Arial" w:hAnsi="Arial" w:cs="Arial"/>
          <w:sz w:val="24"/>
          <w:szCs w:val="24"/>
        </w:rPr>
        <w:t>As entidades relacionadas no artigo 1º desta instrução deverão encaminhar ao TCE/PR informações afetas ao histórico funcional de seus servidores em meio digital, via SIAP.</w:t>
      </w:r>
    </w:p>
    <w:p w14:paraId="228BF941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t>§ 1º Poderão ser cadastradas apenas as movimentações funcionais dos servidores ativos, inativos e pensionistas ocorridas após a obrigatoriedade de uso do SIAP – Histórico Funcional, sendo facultado o envio neste sistema das movimentações anteriores.</w:t>
      </w:r>
    </w:p>
    <w:p w14:paraId="6EE60A5A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t>§ 2º As informações relativas ao Histórico de Servidores deverão ser mantidas sempre atualizadas, devendo ser informada a existência de todas as movimentações funcionais supervenientes aos dados já cadastrados.</w:t>
      </w:r>
    </w:p>
    <w:p w14:paraId="0A281370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t>§ 3º As informações relativas ao Histórico de Servidores deverão ser enviadas ao Módulo correlato do SIAP até o dia 20 do mês posterior à movimentação geradora da obrigação de alimentação do sistema ou, caso a movimentação seja formalizada mediante ato administrativo, até o dia 20 do mês posterior à publicação do ato.</w:t>
      </w:r>
    </w:p>
    <w:p w14:paraId="3E7E632A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t>§ 4º Caso o dia 20 não seja dia útil, os prazos previstos no § 3º serão prorrogados até o primeiro dia útil posterior.</w:t>
      </w:r>
    </w:p>
    <w:p w14:paraId="11AF13EF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049C6ADB" w14:textId="77777777" w:rsidR="007858E7" w:rsidRPr="007457E2" w:rsidRDefault="007858E7" w:rsidP="007858E7">
      <w:pPr>
        <w:keepNext/>
        <w:keepLines/>
        <w:autoSpaceDE/>
        <w:autoSpaceDN/>
        <w:spacing w:before="1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1" w:name="_Toc437604640"/>
      <w:r w:rsidRPr="007457E2">
        <w:rPr>
          <w:rFonts w:ascii="Arial" w:hAnsi="Arial" w:cs="Arial"/>
          <w:b/>
          <w:bCs/>
          <w:sz w:val="24"/>
          <w:szCs w:val="24"/>
        </w:rPr>
        <w:t xml:space="preserve">CAPÍTULO </w:t>
      </w:r>
      <w:bookmarkEnd w:id="11"/>
      <w:r w:rsidRPr="007457E2">
        <w:rPr>
          <w:rFonts w:ascii="Arial" w:hAnsi="Arial" w:cs="Arial"/>
          <w:b/>
          <w:bCs/>
          <w:sz w:val="24"/>
          <w:szCs w:val="24"/>
        </w:rPr>
        <w:t>IV</w:t>
      </w:r>
    </w:p>
    <w:p w14:paraId="7FBBFB6B" w14:textId="77777777" w:rsidR="007858E7" w:rsidRPr="007457E2" w:rsidRDefault="007858E7" w:rsidP="007858E7">
      <w:pPr>
        <w:keepNext/>
        <w:keepLines/>
        <w:autoSpaceDE/>
        <w:autoSpaceDN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2" w:name="_Toc437604641"/>
      <w:r w:rsidRPr="007457E2">
        <w:rPr>
          <w:rFonts w:ascii="Arial" w:hAnsi="Arial" w:cs="Arial"/>
          <w:b/>
          <w:bCs/>
          <w:sz w:val="24"/>
          <w:szCs w:val="24"/>
        </w:rPr>
        <w:t>DA FOLHA DE PAGAMENTO DOS SERVIDORES</w:t>
      </w:r>
      <w:bookmarkEnd w:id="12"/>
    </w:p>
    <w:p w14:paraId="69A929FC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7º</w:t>
      </w:r>
      <w:r w:rsidRPr="007457E2">
        <w:rPr>
          <w:rFonts w:ascii="Arial" w:hAnsi="Arial" w:cs="Arial"/>
          <w:b/>
          <w:sz w:val="24"/>
          <w:szCs w:val="24"/>
        </w:rPr>
        <w:t xml:space="preserve"> </w:t>
      </w:r>
      <w:r w:rsidRPr="007457E2">
        <w:rPr>
          <w:rFonts w:ascii="Arial" w:hAnsi="Arial" w:cs="Arial"/>
          <w:sz w:val="24"/>
          <w:szCs w:val="24"/>
        </w:rPr>
        <w:t xml:space="preserve">As entidades relacionadas no artigo 1º desta instrução deverão encaminhar ao TCE/PR, até o dia 20 de cada mês, informações afetas à folha de pagamento de seus servidores e aos demais pagamentos realizados via Folha de Pagamento relativas ao mês anterior ao do envio, em meio digital, via SIAP, conforme </w:t>
      </w:r>
      <w:r w:rsidRPr="007457E2">
        <w:rPr>
          <w:rFonts w:ascii="Arial" w:hAnsi="Arial" w:cs="Arial"/>
          <w:i/>
          <w:sz w:val="24"/>
          <w:szCs w:val="24"/>
        </w:rPr>
        <w:t xml:space="preserve">layout </w:t>
      </w:r>
      <w:r w:rsidRPr="007457E2">
        <w:rPr>
          <w:rFonts w:ascii="Arial" w:hAnsi="Arial" w:cs="Arial"/>
          <w:sz w:val="24"/>
          <w:szCs w:val="24"/>
        </w:rPr>
        <w:t>disponibilizado.</w:t>
      </w:r>
    </w:p>
    <w:p w14:paraId="19BC9AF7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t xml:space="preserve">Parágrafo único. Caso o dia 20 não seja dia útil, o prazo previsto no </w:t>
      </w:r>
      <w:r w:rsidRPr="007457E2">
        <w:rPr>
          <w:rFonts w:ascii="Arial" w:hAnsi="Arial" w:cs="Arial"/>
          <w:i/>
          <w:sz w:val="24"/>
          <w:szCs w:val="24"/>
        </w:rPr>
        <w:t xml:space="preserve">caput </w:t>
      </w:r>
      <w:r w:rsidRPr="007457E2">
        <w:rPr>
          <w:rFonts w:ascii="Arial" w:hAnsi="Arial" w:cs="Arial"/>
          <w:sz w:val="24"/>
          <w:szCs w:val="24"/>
        </w:rPr>
        <w:t>será prorrogado até o primeiro dia útil posterior.</w:t>
      </w:r>
    </w:p>
    <w:p w14:paraId="7391B737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b/>
          <w:sz w:val="24"/>
          <w:szCs w:val="24"/>
        </w:rPr>
        <w:t xml:space="preserve">Art. 8º </w:t>
      </w:r>
      <w:r w:rsidRPr="007457E2">
        <w:rPr>
          <w:rFonts w:ascii="Arial" w:hAnsi="Arial" w:cs="Arial"/>
          <w:sz w:val="24"/>
          <w:szCs w:val="24"/>
        </w:rPr>
        <w:t>A correção de informações prestadas em meses anteriores deverá ser feita pelo próprio ente ou entidade, mediante novo envio de informações.</w:t>
      </w:r>
    </w:p>
    <w:p w14:paraId="382EAFBE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lastRenderedPageBreak/>
        <w:t xml:space="preserve">§ 1º Os dados alterados não ficarão gravados no sistema do Tribunal caso a alteração tenha sido realizada até o fim do prazo previsto no </w:t>
      </w:r>
      <w:r w:rsidRPr="007457E2">
        <w:rPr>
          <w:rFonts w:ascii="Arial" w:hAnsi="Arial" w:cs="Arial"/>
          <w:i/>
          <w:sz w:val="24"/>
          <w:szCs w:val="24"/>
        </w:rPr>
        <w:t>caput</w:t>
      </w:r>
      <w:r w:rsidRPr="007457E2">
        <w:rPr>
          <w:rFonts w:ascii="Arial" w:hAnsi="Arial" w:cs="Arial"/>
          <w:sz w:val="24"/>
          <w:szCs w:val="24"/>
        </w:rPr>
        <w:t xml:space="preserve"> do art. 7º.</w:t>
      </w:r>
    </w:p>
    <w:p w14:paraId="7218E21D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t xml:space="preserve">§ 2º Caso a alteração tenha sido realizada após o fim do prazo previsto no </w:t>
      </w:r>
      <w:r w:rsidRPr="007457E2">
        <w:rPr>
          <w:rFonts w:ascii="Arial" w:hAnsi="Arial" w:cs="Arial"/>
          <w:i/>
          <w:sz w:val="24"/>
          <w:szCs w:val="24"/>
        </w:rPr>
        <w:t>caput</w:t>
      </w:r>
      <w:r w:rsidRPr="007457E2">
        <w:rPr>
          <w:rFonts w:ascii="Arial" w:hAnsi="Arial" w:cs="Arial"/>
          <w:sz w:val="24"/>
          <w:szCs w:val="24"/>
        </w:rPr>
        <w:t xml:space="preserve"> do art. 7º, os dados alterados permanecerão no sistema do Tribunal para eventual consulta e análise.</w:t>
      </w:r>
    </w:p>
    <w:p w14:paraId="3FA7676C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9º</w:t>
      </w:r>
      <w:r w:rsidRPr="007457E2">
        <w:rPr>
          <w:rFonts w:ascii="Arial" w:hAnsi="Arial" w:cs="Arial"/>
          <w:b/>
          <w:sz w:val="24"/>
          <w:szCs w:val="24"/>
        </w:rPr>
        <w:t xml:space="preserve"> </w:t>
      </w:r>
      <w:r w:rsidRPr="007457E2">
        <w:rPr>
          <w:rFonts w:ascii="Arial" w:hAnsi="Arial" w:cs="Arial"/>
          <w:sz w:val="24"/>
          <w:szCs w:val="24"/>
        </w:rPr>
        <w:t xml:space="preserve">Além dos dados da Folha de Pagamento, o Módulo do SIAP – Folha de Pagamento também captará dados relativos à fixação e alteração normativa dos subsídios e remunerações dos agentes políticos e servidores, conforme </w:t>
      </w:r>
      <w:r w:rsidRPr="007457E2">
        <w:rPr>
          <w:rFonts w:ascii="Arial" w:hAnsi="Arial" w:cs="Arial"/>
          <w:i/>
          <w:sz w:val="24"/>
          <w:szCs w:val="24"/>
        </w:rPr>
        <w:t xml:space="preserve">layout </w:t>
      </w:r>
      <w:r w:rsidRPr="007457E2">
        <w:rPr>
          <w:rFonts w:ascii="Arial" w:hAnsi="Arial" w:cs="Arial"/>
          <w:sz w:val="24"/>
          <w:szCs w:val="24"/>
        </w:rPr>
        <w:t>de dados (dicionário de dados).</w:t>
      </w:r>
    </w:p>
    <w:p w14:paraId="143781DD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t>§ 1º As informações relativas aos dados normativos da Folha de Pagamento deverão ser mantidas sempre atualizadas, devendo ser informada a existência de todas as alterações legislativas supervenientes dos dados cadastrados.</w:t>
      </w:r>
    </w:p>
    <w:p w14:paraId="307DB6C8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t>§ 2º As informações relativas aos dados normativos da Folha de Pagamento deverão ser enviadas ao Módulo correlato do SIAP até o dia 20 do mês posterior à publicação da lei ou do ato normativo gerador da obrigação de alimentação do sistema, podendo ser exigida declaração de “nada consta” ou outras informações em determinados períodos pré-fixados pelo sistema.</w:t>
      </w:r>
    </w:p>
    <w:p w14:paraId="61D9D2AC" w14:textId="77777777" w:rsidR="007858E7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t>§ 3º Caso o dia 20 não seja dia útil, o prazo previsto no § 2º será prorrogado até o primeiro dia útil posterior.</w:t>
      </w:r>
    </w:p>
    <w:p w14:paraId="75524B72" w14:textId="77777777" w:rsidR="00927B7C" w:rsidRPr="007457E2" w:rsidRDefault="00927B7C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08C8831C" w14:textId="77777777" w:rsidR="007858E7" w:rsidRPr="007457E2" w:rsidRDefault="007858E7" w:rsidP="007858E7">
      <w:pPr>
        <w:keepNext/>
        <w:keepLines/>
        <w:autoSpaceDE/>
        <w:autoSpaceDN/>
        <w:spacing w:before="1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3" w:name="_Toc438203138"/>
      <w:r w:rsidRPr="007457E2">
        <w:rPr>
          <w:rFonts w:ascii="Arial" w:hAnsi="Arial" w:cs="Arial"/>
          <w:b/>
          <w:bCs/>
          <w:sz w:val="24"/>
          <w:szCs w:val="24"/>
        </w:rPr>
        <w:t>CAPÍTULO V</w:t>
      </w:r>
      <w:bookmarkEnd w:id="13"/>
    </w:p>
    <w:p w14:paraId="0F5A7575" w14:textId="77777777" w:rsidR="007858E7" w:rsidRPr="007457E2" w:rsidRDefault="007858E7" w:rsidP="007858E7">
      <w:pPr>
        <w:keepNext/>
        <w:keepLines/>
        <w:autoSpaceDE/>
        <w:autoSpaceDN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4" w:name="_Toc403751300"/>
      <w:bookmarkStart w:id="15" w:name="_Toc438203139"/>
      <w:r w:rsidRPr="007457E2">
        <w:rPr>
          <w:rFonts w:ascii="Arial" w:hAnsi="Arial" w:cs="Arial"/>
          <w:b/>
          <w:bCs/>
          <w:sz w:val="24"/>
          <w:szCs w:val="24"/>
        </w:rPr>
        <w:t>DAS DISPOSIÇÕES FINAIS E TRANSITÓRIAS</w:t>
      </w:r>
      <w:bookmarkEnd w:id="14"/>
      <w:bookmarkEnd w:id="15"/>
    </w:p>
    <w:p w14:paraId="1C58CA65" w14:textId="77777777" w:rsidR="007858E7" w:rsidRPr="007457E2" w:rsidRDefault="007858E7" w:rsidP="00BF394B">
      <w:pPr>
        <w:spacing w:before="120"/>
        <w:ind w:firstLine="113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57E2">
        <w:rPr>
          <w:rFonts w:ascii="Arial" w:hAnsi="Arial" w:cs="Arial"/>
          <w:b/>
          <w:sz w:val="24"/>
          <w:szCs w:val="24"/>
        </w:rPr>
        <w:t xml:space="preserve">Art. 10. </w:t>
      </w:r>
      <w:r w:rsidRPr="007457E2">
        <w:rPr>
          <w:rFonts w:ascii="Arial" w:eastAsia="Calibri" w:hAnsi="Arial" w:cs="Arial"/>
          <w:sz w:val="24"/>
          <w:szCs w:val="24"/>
          <w:lang w:eastAsia="en-US"/>
        </w:rPr>
        <w:t>Esta Instrução Normativa entra em vigor na data de sua publicação no Diário Eletrônico do Tribunal de Contas do Estado do Paraná, ficando revogadas as disposições em contrário.</w:t>
      </w:r>
    </w:p>
    <w:p w14:paraId="155943B6" w14:textId="20A4A573" w:rsidR="007858E7" w:rsidRPr="007457E2" w:rsidRDefault="007858E7" w:rsidP="00BF394B">
      <w:pPr>
        <w:spacing w:before="120"/>
        <w:ind w:firstLine="113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57E2">
        <w:rPr>
          <w:rFonts w:ascii="Arial" w:hAnsi="Arial" w:cs="Arial"/>
          <w:sz w:val="24"/>
          <w:szCs w:val="24"/>
        </w:rPr>
        <w:t xml:space="preserve">§ 1º </w:t>
      </w:r>
      <w:r w:rsidRPr="007457E2">
        <w:rPr>
          <w:rFonts w:ascii="Arial" w:eastAsia="Calibri" w:hAnsi="Arial" w:cs="Arial"/>
          <w:sz w:val="24"/>
          <w:szCs w:val="24"/>
          <w:lang w:eastAsia="en-US"/>
        </w:rPr>
        <w:t>As disposições relativas à obrigatoriedade de fechamento do SIM-AP previstas na Agenda de Obrigações Municipais do exercício de 2016 (</w:t>
      </w:r>
      <w:hyperlink r:id="rId8" w:history="1">
        <w:r w:rsidRPr="00020D36">
          <w:rPr>
            <w:rStyle w:val="Hyperlink"/>
            <w:rFonts w:ascii="Arial" w:eastAsia="Calibri" w:hAnsi="Arial" w:cs="Arial"/>
            <w:color w:val="0000FF"/>
            <w:sz w:val="24"/>
            <w:szCs w:val="24"/>
            <w:lang w:eastAsia="en-US"/>
          </w:rPr>
          <w:t>Instrução Normativa nº 115/2016</w:t>
        </w:r>
      </w:hyperlink>
      <w:r w:rsidRPr="007457E2">
        <w:rPr>
          <w:rFonts w:ascii="Arial" w:eastAsia="Calibri" w:hAnsi="Arial" w:cs="Arial"/>
          <w:sz w:val="24"/>
          <w:szCs w:val="24"/>
          <w:lang w:eastAsia="en-US"/>
        </w:rPr>
        <w:t>) serão interpretadas de acordo com as disposições transitórias da presente Instrução Normativa.</w:t>
      </w:r>
    </w:p>
    <w:p w14:paraId="1C874761" w14:textId="139E1AAC" w:rsidR="007858E7" w:rsidRPr="007457E2" w:rsidRDefault="007858E7" w:rsidP="00BF394B">
      <w:pPr>
        <w:spacing w:before="120"/>
        <w:ind w:firstLine="1134"/>
        <w:jc w:val="both"/>
        <w:rPr>
          <w:rFonts w:ascii="Arial" w:eastAsia="MingLiU-ExtB" w:hAnsi="Arial" w:cs="Arial"/>
          <w:bCs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t xml:space="preserve">§ 2º Interpretam-se os artigos 1º e 2º da </w:t>
      </w:r>
      <w:hyperlink r:id="rId9" w:history="1">
        <w:r w:rsidRPr="00DE4B43">
          <w:rPr>
            <w:rStyle w:val="Hyperlink"/>
            <w:rFonts w:ascii="Arial" w:hAnsi="Arial" w:cs="Arial"/>
            <w:color w:val="0000FF"/>
            <w:sz w:val="24"/>
            <w:szCs w:val="24"/>
          </w:rPr>
          <w:t>Instrução Normativa nº 72/12</w:t>
        </w:r>
      </w:hyperlink>
      <w:r w:rsidRPr="00DE4B43">
        <w:rPr>
          <w:rFonts w:ascii="Arial" w:hAnsi="Arial" w:cs="Arial"/>
          <w:color w:val="0000FF"/>
          <w:sz w:val="24"/>
          <w:szCs w:val="24"/>
        </w:rPr>
        <w:t xml:space="preserve"> </w:t>
      </w:r>
      <w:r w:rsidRPr="007457E2">
        <w:rPr>
          <w:rFonts w:ascii="Arial" w:hAnsi="Arial" w:cs="Arial"/>
          <w:sz w:val="24"/>
          <w:szCs w:val="24"/>
        </w:rPr>
        <w:t xml:space="preserve">de acordo com o </w:t>
      </w:r>
      <w:r w:rsidRPr="007457E2">
        <w:rPr>
          <w:rFonts w:ascii="Arial" w:hAnsi="Arial" w:cs="Arial"/>
          <w:i/>
          <w:sz w:val="24"/>
          <w:szCs w:val="24"/>
        </w:rPr>
        <w:t>layout</w:t>
      </w:r>
      <w:r w:rsidRPr="007457E2">
        <w:rPr>
          <w:rFonts w:ascii="Arial" w:hAnsi="Arial" w:cs="Arial"/>
          <w:sz w:val="24"/>
          <w:szCs w:val="24"/>
        </w:rPr>
        <w:t xml:space="preserve"> do SIAP – Folha de Pagamento e demais termos desta Instrução.</w:t>
      </w:r>
    </w:p>
    <w:p w14:paraId="0CCA18CD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7457E2">
        <w:rPr>
          <w:rFonts w:ascii="Arial" w:hAnsi="Arial" w:cs="Arial"/>
          <w:b/>
          <w:sz w:val="24"/>
          <w:szCs w:val="24"/>
        </w:rPr>
        <w:t xml:space="preserve">Art. 11. </w:t>
      </w:r>
      <w:r w:rsidRPr="007457E2">
        <w:rPr>
          <w:rFonts w:ascii="Arial" w:hAnsi="Arial" w:cs="Arial"/>
          <w:bCs/>
          <w:sz w:val="24"/>
          <w:szCs w:val="24"/>
        </w:rPr>
        <w:t>Após a disponibilização final do SIAP – Histórico de Servidores e do SIAP – Folha de Pagamento, o uso dos novos sistemas será facultado a todos os entes, órgãos e entidades.</w:t>
      </w:r>
    </w:p>
    <w:p w14:paraId="40262BAB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t xml:space="preserve">§ 1º O uso do </w:t>
      </w:r>
      <w:r w:rsidRPr="007457E2">
        <w:rPr>
          <w:rFonts w:ascii="Arial" w:hAnsi="Arial" w:cs="Arial"/>
          <w:bCs/>
          <w:sz w:val="24"/>
          <w:szCs w:val="24"/>
        </w:rPr>
        <w:t xml:space="preserve">SIAP – Histórico de Servidores e do SIAP – Folha de Pagamento </w:t>
      </w:r>
      <w:r w:rsidRPr="007457E2">
        <w:rPr>
          <w:rFonts w:ascii="Arial" w:hAnsi="Arial" w:cs="Arial"/>
          <w:sz w:val="24"/>
          <w:szCs w:val="24"/>
        </w:rPr>
        <w:t xml:space="preserve">tornar-se-á obrigatório depois de decorridos 2 (dois) meses da </w:t>
      </w:r>
      <w:r w:rsidRPr="007457E2">
        <w:rPr>
          <w:rFonts w:ascii="Arial" w:hAnsi="Arial" w:cs="Arial"/>
          <w:bCs/>
          <w:sz w:val="24"/>
          <w:szCs w:val="24"/>
        </w:rPr>
        <w:t>disponibilização final do SIAP – Histórico de Servidores e do SIAP – Folha de Pagamento.</w:t>
      </w:r>
    </w:p>
    <w:p w14:paraId="136605A2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lastRenderedPageBreak/>
        <w:t xml:space="preserve">§ 2º Durante o período de uso facultativo do </w:t>
      </w:r>
      <w:r w:rsidRPr="007457E2">
        <w:rPr>
          <w:rFonts w:ascii="Arial" w:hAnsi="Arial" w:cs="Arial"/>
          <w:bCs/>
          <w:sz w:val="24"/>
          <w:szCs w:val="24"/>
        </w:rPr>
        <w:t>SIAP – Histórico de Servidores e do SIAP – Folha de Pagamento, as informações correlatas deverão continuar sendo enviadas ao SIM-AP e ao SIM-AM (Módulo de Folha de Pagamento), mesmo que o órgão ou a entidade já esteja enviando os dados via SIAP.</w:t>
      </w:r>
    </w:p>
    <w:p w14:paraId="4BF2C868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t xml:space="preserve">§ 3º A partir do mês em que a alimentação do </w:t>
      </w:r>
      <w:r w:rsidRPr="007457E2">
        <w:rPr>
          <w:rFonts w:ascii="Arial" w:hAnsi="Arial" w:cs="Arial"/>
          <w:bCs/>
          <w:sz w:val="24"/>
          <w:szCs w:val="24"/>
        </w:rPr>
        <w:t>SIAP - Folha de Pagamento se tornar obrigatória, os órgãos e as entidades estarão dispensados de enviar dados ao Módulo de Folha de Pagamento do SIM-AM.</w:t>
      </w:r>
    </w:p>
    <w:p w14:paraId="3BFF0C3B" w14:textId="77777777" w:rsidR="007858E7" w:rsidRPr="007457E2" w:rsidRDefault="007858E7" w:rsidP="00BF394B">
      <w:pPr>
        <w:spacing w:before="120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t xml:space="preserve">§ 4º A partir do mês em que a alimentação do </w:t>
      </w:r>
      <w:r w:rsidRPr="007457E2">
        <w:rPr>
          <w:rFonts w:ascii="Arial" w:hAnsi="Arial" w:cs="Arial"/>
          <w:bCs/>
          <w:sz w:val="24"/>
          <w:szCs w:val="24"/>
        </w:rPr>
        <w:t>SIAP – Histórico de Servidores e do SIAP – Folha de Pagamento se tornar obrigatória, os órgãos e as entidades estarão dispensados de enviar dados ao SIM-AP, observada a exigência de fechamento do último bimestre do SIM-AP caso haja mês não albergado pela obrigatoriedade de alimentação do SIAP.</w:t>
      </w:r>
    </w:p>
    <w:p w14:paraId="42851417" w14:textId="77777777" w:rsidR="007858E7" w:rsidRPr="00356971" w:rsidRDefault="007858E7" w:rsidP="00BF394B">
      <w:pPr>
        <w:tabs>
          <w:tab w:val="left" w:pos="2901"/>
        </w:tabs>
        <w:autoSpaceDE/>
        <w:autoSpaceDN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457E2">
        <w:rPr>
          <w:rFonts w:ascii="Arial" w:hAnsi="Arial" w:cs="Arial"/>
          <w:sz w:val="24"/>
          <w:szCs w:val="24"/>
        </w:rPr>
        <w:t>§ 5º Subsiste a obrigação de envio das informações afetas ao SIM-AP e ao Módulo de Folha de Pagamento do SIM-AM em relação às informações de períodos precedentes à obrigatoriedade de uso do Módulo de Histórico Funcional do SIAP e do Módulo de Folha de Pagamento do SIAP que não tenham sido enviados no prazo estabelecido pelas normativas próprias.</w:t>
      </w:r>
    </w:p>
    <w:p w14:paraId="435A4AE3" w14:textId="77777777" w:rsidR="007858E7" w:rsidRDefault="007858E7" w:rsidP="007858E7">
      <w:pPr>
        <w:spacing w:before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Curitiba, 13</w:t>
      </w:r>
      <w:r w:rsidRPr="0035697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356971">
        <w:rPr>
          <w:rFonts w:ascii="Arial" w:hAnsi="Arial" w:cs="Arial"/>
          <w:sz w:val="24"/>
          <w:szCs w:val="24"/>
        </w:rPr>
        <w:t xml:space="preserve"> de 2016.</w:t>
      </w:r>
    </w:p>
    <w:p w14:paraId="6B2B9F31" w14:textId="77777777" w:rsidR="00E5595E" w:rsidRPr="00356971" w:rsidRDefault="00E5595E" w:rsidP="00E5595E">
      <w:pPr>
        <w:spacing w:before="240"/>
        <w:jc w:val="center"/>
        <w:rPr>
          <w:rFonts w:ascii="Arial" w:hAnsi="Arial" w:cs="Arial"/>
          <w:sz w:val="24"/>
          <w:szCs w:val="24"/>
        </w:rPr>
      </w:pPr>
    </w:p>
    <w:p w14:paraId="79F7B06A" w14:textId="77777777" w:rsidR="007858E7" w:rsidRPr="00356971" w:rsidRDefault="007858E7" w:rsidP="007858E7">
      <w:pPr>
        <w:spacing w:before="480"/>
        <w:jc w:val="center"/>
        <w:rPr>
          <w:rFonts w:ascii="Arial" w:hAnsi="Arial" w:cs="Arial"/>
          <w:b/>
          <w:sz w:val="24"/>
          <w:szCs w:val="24"/>
        </w:rPr>
      </w:pPr>
      <w:r w:rsidRPr="00356971">
        <w:rPr>
          <w:rFonts w:ascii="Arial" w:hAnsi="Arial" w:cs="Arial"/>
          <w:b/>
          <w:sz w:val="24"/>
          <w:szCs w:val="24"/>
        </w:rPr>
        <w:t>IVAN LELIS BONILHA</w:t>
      </w:r>
    </w:p>
    <w:p w14:paraId="3FAD13FE" w14:textId="7691CAA6" w:rsidR="00F30365" w:rsidRPr="00AC0D10" w:rsidRDefault="007858E7" w:rsidP="00BF394B">
      <w:pPr>
        <w:jc w:val="center"/>
        <w:rPr>
          <w:rFonts w:ascii="Arial" w:hAnsi="Arial" w:cs="Arial"/>
          <w:sz w:val="24"/>
          <w:szCs w:val="24"/>
        </w:rPr>
      </w:pPr>
      <w:r w:rsidRPr="00356971">
        <w:rPr>
          <w:rFonts w:ascii="Arial" w:hAnsi="Arial" w:cs="Arial"/>
          <w:sz w:val="24"/>
          <w:szCs w:val="24"/>
        </w:rPr>
        <w:t>Presidente</w:t>
      </w:r>
    </w:p>
    <w:p w14:paraId="05A15240" w14:textId="77777777" w:rsidR="00E642A1" w:rsidRDefault="00E642A1"/>
    <w:p w14:paraId="430D26DA" w14:textId="77777777" w:rsidR="00642ABC" w:rsidRDefault="00642ABC"/>
    <w:p w14:paraId="6F8E3F42" w14:textId="77777777" w:rsidR="00642ABC" w:rsidRPr="00FE37C4" w:rsidRDefault="00642ABC">
      <w:pPr>
        <w:rPr>
          <w:color w:val="0000FF"/>
        </w:rPr>
      </w:pPr>
    </w:p>
    <w:sectPr w:rsidR="00642ABC" w:rsidRPr="00FE37C4" w:rsidSect="00441D87">
      <w:headerReference w:type="default" r:id="rId10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76238" w14:textId="77777777" w:rsidR="00ED1987" w:rsidRDefault="00ED1987" w:rsidP="0026219E">
      <w:r>
        <w:separator/>
      </w:r>
    </w:p>
  </w:endnote>
  <w:endnote w:type="continuationSeparator" w:id="0">
    <w:p w14:paraId="29DB03EF" w14:textId="77777777" w:rsidR="00ED1987" w:rsidRDefault="00ED1987" w:rsidP="0026219E">
      <w:r>
        <w:continuationSeparator/>
      </w:r>
    </w:p>
  </w:endnote>
  <w:endnote w:type="continuationNotice" w:id="1">
    <w:p w14:paraId="005EE6E2" w14:textId="77777777" w:rsidR="00ED1987" w:rsidRDefault="00ED1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31B4E" w14:textId="77777777" w:rsidR="00ED1987" w:rsidRDefault="00ED1987" w:rsidP="0026219E">
      <w:r>
        <w:separator/>
      </w:r>
    </w:p>
  </w:footnote>
  <w:footnote w:type="continuationSeparator" w:id="0">
    <w:p w14:paraId="65FECE72" w14:textId="77777777" w:rsidR="00ED1987" w:rsidRDefault="00ED1987" w:rsidP="0026219E">
      <w:r>
        <w:continuationSeparator/>
      </w:r>
    </w:p>
  </w:footnote>
  <w:footnote w:type="continuationNotice" w:id="1">
    <w:p w14:paraId="4CB87339" w14:textId="77777777" w:rsidR="00ED1987" w:rsidRDefault="00ED1987"/>
  </w:footnote>
  <w:footnote w:id="2">
    <w:p w14:paraId="4BD367AB" w14:textId="77777777" w:rsidR="00FC74AF" w:rsidRPr="00CD5547" w:rsidRDefault="00FC74AF" w:rsidP="00FC74AF">
      <w:pPr>
        <w:pStyle w:val="Textodenotaderodap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CD5547">
        <w:rPr>
          <w:rFonts w:ascii="Arial" w:hAnsi="Arial" w:cs="Arial"/>
          <w:b/>
        </w:rPr>
        <w:t>Notas da Biblioteca:</w:t>
      </w:r>
    </w:p>
    <w:bookmarkEnd w:id="0"/>
    <w:p w14:paraId="083CF260" w14:textId="4E4EABBB" w:rsidR="00FC74AF" w:rsidRPr="00CD5547" w:rsidRDefault="00FC74AF" w:rsidP="00FC74AF">
      <w:pPr>
        <w:pStyle w:val="Pargrafoda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CD5547">
        <w:rPr>
          <w:rFonts w:ascii="Arial" w:hAnsi="Arial" w:cs="Arial"/>
          <w:bCs/>
          <w:sz w:val="20"/>
          <w:szCs w:val="20"/>
        </w:rPr>
        <w:t xml:space="preserve">Este texto não substitui o publicado no periódico: </w:t>
      </w:r>
      <w:hyperlink r:id="rId1" w:history="1">
        <w:r w:rsidR="006956FD" w:rsidRPr="0090489A">
          <w:rPr>
            <w:rStyle w:val="Hyperlink"/>
            <w:rFonts w:ascii="Arial" w:hAnsi="Arial" w:cs="Arial"/>
            <w:b/>
            <w:bCs/>
            <w:color w:val="0000FF"/>
            <w:sz w:val="20"/>
            <w:szCs w:val="20"/>
          </w:rPr>
          <w:t>Diário Eletrônico do Tribunal de Contas do Estado do Paraná</w:t>
        </w:r>
        <w:r w:rsidR="006956FD" w:rsidRPr="00CD5547">
          <w:rPr>
            <w:rStyle w:val="Hyperlink"/>
            <w:rFonts w:ascii="Arial" w:hAnsi="Arial" w:cs="Arial"/>
            <w:color w:val="0000FF"/>
            <w:sz w:val="20"/>
            <w:szCs w:val="20"/>
          </w:rPr>
          <w:t>, Curitiba, PR, n. 1467, 21 out. 2016, p. 79-80</w:t>
        </w:r>
      </w:hyperlink>
      <w:r w:rsidR="006956FD" w:rsidRPr="00CD5547">
        <w:rPr>
          <w:rFonts w:ascii="Arial" w:hAnsi="Arial" w:cs="Arial"/>
          <w:color w:val="0000FF"/>
          <w:sz w:val="20"/>
          <w:szCs w:val="20"/>
        </w:rPr>
        <w:t>.</w:t>
      </w:r>
    </w:p>
    <w:p w14:paraId="73BC24BC" w14:textId="77777777" w:rsidR="00A44429" w:rsidRPr="00CD5547" w:rsidRDefault="00FC74AF" w:rsidP="00FC74AF">
      <w:pPr>
        <w:pStyle w:val="Textodenotaderodap"/>
        <w:numPr>
          <w:ilvl w:val="0"/>
          <w:numId w:val="1"/>
        </w:numPr>
        <w:autoSpaceDE/>
        <w:autoSpaceDN/>
        <w:ind w:left="426" w:hanging="284"/>
        <w:rPr>
          <w:rFonts w:ascii="Arial" w:hAnsi="Arial" w:cs="Arial"/>
          <w:b/>
          <w:bCs/>
        </w:rPr>
      </w:pPr>
      <w:r w:rsidRPr="00CD5547">
        <w:rPr>
          <w:rFonts w:ascii="Arial" w:hAnsi="Arial" w:cs="Arial"/>
        </w:rPr>
        <w:t xml:space="preserve">Origem: </w:t>
      </w:r>
      <w:r w:rsidR="00A44429" w:rsidRPr="00CD5547">
        <w:rPr>
          <w:rFonts w:ascii="Arial" w:hAnsi="Arial" w:cs="Arial"/>
        </w:rPr>
        <w:t xml:space="preserve">Processo n. 690710/16 – </w:t>
      </w:r>
      <w:hyperlink r:id="rId2" w:history="1">
        <w:r w:rsidR="00A44429" w:rsidRPr="00CD5547">
          <w:rPr>
            <w:rStyle w:val="Hyperlink"/>
            <w:rFonts w:ascii="Arial" w:hAnsi="Arial" w:cs="Arial"/>
            <w:color w:val="0000FF"/>
          </w:rPr>
          <w:t>Acórdão n. 4.878/2016 – Tribunal Pleno.</w:t>
        </w:r>
      </w:hyperlink>
      <w:r w:rsidR="00A44429" w:rsidRPr="00CD5547">
        <w:rPr>
          <w:rFonts w:ascii="Arial" w:hAnsi="Arial" w:cs="Arial"/>
          <w:color w:val="0000FF"/>
        </w:rPr>
        <w:t xml:space="preserve"> </w:t>
      </w:r>
    </w:p>
    <w:p w14:paraId="1F5BF8B4" w14:textId="77777777" w:rsidR="00FC74AF" w:rsidRPr="00C34F3D" w:rsidRDefault="00FC74AF" w:rsidP="00FC74AF">
      <w:pPr>
        <w:numPr>
          <w:ilvl w:val="0"/>
          <w:numId w:val="1"/>
        </w:numPr>
        <w:autoSpaceDE/>
        <w:autoSpaceDN/>
        <w:ind w:left="426" w:hanging="284"/>
        <w:rPr>
          <w:rFonts w:ascii="Arial" w:hAnsi="Arial" w:cs="Arial"/>
        </w:rPr>
      </w:pPr>
      <w:r w:rsidRPr="00CD5547">
        <w:rPr>
          <w:rFonts w:ascii="Arial" w:hAnsi="Arial" w:cs="Arial"/>
          <w:b/>
          <w:bCs/>
        </w:rPr>
        <w:t xml:space="preserve">Ver também: </w:t>
      </w:r>
    </w:p>
    <w:p w14:paraId="130DD5D2" w14:textId="2C4551CA" w:rsidR="0068634C" w:rsidRPr="00C34F3D" w:rsidRDefault="00000000" w:rsidP="00C34F3D">
      <w:pPr>
        <w:ind w:firstLine="426"/>
        <w:rPr>
          <w:rFonts w:ascii="Arial" w:hAnsi="Arial" w:cs="Arial"/>
          <w:color w:val="0000FF"/>
        </w:rPr>
      </w:pPr>
      <w:hyperlink r:id="rId3" w:history="1">
        <w:r w:rsidR="00C34F3D" w:rsidRPr="00C34F3D">
          <w:rPr>
            <w:rStyle w:val="Hyperlink"/>
            <w:rFonts w:ascii="Arial" w:hAnsi="Arial" w:cs="Arial"/>
            <w:color w:val="0000FF"/>
          </w:rPr>
          <w:t>Instrução Normativa n. 72, de 13 de setembro de 2012.</w:t>
        </w:r>
      </w:hyperlink>
    </w:p>
    <w:p w14:paraId="4C711519" w14:textId="5091B444" w:rsidR="00FC74AF" w:rsidRPr="00817EA9" w:rsidRDefault="00000000" w:rsidP="007671CE">
      <w:pPr>
        <w:ind w:firstLine="426"/>
        <w:rPr>
          <w:rFonts w:ascii="Arial" w:hAnsi="Arial" w:cs="Arial"/>
          <w:color w:val="0000FF"/>
        </w:rPr>
      </w:pPr>
      <w:hyperlink r:id="rId4" w:history="1">
        <w:r w:rsidR="0068634C" w:rsidRPr="00C34F3D">
          <w:rPr>
            <w:rStyle w:val="Hyperlink"/>
            <w:rFonts w:ascii="Arial" w:hAnsi="Arial" w:cs="Arial"/>
            <w:color w:val="0000FF"/>
          </w:rPr>
          <w:t>Instrução Normativa n. 115, de 4 de fevereiro de 2016</w:t>
        </w:r>
      </w:hyperlink>
      <w:r w:rsidR="0068634C" w:rsidRPr="00C34F3D">
        <w:rPr>
          <w:rFonts w:ascii="Arial" w:hAnsi="Arial" w:cs="Arial"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41E1" w14:textId="394F4B20" w:rsidR="00942103" w:rsidRDefault="007858E7" w:rsidP="00942103">
    <w:pPr>
      <w:tabs>
        <w:tab w:val="center" w:pos="4252"/>
        <w:tab w:val="right" w:pos="8504"/>
      </w:tabs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0366F72" wp14:editId="16398FD3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FE5"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5690DA21" w14:textId="77777777" w:rsidR="0026219E" w:rsidRPr="006533E9" w:rsidRDefault="0026219E" w:rsidP="00AD5C91">
    <w:pPr>
      <w:tabs>
        <w:tab w:val="center" w:pos="4252"/>
        <w:tab w:val="right" w:pos="8504"/>
      </w:tabs>
      <w:ind w:left="1134"/>
      <w:jc w:val="center"/>
      <w:rPr>
        <w:rFonts w:ascii="Arial" w:hAnsi="Arial" w:cs="Arial"/>
        <w:b/>
        <w:sz w:val="30"/>
        <w:szCs w:val="30"/>
      </w:rPr>
    </w:pPr>
  </w:p>
  <w:p w14:paraId="421229EF" w14:textId="77777777" w:rsidR="006560ED" w:rsidRPr="00942103" w:rsidRDefault="00000000" w:rsidP="009421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7880"/>
    <w:multiLevelType w:val="hybridMultilevel"/>
    <w:tmpl w:val="12FCD5D8"/>
    <w:lvl w:ilvl="0" w:tplc="3F366164">
      <w:start w:val="1"/>
      <w:numFmt w:val="lowerLetter"/>
      <w:lvlText w:val="%1)"/>
      <w:lvlJc w:val="left"/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21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95"/>
    <w:rsid w:val="00020D36"/>
    <w:rsid w:val="00085FE5"/>
    <w:rsid w:val="0026219E"/>
    <w:rsid w:val="003B6DD8"/>
    <w:rsid w:val="00413FCB"/>
    <w:rsid w:val="00441D87"/>
    <w:rsid w:val="0046245E"/>
    <w:rsid w:val="004D434D"/>
    <w:rsid w:val="00642ABC"/>
    <w:rsid w:val="00656478"/>
    <w:rsid w:val="0068634C"/>
    <w:rsid w:val="006956FD"/>
    <w:rsid w:val="006E55CB"/>
    <w:rsid w:val="00755595"/>
    <w:rsid w:val="007671CE"/>
    <w:rsid w:val="0078110A"/>
    <w:rsid w:val="007858E7"/>
    <w:rsid w:val="00817EA9"/>
    <w:rsid w:val="0090489A"/>
    <w:rsid w:val="00927B7C"/>
    <w:rsid w:val="0093179D"/>
    <w:rsid w:val="009B2E86"/>
    <w:rsid w:val="00A44429"/>
    <w:rsid w:val="00A84D95"/>
    <w:rsid w:val="00AD5C91"/>
    <w:rsid w:val="00BF394B"/>
    <w:rsid w:val="00C023B3"/>
    <w:rsid w:val="00C34F3D"/>
    <w:rsid w:val="00CD5547"/>
    <w:rsid w:val="00DE4B43"/>
    <w:rsid w:val="00E5595E"/>
    <w:rsid w:val="00E642A1"/>
    <w:rsid w:val="00ED1987"/>
    <w:rsid w:val="00F30365"/>
    <w:rsid w:val="00F81DD9"/>
    <w:rsid w:val="00FC74AF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554A6"/>
  <w15:chartTrackingRefBased/>
  <w15:docId w15:val="{4663B8D9-868C-42A7-AB62-FAE72E5A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8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58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58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21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21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20D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0D36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nhideWhenUsed/>
    <w:rsid w:val="00FC74AF"/>
  </w:style>
  <w:style w:type="character" w:customStyle="1" w:styleId="TextodenotaderodapChar">
    <w:name w:val="Texto de nota de rodapé Char"/>
    <w:basedOn w:val="Fontepargpadro"/>
    <w:link w:val="Textodenotaderodap"/>
    <w:rsid w:val="00FC74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C74A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C74AF"/>
    <w:pPr>
      <w:autoSpaceDE/>
      <w:autoSpaceDN/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-115-de-4-de-fevereiro-de-2016/280662/area/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1.tce.pr.gov.br/conteudo/instrucao-normativa-n-72-de-13-de-setembro-de-2012/237401/area/249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instrucao-normativa-n-72-de-13-de-setembro-de-2012/237401/area/249" TargetMode="External"/><Relationship Id="rId2" Type="http://schemas.openxmlformats.org/officeDocument/2006/relationships/hyperlink" Target="https://www1.tce.pr.gov.br/multimidia/2016/10/pdf/00303793.pdf" TargetMode="External"/><Relationship Id="rId1" Type="http://schemas.openxmlformats.org/officeDocument/2006/relationships/hyperlink" Target="http://www1.tce.pr.gov.br/multimidia/2016/10/pdf/00303830.pdf" TargetMode="External"/><Relationship Id="rId4" Type="http://schemas.openxmlformats.org/officeDocument/2006/relationships/hyperlink" Target="http://www1.tce.pr.gov.br/conteudo/instrucao-normativa-n-115-de-4-de-fevereiro-de-2016/280662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F108-E546-42FC-8772-AB6138C6A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1648</Words>
  <Characters>8901</Characters>
  <Application>Microsoft Office Word</Application>
  <DocSecurity>0</DocSecurity>
  <Lines>74</Lines>
  <Paragraphs>21</Paragraphs>
  <ScaleCrop>false</ScaleCrop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</dc:creator>
  <cp:keywords/>
  <dc:description/>
  <cp:lastModifiedBy>Yarusya Fonseca</cp:lastModifiedBy>
  <cp:revision>30</cp:revision>
  <dcterms:created xsi:type="dcterms:W3CDTF">2022-06-23T20:21:00Z</dcterms:created>
  <dcterms:modified xsi:type="dcterms:W3CDTF">2022-07-13T00:45:00Z</dcterms:modified>
</cp:coreProperties>
</file>