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B0CC0" w14:textId="77777777" w:rsidR="004355DA" w:rsidRPr="00F76622" w:rsidRDefault="004355DA" w:rsidP="004355DA">
      <w:pPr>
        <w:spacing w:before="240" w:after="120" w:line="240" w:lineRule="auto"/>
        <w:jc w:val="center"/>
        <w:rPr>
          <w:rFonts w:ascii="Arial" w:hAnsi="Arial" w:cs="Arial"/>
          <w:sz w:val="28"/>
          <w:szCs w:val="28"/>
        </w:rPr>
      </w:pPr>
      <w:r w:rsidRPr="00F66F8C">
        <w:rPr>
          <w:rFonts w:ascii="Arial" w:hAnsi="Arial" w:cs="Arial"/>
          <w:b/>
          <w:sz w:val="28"/>
          <w:szCs w:val="28"/>
        </w:rPr>
        <w:t xml:space="preserve">INSTRUÇÃO NORMATIVA Nº </w:t>
      </w:r>
      <w:r w:rsidR="00654C99">
        <w:rPr>
          <w:rFonts w:ascii="Arial" w:hAnsi="Arial" w:cs="Arial"/>
          <w:b/>
          <w:sz w:val="28"/>
          <w:szCs w:val="28"/>
        </w:rPr>
        <w:t>9</w:t>
      </w:r>
      <w:r w:rsidRPr="00F66F8C">
        <w:rPr>
          <w:rFonts w:ascii="Arial" w:hAnsi="Arial" w:cs="Arial"/>
          <w:b/>
          <w:sz w:val="28"/>
          <w:szCs w:val="28"/>
        </w:rPr>
        <w:t>/2006</w:t>
      </w:r>
      <w:r w:rsidR="00727182" w:rsidRPr="00727182">
        <w:rPr>
          <w:rStyle w:val="Refdenotaderodap"/>
          <w:rFonts w:ascii="Arial" w:hAnsi="Arial" w:cs="Arial"/>
          <w:b/>
          <w:sz w:val="28"/>
          <w:szCs w:val="28"/>
        </w:rPr>
        <w:footnoteReference w:customMarkFollows="1" w:id="1"/>
        <w:sym w:font="Symbol" w:char="F02A"/>
      </w:r>
    </w:p>
    <w:p w14:paraId="4CD7DAC2" w14:textId="77777777" w:rsidR="003563D9" w:rsidRPr="00064AB1" w:rsidRDefault="003563D9" w:rsidP="00064AB1">
      <w:pPr>
        <w:pStyle w:val="Corpodetexto"/>
        <w:widowControl w:val="0"/>
        <w:suppressAutoHyphens/>
        <w:spacing w:before="480" w:after="480"/>
        <w:ind w:left="4536"/>
        <w:jc w:val="both"/>
        <w:rPr>
          <w:rFonts w:ascii="Arial" w:hAnsi="Arial" w:cs="Arial"/>
          <w:i/>
          <w:sz w:val="22"/>
          <w:szCs w:val="22"/>
        </w:rPr>
      </w:pPr>
      <w:r w:rsidRPr="00064AB1">
        <w:rPr>
          <w:rFonts w:ascii="Arial" w:hAnsi="Arial" w:cs="Arial"/>
          <w:i/>
          <w:sz w:val="22"/>
          <w:szCs w:val="22"/>
        </w:rPr>
        <w:t>Regulamenta os procedimentos para manualização do ordenamento administrativo interno no âmbito do Tribunal de Contas do Estado do Paraná.</w:t>
      </w:r>
    </w:p>
    <w:p w14:paraId="0FF01FF8"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601211">
        <w:rPr>
          <w:rFonts w:ascii="Arial" w:hAnsi="Arial" w:cs="Arial"/>
          <w:b/>
          <w:sz w:val="24"/>
        </w:rPr>
        <w:t>Art. 1º</w:t>
      </w:r>
      <w:r w:rsidRPr="00601211">
        <w:rPr>
          <w:rFonts w:ascii="Arial" w:hAnsi="Arial" w:cs="Arial"/>
          <w:sz w:val="24"/>
        </w:rPr>
        <w:t xml:space="preserve"> Fica autorizada, nos termos desta Instrução Normativa, a emissão e manutenção de manuais com o objetivo de estimular e regulamentar:</w:t>
      </w:r>
    </w:p>
    <w:p w14:paraId="0A071842"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601211">
        <w:rPr>
          <w:rFonts w:ascii="Arial" w:hAnsi="Arial" w:cs="Arial"/>
          <w:sz w:val="24"/>
        </w:rPr>
        <w:t>I - a padronização dos procedimentos administrativos e institucionais;</w:t>
      </w:r>
    </w:p>
    <w:p w14:paraId="4D3A4111"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601211">
        <w:rPr>
          <w:rFonts w:ascii="Arial" w:hAnsi="Arial" w:cs="Arial"/>
          <w:sz w:val="24"/>
        </w:rPr>
        <w:t>II - a unificação estruturada do conjunto de normas e procedimentos;</w:t>
      </w:r>
    </w:p>
    <w:p w14:paraId="4EDEFFA4"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601211">
        <w:rPr>
          <w:rFonts w:ascii="Arial" w:hAnsi="Arial" w:cs="Arial"/>
          <w:sz w:val="24"/>
        </w:rPr>
        <w:t>III - o aprimoramento do controle interno; e</w:t>
      </w:r>
    </w:p>
    <w:p w14:paraId="5C0227F1"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601211">
        <w:rPr>
          <w:rFonts w:ascii="Arial" w:hAnsi="Arial" w:cs="Arial"/>
          <w:sz w:val="24"/>
        </w:rPr>
        <w:t>IV - a publicidade dos procedimentos adotados.</w:t>
      </w:r>
    </w:p>
    <w:p w14:paraId="59C341EF"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601211">
        <w:rPr>
          <w:rFonts w:ascii="Arial" w:hAnsi="Arial" w:cs="Arial"/>
          <w:b/>
          <w:sz w:val="24"/>
        </w:rPr>
        <w:t>Art. 2º</w:t>
      </w:r>
      <w:r w:rsidRPr="00601211">
        <w:rPr>
          <w:rFonts w:ascii="Arial" w:hAnsi="Arial" w:cs="Arial"/>
          <w:sz w:val="24"/>
        </w:rPr>
        <w:t xml:space="preserve"> Deverão ser manualizadas todas as atividades administrativas e operacionais de todas as unidades e serviços prestados pelo Tribunal de Contas.</w:t>
      </w:r>
    </w:p>
    <w:p w14:paraId="32C5518E"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601211">
        <w:rPr>
          <w:rFonts w:ascii="Arial" w:hAnsi="Arial" w:cs="Arial"/>
          <w:b/>
          <w:sz w:val="24"/>
        </w:rPr>
        <w:t>Art. 3º</w:t>
      </w:r>
      <w:r w:rsidR="00601211">
        <w:rPr>
          <w:rFonts w:ascii="Arial" w:hAnsi="Arial" w:cs="Arial"/>
          <w:sz w:val="24"/>
        </w:rPr>
        <w:t xml:space="preserve"> </w:t>
      </w:r>
      <w:r w:rsidRPr="00601211">
        <w:rPr>
          <w:rFonts w:ascii="Arial" w:hAnsi="Arial" w:cs="Arial"/>
          <w:sz w:val="24"/>
        </w:rPr>
        <w:t xml:space="preserve">Os manuais emitidos terão força de Instrução de Serviço do Presidente do Tribunal de Contas e poderão conter informações e orientações sobre matérias dispostas na legislação e regulamentos, objetivando organizar sistematicamente os procedimentos que devem ser observados pelos servidores.  </w:t>
      </w:r>
    </w:p>
    <w:p w14:paraId="56D6855C"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601211">
        <w:rPr>
          <w:rFonts w:ascii="Arial" w:hAnsi="Arial" w:cs="Arial"/>
          <w:sz w:val="24"/>
        </w:rPr>
        <w:t>§ 1º</w:t>
      </w:r>
      <w:r w:rsidR="00601211">
        <w:rPr>
          <w:rFonts w:ascii="Arial" w:hAnsi="Arial" w:cs="Arial"/>
          <w:sz w:val="24"/>
        </w:rPr>
        <w:t xml:space="preserve"> </w:t>
      </w:r>
      <w:r w:rsidRPr="00601211">
        <w:rPr>
          <w:rFonts w:ascii="Arial" w:hAnsi="Arial" w:cs="Arial"/>
          <w:sz w:val="24"/>
        </w:rPr>
        <w:t>Os manuais serão compostos de módulos e capítulos, podendo estes últimos conter anexos.</w:t>
      </w:r>
    </w:p>
    <w:p w14:paraId="7EC6ECEA"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601211">
        <w:rPr>
          <w:rFonts w:ascii="Arial" w:hAnsi="Arial" w:cs="Arial"/>
          <w:sz w:val="24"/>
        </w:rPr>
        <w:t>§ 2º A emissão ou alteração de manuais será através de Instrução de Serviço, que incluirá, como seu anexo, o manual ou sua parte correspondente.</w:t>
      </w:r>
    </w:p>
    <w:p w14:paraId="307BCCB0" w14:textId="0D3A9EC4" w:rsidR="003563D9" w:rsidRPr="00601211" w:rsidRDefault="003563D9" w:rsidP="00426287">
      <w:pPr>
        <w:pStyle w:val="Corpodetexto"/>
        <w:widowControl w:val="0"/>
        <w:suppressAutoHyphens/>
        <w:spacing w:before="120"/>
        <w:ind w:firstLine="851"/>
        <w:jc w:val="both"/>
        <w:rPr>
          <w:rFonts w:ascii="Arial" w:hAnsi="Arial" w:cs="Arial"/>
          <w:sz w:val="24"/>
        </w:rPr>
      </w:pPr>
      <w:r w:rsidRPr="00601211">
        <w:rPr>
          <w:rFonts w:ascii="Arial" w:hAnsi="Arial" w:cs="Arial"/>
          <w:sz w:val="24"/>
        </w:rPr>
        <w:t xml:space="preserve">§ 3º As alterações dos procedimentos manualizados deverão preferencialmente ser formalizadas através da reforma do módulo, capítulo ou anexo do manual respectivo, sem prejuízo de que ocorram através dos demais atos normativos previstos no art. 187 do </w:t>
      </w:r>
      <w:r w:rsidRPr="009F3FA9">
        <w:rPr>
          <w:rFonts w:ascii="Arial" w:hAnsi="Arial" w:cs="Arial"/>
          <w:sz w:val="24"/>
        </w:rPr>
        <w:t>Regimento Interno</w:t>
      </w:r>
      <w:r w:rsidRPr="00601211">
        <w:rPr>
          <w:rFonts w:ascii="Arial" w:hAnsi="Arial" w:cs="Arial"/>
          <w:sz w:val="24"/>
        </w:rPr>
        <w:t xml:space="preserve"> do Tribunal.  </w:t>
      </w:r>
    </w:p>
    <w:p w14:paraId="18684332"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601211">
        <w:rPr>
          <w:rFonts w:ascii="Arial" w:hAnsi="Arial" w:cs="Arial"/>
          <w:sz w:val="24"/>
        </w:rPr>
        <w:t>§ 4º É nula a regulamentação de procedimentos manualizados através de comunicação interna, ofícios, correio eletrônico ou por qualquer outro instrumento, excetuado os atos normativos do Tribunal.</w:t>
      </w:r>
    </w:p>
    <w:p w14:paraId="72E6A509"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601211">
        <w:rPr>
          <w:rFonts w:ascii="Arial" w:hAnsi="Arial" w:cs="Arial"/>
          <w:sz w:val="24"/>
        </w:rPr>
        <w:t>§ 5º</w:t>
      </w:r>
      <w:r w:rsidR="00E50B6A">
        <w:rPr>
          <w:rFonts w:ascii="Arial" w:hAnsi="Arial" w:cs="Arial"/>
          <w:sz w:val="24"/>
        </w:rPr>
        <w:t xml:space="preserve"> </w:t>
      </w:r>
      <w:r w:rsidRPr="00601211">
        <w:rPr>
          <w:rFonts w:ascii="Arial" w:hAnsi="Arial" w:cs="Arial"/>
          <w:sz w:val="24"/>
        </w:rPr>
        <w:t>Cada módulo deverá identificar o responsável pela elaboração e atualização dos capítulos correspondentes.</w:t>
      </w:r>
    </w:p>
    <w:p w14:paraId="15563C3D"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601211">
        <w:rPr>
          <w:rFonts w:ascii="Arial" w:hAnsi="Arial" w:cs="Arial"/>
          <w:sz w:val="24"/>
        </w:rPr>
        <w:t>§ 6º</w:t>
      </w:r>
      <w:r w:rsidR="00E50B6A">
        <w:rPr>
          <w:rFonts w:ascii="Arial" w:hAnsi="Arial" w:cs="Arial"/>
          <w:sz w:val="24"/>
        </w:rPr>
        <w:t xml:space="preserve"> </w:t>
      </w:r>
      <w:r w:rsidRPr="00601211">
        <w:rPr>
          <w:rFonts w:ascii="Arial" w:hAnsi="Arial" w:cs="Arial"/>
          <w:sz w:val="24"/>
        </w:rPr>
        <w:t>A aprovação de cada capítulo, módulo ou anexo será de responsabilidade do Presidente, que assinará em conjunto com o Diretor Geral.</w:t>
      </w:r>
    </w:p>
    <w:p w14:paraId="2851AE47"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601211">
        <w:rPr>
          <w:rFonts w:ascii="Arial" w:hAnsi="Arial" w:cs="Arial"/>
          <w:sz w:val="24"/>
        </w:rPr>
        <w:t>§ 7º</w:t>
      </w:r>
      <w:r w:rsidR="00E50B6A">
        <w:rPr>
          <w:rFonts w:ascii="Arial" w:hAnsi="Arial" w:cs="Arial"/>
          <w:sz w:val="24"/>
        </w:rPr>
        <w:t xml:space="preserve"> </w:t>
      </w:r>
      <w:r w:rsidRPr="00601211">
        <w:rPr>
          <w:rFonts w:ascii="Arial" w:hAnsi="Arial" w:cs="Arial"/>
          <w:sz w:val="24"/>
        </w:rPr>
        <w:t xml:space="preserve">Todas as folhas dos capítulos dos manuais emitidos deverão conter </w:t>
      </w:r>
      <w:r w:rsidRPr="00601211">
        <w:rPr>
          <w:rFonts w:ascii="Arial" w:hAnsi="Arial" w:cs="Arial"/>
          <w:sz w:val="24"/>
        </w:rPr>
        <w:lastRenderedPageBreak/>
        <w:t>a aprovação do Diretor Geral, em conjunto com o Presidente do Tribunal. A aprovação será manifestada mediante assinatura ou rubrica em cada folha do capítulo emitido.</w:t>
      </w:r>
    </w:p>
    <w:p w14:paraId="6097A385"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E50B6A">
        <w:rPr>
          <w:rFonts w:ascii="Arial" w:hAnsi="Arial" w:cs="Arial"/>
          <w:b/>
          <w:sz w:val="24"/>
        </w:rPr>
        <w:t>Art. 4º</w:t>
      </w:r>
      <w:r w:rsidR="00E50B6A">
        <w:rPr>
          <w:rFonts w:ascii="Arial" w:hAnsi="Arial" w:cs="Arial"/>
          <w:sz w:val="24"/>
        </w:rPr>
        <w:t xml:space="preserve"> </w:t>
      </w:r>
      <w:r w:rsidRPr="00601211">
        <w:rPr>
          <w:rFonts w:ascii="Arial" w:hAnsi="Arial" w:cs="Arial"/>
          <w:sz w:val="24"/>
        </w:rPr>
        <w:t>O Presidente, Vice</w:t>
      </w:r>
      <w:r w:rsidR="00E50B6A">
        <w:rPr>
          <w:rFonts w:ascii="Arial" w:hAnsi="Arial" w:cs="Arial"/>
          <w:sz w:val="24"/>
        </w:rPr>
        <w:t>-</w:t>
      </w:r>
      <w:r w:rsidRPr="00601211">
        <w:rPr>
          <w:rFonts w:ascii="Arial" w:hAnsi="Arial" w:cs="Arial"/>
          <w:sz w:val="24"/>
        </w:rPr>
        <w:t>Presidente, Corregedor, Diretores, Coordenadores e Inspetores de Controle Externo do Tribunal poderão propor a emissão de manualização.</w:t>
      </w:r>
    </w:p>
    <w:p w14:paraId="34691B54"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601211">
        <w:rPr>
          <w:rFonts w:ascii="Arial" w:hAnsi="Arial" w:cs="Arial"/>
          <w:sz w:val="24"/>
        </w:rPr>
        <w:t>§ 1º</w:t>
      </w:r>
      <w:r w:rsidR="00E50B6A">
        <w:rPr>
          <w:rFonts w:ascii="Arial" w:hAnsi="Arial" w:cs="Arial"/>
          <w:sz w:val="24"/>
        </w:rPr>
        <w:t xml:space="preserve"> </w:t>
      </w:r>
      <w:r w:rsidRPr="00601211">
        <w:rPr>
          <w:rFonts w:ascii="Arial" w:hAnsi="Arial" w:cs="Arial"/>
          <w:sz w:val="24"/>
        </w:rPr>
        <w:t>Os responsáveis pela atualização dos módulos ou capítulos de manuais deverão ficar consignados, no primeiro capítulo do módulo respectivo.</w:t>
      </w:r>
    </w:p>
    <w:p w14:paraId="3F4A4294"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601211">
        <w:rPr>
          <w:rFonts w:ascii="Arial" w:hAnsi="Arial" w:cs="Arial"/>
          <w:sz w:val="24"/>
        </w:rPr>
        <w:t>§ 2º</w:t>
      </w:r>
      <w:r w:rsidR="00E50B6A">
        <w:rPr>
          <w:rFonts w:ascii="Arial" w:hAnsi="Arial" w:cs="Arial"/>
          <w:sz w:val="24"/>
        </w:rPr>
        <w:t xml:space="preserve"> </w:t>
      </w:r>
      <w:r w:rsidRPr="00601211">
        <w:rPr>
          <w:rFonts w:ascii="Arial" w:hAnsi="Arial" w:cs="Arial"/>
          <w:sz w:val="24"/>
        </w:rPr>
        <w:t>Compete ao Diretor Geral a indicação do responsável pela atualização das normas, no próprio corpo do manual respectivo, quando a matéria for proposta por Diretor, Inspetor ou Coordenador de Unidade Técnica.</w:t>
      </w:r>
    </w:p>
    <w:p w14:paraId="1EE8F22C"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601211">
        <w:rPr>
          <w:rFonts w:ascii="Arial" w:hAnsi="Arial" w:cs="Arial"/>
          <w:sz w:val="24"/>
        </w:rPr>
        <w:t>§ 3º</w:t>
      </w:r>
      <w:r w:rsidR="00E50B6A">
        <w:rPr>
          <w:rFonts w:ascii="Arial" w:hAnsi="Arial" w:cs="Arial"/>
          <w:sz w:val="24"/>
        </w:rPr>
        <w:t xml:space="preserve"> </w:t>
      </w:r>
      <w:r w:rsidRPr="00601211">
        <w:rPr>
          <w:rFonts w:ascii="Arial" w:hAnsi="Arial" w:cs="Arial"/>
          <w:sz w:val="24"/>
        </w:rPr>
        <w:t>Quando a matéria a ser manualizada envolver mais de uma unidade do Tribunal, todas deverão participar do processo de manualização.</w:t>
      </w:r>
    </w:p>
    <w:p w14:paraId="699F439F"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601211">
        <w:rPr>
          <w:rFonts w:ascii="Arial" w:hAnsi="Arial" w:cs="Arial"/>
          <w:sz w:val="24"/>
        </w:rPr>
        <w:t>§ 4º</w:t>
      </w:r>
      <w:r w:rsidR="00E50B6A">
        <w:rPr>
          <w:rFonts w:ascii="Arial" w:hAnsi="Arial" w:cs="Arial"/>
          <w:sz w:val="24"/>
        </w:rPr>
        <w:t xml:space="preserve"> </w:t>
      </w:r>
      <w:r w:rsidRPr="00601211">
        <w:rPr>
          <w:rFonts w:ascii="Arial" w:hAnsi="Arial" w:cs="Arial"/>
          <w:sz w:val="24"/>
        </w:rPr>
        <w:t>Havendo conflito quanto ao texto ou procedimentos que envolvam mais de uma Unidade Técnica, a manualização ficará sob a coordenação do Diretor Geral que poderá aprovar a Norma em conjunto com o Presidente.</w:t>
      </w:r>
    </w:p>
    <w:p w14:paraId="1DF20919"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601211">
        <w:rPr>
          <w:rFonts w:ascii="Arial" w:hAnsi="Arial" w:cs="Arial"/>
          <w:sz w:val="24"/>
        </w:rPr>
        <w:t>§ 5º</w:t>
      </w:r>
      <w:r w:rsidR="00E50B6A">
        <w:rPr>
          <w:rFonts w:ascii="Arial" w:hAnsi="Arial" w:cs="Arial"/>
          <w:sz w:val="24"/>
        </w:rPr>
        <w:t xml:space="preserve"> </w:t>
      </w:r>
      <w:r w:rsidRPr="00601211">
        <w:rPr>
          <w:rFonts w:ascii="Arial" w:hAnsi="Arial" w:cs="Arial"/>
          <w:sz w:val="24"/>
        </w:rPr>
        <w:t>Havendo conflito quanto ao texto ou procedimentos que envolvam os membros do Tribunal, a manualização ficará sob a coordenação do Presidente do Tribunal.</w:t>
      </w:r>
    </w:p>
    <w:p w14:paraId="6953D1DB"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E50B6A">
        <w:rPr>
          <w:rFonts w:ascii="Arial" w:hAnsi="Arial" w:cs="Arial"/>
          <w:b/>
          <w:sz w:val="24"/>
        </w:rPr>
        <w:t>Art. 5º</w:t>
      </w:r>
      <w:r w:rsidR="00E50B6A">
        <w:rPr>
          <w:rFonts w:ascii="Arial" w:hAnsi="Arial" w:cs="Arial"/>
          <w:sz w:val="24"/>
        </w:rPr>
        <w:t xml:space="preserve"> </w:t>
      </w:r>
      <w:r w:rsidRPr="00601211">
        <w:rPr>
          <w:rFonts w:ascii="Arial" w:hAnsi="Arial" w:cs="Arial"/>
          <w:sz w:val="24"/>
        </w:rPr>
        <w:t xml:space="preserve">A Diretoria Geral emitirá o primeiro manual do Tribunal, denominado “Manual de Instrução e Comunicação”, que regulamentará os procedimentos para a emissão e alteração de manuais do Tribunal de Contas, incluindo o trâmite para a revisão, aprovação, distribuição e manutenção dos mesmos.  </w:t>
      </w:r>
    </w:p>
    <w:p w14:paraId="4FA6AD3A"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E50B6A">
        <w:rPr>
          <w:rFonts w:ascii="Arial" w:hAnsi="Arial" w:cs="Arial"/>
          <w:b/>
          <w:sz w:val="24"/>
        </w:rPr>
        <w:t>Art. 6º</w:t>
      </w:r>
      <w:r w:rsidR="00E50B6A">
        <w:rPr>
          <w:rFonts w:ascii="Arial" w:hAnsi="Arial" w:cs="Arial"/>
          <w:sz w:val="24"/>
        </w:rPr>
        <w:t xml:space="preserve"> </w:t>
      </w:r>
      <w:r w:rsidRPr="00601211">
        <w:rPr>
          <w:rFonts w:ascii="Arial" w:hAnsi="Arial" w:cs="Arial"/>
          <w:sz w:val="24"/>
        </w:rPr>
        <w:t>Compete à Diretoria Geral a recepção das propostas de manualização, bem como o controle e organização geral e centralizada das matérias que forem manualizadas.</w:t>
      </w:r>
    </w:p>
    <w:p w14:paraId="48506EC6"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601211">
        <w:rPr>
          <w:rFonts w:ascii="Arial" w:hAnsi="Arial" w:cs="Arial"/>
          <w:sz w:val="24"/>
        </w:rPr>
        <w:t xml:space="preserve">§ 1º As instruções gerais, o sumário, o controle da distribuição, bem como o primeiro módulo de cada manual são de responsabilidade da Diretoria Geral.  </w:t>
      </w:r>
    </w:p>
    <w:p w14:paraId="50B68090"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601211">
        <w:rPr>
          <w:rFonts w:ascii="Arial" w:hAnsi="Arial" w:cs="Arial"/>
          <w:sz w:val="24"/>
        </w:rPr>
        <w:t>§ 2º</w:t>
      </w:r>
      <w:r w:rsidR="00E50B6A">
        <w:rPr>
          <w:rFonts w:ascii="Arial" w:hAnsi="Arial" w:cs="Arial"/>
          <w:sz w:val="24"/>
        </w:rPr>
        <w:t xml:space="preserve"> </w:t>
      </w:r>
      <w:r w:rsidRPr="00601211">
        <w:rPr>
          <w:rFonts w:ascii="Arial" w:hAnsi="Arial" w:cs="Arial"/>
          <w:sz w:val="24"/>
        </w:rPr>
        <w:t>O primeiro módulo de cada manual tem a finalidade de fazer a apresentação geral e deverá conter os itens:</w:t>
      </w:r>
    </w:p>
    <w:p w14:paraId="046EFDF7" w14:textId="1DF76C9E" w:rsidR="003563D9" w:rsidRPr="00601211" w:rsidRDefault="003563D9" w:rsidP="00426287">
      <w:pPr>
        <w:pStyle w:val="Corpodetexto"/>
        <w:widowControl w:val="0"/>
        <w:numPr>
          <w:ilvl w:val="0"/>
          <w:numId w:val="13"/>
        </w:numPr>
        <w:tabs>
          <w:tab w:val="left" w:pos="1134"/>
        </w:tabs>
        <w:suppressAutoHyphens/>
        <w:spacing w:before="120"/>
        <w:ind w:left="0" w:firstLine="851"/>
        <w:jc w:val="both"/>
        <w:rPr>
          <w:rFonts w:ascii="Arial" w:hAnsi="Arial" w:cs="Arial"/>
          <w:sz w:val="24"/>
        </w:rPr>
      </w:pPr>
      <w:r w:rsidRPr="00601211">
        <w:rPr>
          <w:rFonts w:ascii="Arial" w:hAnsi="Arial" w:cs="Arial"/>
          <w:sz w:val="24"/>
        </w:rPr>
        <w:t>Finalidade: que deverá indicar as razões que determinaram a emissão do manual;</w:t>
      </w:r>
    </w:p>
    <w:p w14:paraId="3111A48E" w14:textId="2025BA0E" w:rsidR="003563D9" w:rsidRPr="00601211" w:rsidRDefault="003563D9" w:rsidP="00426287">
      <w:pPr>
        <w:pStyle w:val="Corpodetexto"/>
        <w:widowControl w:val="0"/>
        <w:numPr>
          <w:ilvl w:val="0"/>
          <w:numId w:val="13"/>
        </w:numPr>
        <w:tabs>
          <w:tab w:val="left" w:pos="1134"/>
        </w:tabs>
        <w:suppressAutoHyphens/>
        <w:spacing w:before="120"/>
        <w:ind w:left="0" w:firstLine="851"/>
        <w:jc w:val="both"/>
        <w:rPr>
          <w:rFonts w:ascii="Arial" w:hAnsi="Arial" w:cs="Arial"/>
          <w:sz w:val="24"/>
        </w:rPr>
      </w:pPr>
      <w:r w:rsidRPr="00601211">
        <w:rPr>
          <w:rFonts w:ascii="Arial" w:hAnsi="Arial" w:cs="Arial"/>
          <w:sz w:val="24"/>
        </w:rPr>
        <w:t>Elaboração e atualização dos capítulos: que deverá indicar a unidade ou unidades responsáveis pela elaboração e atualização dos capítulos;</w:t>
      </w:r>
    </w:p>
    <w:p w14:paraId="0CE29B6E" w14:textId="625F7F27" w:rsidR="003563D9" w:rsidRPr="00601211" w:rsidRDefault="003563D9" w:rsidP="00426287">
      <w:pPr>
        <w:pStyle w:val="Corpodetexto"/>
        <w:widowControl w:val="0"/>
        <w:numPr>
          <w:ilvl w:val="0"/>
          <w:numId w:val="13"/>
        </w:numPr>
        <w:tabs>
          <w:tab w:val="left" w:pos="1134"/>
        </w:tabs>
        <w:suppressAutoHyphens/>
        <w:spacing w:before="120"/>
        <w:ind w:left="0" w:firstLine="851"/>
        <w:jc w:val="both"/>
        <w:rPr>
          <w:rFonts w:ascii="Arial" w:hAnsi="Arial" w:cs="Arial"/>
          <w:sz w:val="24"/>
        </w:rPr>
      </w:pPr>
      <w:r w:rsidRPr="00601211">
        <w:rPr>
          <w:rFonts w:ascii="Arial" w:hAnsi="Arial" w:cs="Arial"/>
          <w:sz w:val="24"/>
        </w:rPr>
        <w:t>Assinatura dos módulos e/ou capítulos: que deverá indicar os módulos ou capítulos, juntamente com os respectivos responsáveis pela assinatura;</w:t>
      </w:r>
    </w:p>
    <w:p w14:paraId="6C717525" w14:textId="049DF3BB" w:rsidR="003563D9" w:rsidRPr="00601211" w:rsidRDefault="003563D9" w:rsidP="00426287">
      <w:pPr>
        <w:pStyle w:val="Corpodetexto"/>
        <w:widowControl w:val="0"/>
        <w:numPr>
          <w:ilvl w:val="0"/>
          <w:numId w:val="13"/>
        </w:numPr>
        <w:tabs>
          <w:tab w:val="left" w:pos="1134"/>
        </w:tabs>
        <w:suppressAutoHyphens/>
        <w:spacing w:before="120"/>
        <w:ind w:left="0" w:firstLine="851"/>
        <w:jc w:val="both"/>
        <w:rPr>
          <w:rFonts w:ascii="Arial" w:hAnsi="Arial" w:cs="Arial"/>
          <w:sz w:val="24"/>
        </w:rPr>
      </w:pPr>
      <w:r w:rsidRPr="00601211">
        <w:rPr>
          <w:rFonts w:ascii="Arial" w:hAnsi="Arial" w:cs="Arial"/>
          <w:sz w:val="24"/>
        </w:rPr>
        <w:t>Conceitos e definições: que deverá apresentar os conceitos e definições de termos utilizados, comum a todos os módulos; e</w:t>
      </w:r>
    </w:p>
    <w:p w14:paraId="57A7F065" w14:textId="3A9C0A60" w:rsidR="003563D9" w:rsidRPr="00601211" w:rsidRDefault="003563D9" w:rsidP="00426287">
      <w:pPr>
        <w:pStyle w:val="Corpodetexto"/>
        <w:widowControl w:val="0"/>
        <w:numPr>
          <w:ilvl w:val="0"/>
          <w:numId w:val="13"/>
        </w:numPr>
        <w:tabs>
          <w:tab w:val="left" w:pos="1134"/>
        </w:tabs>
        <w:suppressAutoHyphens/>
        <w:spacing w:before="120"/>
        <w:ind w:left="0" w:firstLine="851"/>
        <w:jc w:val="both"/>
        <w:rPr>
          <w:rFonts w:ascii="Arial" w:hAnsi="Arial" w:cs="Arial"/>
          <w:sz w:val="24"/>
        </w:rPr>
      </w:pPr>
      <w:r w:rsidRPr="00601211">
        <w:rPr>
          <w:rFonts w:ascii="Arial" w:hAnsi="Arial" w:cs="Arial"/>
          <w:sz w:val="24"/>
        </w:rPr>
        <w:t xml:space="preserve">Veiculações das normas e instruções: que deverá apresentar os </w:t>
      </w:r>
      <w:r w:rsidRPr="00601211">
        <w:rPr>
          <w:rFonts w:ascii="Arial" w:hAnsi="Arial" w:cs="Arial"/>
          <w:sz w:val="24"/>
        </w:rPr>
        <w:lastRenderedPageBreak/>
        <w:t>critérios para a emissão e atualização das normas manualizadas.</w:t>
      </w:r>
    </w:p>
    <w:p w14:paraId="60BE3884"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E50B6A">
        <w:rPr>
          <w:rFonts w:ascii="Arial" w:hAnsi="Arial" w:cs="Arial"/>
          <w:b/>
          <w:sz w:val="24"/>
        </w:rPr>
        <w:t>Art. 7º</w:t>
      </w:r>
      <w:r w:rsidR="00E50B6A">
        <w:rPr>
          <w:rFonts w:ascii="Arial" w:hAnsi="Arial" w:cs="Arial"/>
          <w:sz w:val="24"/>
        </w:rPr>
        <w:t xml:space="preserve"> </w:t>
      </w:r>
      <w:r w:rsidRPr="00601211">
        <w:rPr>
          <w:rFonts w:ascii="Arial" w:hAnsi="Arial" w:cs="Arial"/>
          <w:sz w:val="24"/>
        </w:rPr>
        <w:t>Compete à Coordenadoria de Biblioteca e Jurisprudência a adequação das propostas de manualização ao formato e apresentação gráfica do texto, nos termos definidos no manual de Instrução e Comunicação de que trata o artigo 5º da presente Instrução Normativa.</w:t>
      </w:r>
    </w:p>
    <w:p w14:paraId="7C8B1A62"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E50B6A">
        <w:rPr>
          <w:rFonts w:ascii="Arial" w:hAnsi="Arial" w:cs="Arial"/>
          <w:b/>
          <w:sz w:val="24"/>
        </w:rPr>
        <w:t>Art. 8º</w:t>
      </w:r>
      <w:r w:rsidR="00E50B6A">
        <w:rPr>
          <w:rFonts w:ascii="Arial" w:hAnsi="Arial" w:cs="Arial"/>
          <w:sz w:val="24"/>
        </w:rPr>
        <w:t xml:space="preserve"> </w:t>
      </w:r>
      <w:r w:rsidRPr="00601211">
        <w:rPr>
          <w:rFonts w:ascii="Arial" w:hAnsi="Arial" w:cs="Arial"/>
          <w:sz w:val="24"/>
        </w:rPr>
        <w:t xml:space="preserve">As unidades administrativas terão o prazo de 6 (seis) meses para propor a manualização inicial de suas atividades administrativas e operacionais.  </w:t>
      </w:r>
    </w:p>
    <w:p w14:paraId="7F801A28" w14:textId="097558B2" w:rsidR="003563D9" w:rsidRPr="00601211" w:rsidRDefault="003563D9" w:rsidP="00426287">
      <w:pPr>
        <w:pStyle w:val="Corpodetexto"/>
        <w:widowControl w:val="0"/>
        <w:suppressAutoHyphens/>
        <w:spacing w:before="120"/>
        <w:ind w:firstLine="851"/>
        <w:jc w:val="both"/>
        <w:rPr>
          <w:rFonts w:ascii="Arial" w:hAnsi="Arial" w:cs="Arial"/>
          <w:sz w:val="24"/>
        </w:rPr>
      </w:pPr>
      <w:r w:rsidRPr="00E50B6A">
        <w:rPr>
          <w:rFonts w:ascii="Arial" w:hAnsi="Arial" w:cs="Arial"/>
          <w:b/>
          <w:sz w:val="24"/>
        </w:rPr>
        <w:t>Art. 9º</w:t>
      </w:r>
      <w:r w:rsidR="00E50B6A">
        <w:rPr>
          <w:rFonts w:ascii="Arial" w:hAnsi="Arial" w:cs="Arial"/>
          <w:sz w:val="24"/>
        </w:rPr>
        <w:t xml:space="preserve"> </w:t>
      </w:r>
      <w:r w:rsidRPr="00601211">
        <w:rPr>
          <w:rFonts w:ascii="Arial" w:hAnsi="Arial" w:cs="Arial"/>
          <w:sz w:val="24"/>
        </w:rPr>
        <w:t xml:space="preserve">As instruções e procedimentos manualizados servirão de referência para avaliar o cumprimento das atividades e projetos do Tribunal no exercício do controle interno de que trata o art. 208 do </w:t>
      </w:r>
      <w:r w:rsidRPr="00D249FF">
        <w:rPr>
          <w:rFonts w:ascii="Arial" w:hAnsi="Arial" w:cs="Arial"/>
          <w:sz w:val="24"/>
        </w:rPr>
        <w:t>Regimento Interno</w:t>
      </w:r>
      <w:r w:rsidRPr="00601211">
        <w:rPr>
          <w:rFonts w:ascii="Arial" w:hAnsi="Arial" w:cs="Arial"/>
          <w:sz w:val="24"/>
        </w:rPr>
        <w:t xml:space="preserve">. </w:t>
      </w:r>
    </w:p>
    <w:p w14:paraId="70787AC5" w14:textId="77777777" w:rsidR="003563D9" w:rsidRPr="00601211" w:rsidRDefault="003563D9" w:rsidP="00426287">
      <w:pPr>
        <w:pStyle w:val="Corpodetexto"/>
        <w:widowControl w:val="0"/>
        <w:suppressAutoHyphens/>
        <w:spacing w:before="120"/>
        <w:ind w:firstLine="851"/>
        <w:jc w:val="both"/>
        <w:rPr>
          <w:rFonts w:ascii="Arial" w:hAnsi="Arial" w:cs="Arial"/>
          <w:sz w:val="24"/>
        </w:rPr>
      </w:pPr>
      <w:r w:rsidRPr="00AC60A8">
        <w:rPr>
          <w:rFonts w:ascii="Arial" w:hAnsi="Arial" w:cs="Arial"/>
          <w:b/>
          <w:sz w:val="24"/>
        </w:rPr>
        <w:t>Art. 10</w:t>
      </w:r>
      <w:r w:rsidR="00E50B6A">
        <w:rPr>
          <w:rFonts w:ascii="Arial" w:hAnsi="Arial" w:cs="Arial"/>
          <w:sz w:val="24"/>
        </w:rPr>
        <w:t>.</w:t>
      </w:r>
      <w:r w:rsidRPr="00601211">
        <w:rPr>
          <w:rFonts w:ascii="Arial" w:hAnsi="Arial" w:cs="Arial"/>
          <w:sz w:val="24"/>
        </w:rPr>
        <w:t xml:space="preserve"> Esta Instrução entrará em vigor na data de sua publicação.</w:t>
      </w:r>
    </w:p>
    <w:p w14:paraId="590ADCB6" w14:textId="77777777" w:rsidR="003563D9" w:rsidRPr="00601211" w:rsidRDefault="003563D9" w:rsidP="00064AB1">
      <w:pPr>
        <w:pStyle w:val="Corpodetexto"/>
        <w:widowControl w:val="0"/>
        <w:suppressAutoHyphens/>
        <w:spacing w:before="240"/>
        <w:ind w:firstLine="851"/>
        <w:jc w:val="both"/>
        <w:rPr>
          <w:rFonts w:ascii="Arial" w:hAnsi="Arial" w:cs="Arial"/>
          <w:sz w:val="24"/>
        </w:rPr>
      </w:pPr>
    </w:p>
    <w:p w14:paraId="10C229C8" w14:textId="77777777" w:rsidR="003563D9" w:rsidRPr="00601211" w:rsidRDefault="003563D9" w:rsidP="00064AB1">
      <w:pPr>
        <w:pStyle w:val="Corpodetexto"/>
        <w:widowControl w:val="0"/>
        <w:suppressAutoHyphens/>
        <w:spacing w:before="120" w:after="120"/>
        <w:jc w:val="center"/>
        <w:rPr>
          <w:rFonts w:ascii="Arial" w:hAnsi="Arial" w:cs="Arial"/>
          <w:sz w:val="24"/>
        </w:rPr>
      </w:pPr>
      <w:r w:rsidRPr="00601211">
        <w:rPr>
          <w:rFonts w:ascii="Arial" w:hAnsi="Arial" w:cs="Arial"/>
          <w:sz w:val="24"/>
        </w:rPr>
        <w:t>Curitiba, em 21 de dezembro de 2006.</w:t>
      </w:r>
    </w:p>
    <w:p w14:paraId="03C99435" w14:textId="77777777" w:rsidR="00601211" w:rsidRPr="00601211" w:rsidRDefault="00601211" w:rsidP="00064AB1">
      <w:pPr>
        <w:pStyle w:val="Default"/>
        <w:jc w:val="center"/>
        <w:rPr>
          <w:lang w:eastAsia="pt-BR"/>
        </w:rPr>
      </w:pPr>
    </w:p>
    <w:p w14:paraId="674771B8" w14:textId="77777777" w:rsidR="003563D9" w:rsidRPr="00601211" w:rsidRDefault="003563D9" w:rsidP="00064AB1">
      <w:pPr>
        <w:pStyle w:val="Corpodetexto"/>
        <w:widowControl w:val="0"/>
        <w:suppressAutoHyphens/>
        <w:spacing w:before="120" w:after="120"/>
        <w:jc w:val="center"/>
        <w:rPr>
          <w:rFonts w:ascii="Arial" w:hAnsi="Arial" w:cs="Arial"/>
          <w:sz w:val="24"/>
        </w:rPr>
      </w:pPr>
    </w:p>
    <w:p w14:paraId="3AE29016" w14:textId="77777777" w:rsidR="003563D9" w:rsidRPr="00807F16" w:rsidRDefault="003563D9" w:rsidP="00064AB1">
      <w:pPr>
        <w:pStyle w:val="Corpodetexto"/>
        <w:widowControl w:val="0"/>
        <w:suppressAutoHyphens/>
        <w:spacing w:before="120"/>
        <w:jc w:val="center"/>
        <w:rPr>
          <w:rFonts w:ascii="Arial" w:hAnsi="Arial" w:cs="Arial"/>
          <w:b/>
          <w:bCs/>
          <w:sz w:val="24"/>
        </w:rPr>
      </w:pPr>
      <w:r w:rsidRPr="00807F16">
        <w:rPr>
          <w:rFonts w:ascii="Arial" w:hAnsi="Arial" w:cs="Arial"/>
          <w:b/>
          <w:bCs/>
          <w:sz w:val="24"/>
        </w:rPr>
        <w:t>HEINZ GEORG HERWIG</w:t>
      </w:r>
    </w:p>
    <w:p w14:paraId="20BE7994" w14:textId="77777777" w:rsidR="0015408B" w:rsidRPr="00601211" w:rsidRDefault="003563D9" w:rsidP="00064AB1">
      <w:pPr>
        <w:pStyle w:val="Corpodetexto"/>
        <w:widowControl w:val="0"/>
        <w:suppressAutoHyphens/>
        <w:spacing w:after="120"/>
        <w:jc w:val="center"/>
      </w:pPr>
      <w:r w:rsidRPr="00601211">
        <w:rPr>
          <w:rFonts w:ascii="Arial" w:hAnsi="Arial" w:cs="Arial"/>
          <w:sz w:val="24"/>
        </w:rPr>
        <w:t>Presidente</w:t>
      </w:r>
    </w:p>
    <w:sectPr w:rsidR="0015408B" w:rsidRPr="00601211" w:rsidSect="00064AB1">
      <w:head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EFBD" w14:textId="77777777" w:rsidR="001B168E" w:rsidRDefault="001B168E" w:rsidP="00B14F79">
      <w:pPr>
        <w:spacing w:after="0" w:line="240" w:lineRule="auto"/>
      </w:pPr>
      <w:r>
        <w:separator/>
      </w:r>
    </w:p>
  </w:endnote>
  <w:endnote w:type="continuationSeparator" w:id="0">
    <w:p w14:paraId="0CB9A207" w14:textId="77777777" w:rsidR="001B168E" w:rsidRDefault="001B168E" w:rsidP="00B14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F89AF" w14:textId="77777777" w:rsidR="001B168E" w:rsidRDefault="001B168E" w:rsidP="00B14F79">
      <w:pPr>
        <w:spacing w:after="0" w:line="240" w:lineRule="auto"/>
      </w:pPr>
      <w:r>
        <w:separator/>
      </w:r>
    </w:p>
  </w:footnote>
  <w:footnote w:type="continuationSeparator" w:id="0">
    <w:p w14:paraId="66CB8E94" w14:textId="77777777" w:rsidR="001B168E" w:rsidRDefault="001B168E" w:rsidP="00B14F79">
      <w:pPr>
        <w:spacing w:after="0" w:line="240" w:lineRule="auto"/>
      </w:pPr>
      <w:r>
        <w:continuationSeparator/>
      </w:r>
    </w:p>
  </w:footnote>
  <w:footnote w:id="1">
    <w:p w14:paraId="1BE021C6" w14:textId="0F039E1F" w:rsidR="00727182" w:rsidRPr="00D03D3D" w:rsidRDefault="00727182" w:rsidP="00727182">
      <w:pPr>
        <w:pStyle w:val="Textodenotaderodap"/>
        <w:rPr>
          <w:rFonts w:ascii="Arial" w:hAnsi="Arial" w:cs="Arial"/>
        </w:rPr>
      </w:pPr>
      <w:r w:rsidRPr="00727182">
        <w:rPr>
          <w:rStyle w:val="Refdenotaderodap"/>
        </w:rPr>
        <w:sym w:font="Symbol" w:char="F02A"/>
      </w:r>
      <w:r>
        <w:t xml:space="preserve"> </w:t>
      </w:r>
      <w:r w:rsidR="00257B0C" w:rsidRPr="00257B0C">
        <w:rPr>
          <w:rFonts w:ascii="Arial" w:hAnsi="Arial" w:cs="Arial"/>
          <w:b/>
        </w:rPr>
        <w:t>Nota</w:t>
      </w:r>
      <w:r w:rsidR="005B403C">
        <w:rPr>
          <w:rFonts w:ascii="Arial" w:hAnsi="Arial" w:cs="Arial"/>
          <w:b/>
        </w:rPr>
        <w:t>s</w:t>
      </w:r>
      <w:r w:rsidRPr="00257B0C">
        <w:rPr>
          <w:rFonts w:ascii="Arial" w:hAnsi="Arial" w:cs="Arial"/>
          <w:b/>
        </w:rPr>
        <w:t xml:space="preserve"> da Biblioteca:</w:t>
      </w:r>
    </w:p>
    <w:p w14:paraId="007C590A" w14:textId="1C82D96B" w:rsidR="00727182" w:rsidRPr="009F3FA9" w:rsidRDefault="00727182" w:rsidP="009F3FA9">
      <w:pPr>
        <w:pStyle w:val="PargrafodaLista"/>
        <w:numPr>
          <w:ilvl w:val="0"/>
          <w:numId w:val="15"/>
        </w:numPr>
        <w:spacing w:after="0" w:line="240" w:lineRule="auto"/>
        <w:ind w:left="426" w:hanging="284"/>
        <w:rPr>
          <w:rFonts w:ascii="Arial" w:hAnsi="Arial" w:cs="Arial"/>
          <w:color w:val="0000FF"/>
          <w:sz w:val="20"/>
          <w:szCs w:val="20"/>
        </w:rPr>
      </w:pPr>
      <w:r w:rsidRPr="009F3FA9">
        <w:rPr>
          <w:rFonts w:ascii="Arial" w:hAnsi="Arial" w:cs="Arial"/>
          <w:sz w:val="20"/>
          <w:szCs w:val="20"/>
        </w:rPr>
        <w:t>Este texto não substitui o publicado no periódico</w:t>
      </w:r>
      <w:r w:rsidR="00A268B2">
        <w:rPr>
          <w:rFonts w:ascii="Arial" w:hAnsi="Arial" w:cs="Arial"/>
          <w:sz w:val="20"/>
          <w:szCs w:val="20"/>
        </w:rPr>
        <w:t>:</w:t>
      </w:r>
      <w:r w:rsidRPr="009F3FA9">
        <w:rPr>
          <w:rFonts w:ascii="Arial" w:hAnsi="Arial" w:cs="Arial"/>
          <w:sz w:val="20"/>
          <w:szCs w:val="20"/>
        </w:rPr>
        <w:t xml:space="preserve"> </w:t>
      </w:r>
      <w:hyperlink r:id="rId1" w:history="1">
        <w:r w:rsidRPr="009F3FA9">
          <w:rPr>
            <w:rFonts w:ascii="Arial" w:hAnsi="Arial" w:cs="Arial"/>
            <w:b/>
            <w:bCs/>
            <w:color w:val="0000FF"/>
            <w:sz w:val="20"/>
            <w:szCs w:val="20"/>
            <w:u w:val="single"/>
          </w:rPr>
          <w:t>Atos Oficiais do Tribunal de Contas do Estado do Paraná</w:t>
        </w:r>
        <w:r w:rsidRPr="009F3FA9">
          <w:rPr>
            <w:rFonts w:ascii="Arial" w:hAnsi="Arial" w:cs="Arial"/>
            <w:color w:val="0000FF"/>
            <w:sz w:val="20"/>
            <w:szCs w:val="20"/>
            <w:u w:val="single"/>
          </w:rPr>
          <w:t>, Curitiba, PR, n. 81, 12 jan. 2007, p. 75</w:t>
        </w:r>
      </w:hyperlink>
      <w:r w:rsidRPr="009F3FA9">
        <w:rPr>
          <w:rFonts w:ascii="Arial" w:hAnsi="Arial" w:cs="Arial"/>
          <w:color w:val="0000FF"/>
          <w:sz w:val="20"/>
          <w:szCs w:val="20"/>
        </w:rPr>
        <w:t>.</w:t>
      </w:r>
    </w:p>
    <w:p w14:paraId="1EE94574" w14:textId="55658300" w:rsidR="00727182" w:rsidRPr="009F3FA9" w:rsidRDefault="00727182" w:rsidP="009F3FA9">
      <w:pPr>
        <w:pStyle w:val="PargrafodaLista"/>
        <w:numPr>
          <w:ilvl w:val="0"/>
          <w:numId w:val="15"/>
        </w:numPr>
        <w:spacing w:after="0" w:line="240" w:lineRule="auto"/>
        <w:ind w:left="426" w:hanging="284"/>
        <w:rPr>
          <w:rFonts w:ascii="Arial" w:hAnsi="Arial" w:cs="Arial"/>
          <w:bCs/>
          <w:sz w:val="20"/>
          <w:szCs w:val="20"/>
        </w:rPr>
      </w:pPr>
      <w:r w:rsidRPr="009F3FA9">
        <w:rPr>
          <w:rFonts w:ascii="Arial" w:hAnsi="Arial" w:cs="Arial"/>
          <w:sz w:val="20"/>
          <w:szCs w:val="20"/>
        </w:rPr>
        <w:t xml:space="preserve">Origem: </w:t>
      </w:r>
      <w:r w:rsidRPr="009F3FA9">
        <w:rPr>
          <w:rFonts w:ascii="Arial" w:hAnsi="Arial" w:cs="Arial"/>
          <w:bCs/>
          <w:sz w:val="20"/>
          <w:szCs w:val="20"/>
        </w:rPr>
        <w:t xml:space="preserve">Processo n. </w:t>
      </w:r>
      <w:r w:rsidRPr="009F3FA9">
        <w:rPr>
          <w:rFonts w:ascii="Arial" w:hAnsi="Arial" w:cs="Arial"/>
          <w:sz w:val="20"/>
          <w:szCs w:val="20"/>
        </w:rPr>
        <w:t xml:space="preserve">59814-1/06 - </w:t>
      </w:r>
      <w:hyperlink r:id="rId2" w:history="1">
        <w:r w:rsidRPr="009F3FA9">
          <w:rPr>
            <w:rStyle w:val="Hyperlink"/>
            <w:rFonts w:ascii="Arial" w:hAnsi="Arial" w:cs="Arial"/>
            <w:bCs/>
            <w:sz w:val="20"/>
            <w:szCs w:val="20"/>
          </w:rPr>
          <w:t xml:space="preserve">Acórdão n. </w:t>
        </w:r>
        <w:r w:rsidRPr="009F3FA9">
          <w:rPr>
            <w:rStyle w:val="Hyperlink"/>
            <w:rFonts w:ascii="Arial" w:hAnsi="Arial" w:cs="Arial"/>
            <w:sz w:val="20"/>
            <w:szCs w:val="20"/>
          </w:rPr>
          <w:t>1931/06</w:t>
        </w:r>
        <w:r w:rsidRPr="009F3FA9">
          <w:rPr>
            <w:rStyle w:val="Hyperlink"/>
            <w:rFonts w:ascii="Arial" w:hAnsi="Arial" w:cs="Arial"/>
            <w:bCs/>
            <w:sz w:val="20"/>
            <w:szCs w:val="20"/>
          </w:rPr>
          <w:t xml:space="preserve"> – Tribunal Pleno</w:t>
        </w:r>
      </w:hyperlink>
      <w:r w:rsidRPr="009F3FA9">
        <w:rPr>
          <w:rFonts w:ascii="Arial" w:hAnsi="Arial" w:cs="Arial"/>
          <w:b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00A5" w14:textId="77777777" w:rsidR="00B14F79" w:rsidRDefault="00FA0CE2" w:rsidP="00185F40">
    <w:pPr>
      <w:keepLines/>
      <w:spacing w:before="360" w:after="120" w:line="240" w:lineRule="auto"/>
      <w:ind w:firstLine="1134"/>
      <w:jc w:val="center"/>
      <w:rPr>
        <w:rFonts w:ascii="Arial" w:hAnsi="Arial" w:cs="Arial"/>
        <w:b/>
        <w:sz w:val="28"/>
        <w:szCs w:val="28"/>
      </w:rPr>
    </w:pPr>
    <w:bookmarkStart w:id="0" w:name="_Hlk503268480"/>
    <w:bookmarkStart w:id="1" w:name="_Hlk503268481"/>
    <w:bookmarkStart w:id="2" w:name="_Hlk503268482"/>
    <w:bookmarkStart w:id="3" w:name="_Hlk503268491"/>
    <w:bookmarkStart w:id="4" w:name="_Hlk503268492"/>
    <w:bookmarkStart w:id="5" w:name="_Hlk503268493"/>
    <w:r>
      <w:rPr>
        <w:noProof/>
      </w:rPr>
      <w:drawing>
        <wp:anchor distT="0" distB="0" distL="114300" distR="114300" simplePos="0" relativeHeight="251659264" behindDoc="0" locked="0" layoutInCell="1" allowOverlap="1" wp14:anchorId="0C694D16" wp14:editId="3EBEEDAE">
          <wp:simplePos x="0" y="0"/>
          <wp:positionH relativeFrom="column">
            <wp:posOffset>158750</wp:posOffset>
          </wp:positionH>
          <wp:positionV relativeFrom="paragraph">
            <wp:posOffset>88265</wp:posOffset>
          </wp:positionV>
          <wp:extent cx="559435" cy="655320"/>
          <wp:effectExtent l="0" t="0" r="0" b="0"/>
          <wp:wrapNone/>
          <wp:docPr id="2" name="Imagem 1" descr="brasao_pr_peq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_pr_peque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43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F79" w:rsidRPr="004D1819">
      <w:rPr>
        <w:rFonts w:ascii="Arial" w:hAnsi="Arial" w:cs="Arial"/>
        <w:b/>
        <w:sz w:val="28"/>
        <w:szCs w:val="28"/>
      </w:rPr>
      <w:t>TRIBUNAL DE CONTAS DO ESTADO DO PARANÁ</w:t>
    </w:r>
  </w:p>
  <w:bookmarkEnd w:id="0"/>
  <w:bookmarkEnd w:id="1"/>
  <w:bookmarkEnd w:id="2"/>
  <w:bookmarkEnd w:id="3"/>
  <w:bookmarkEnd w:id="4"/>
  <w:bookmarkEnd w:id="5"/>
  <w:p w14:paraId="056A9AE7" w14:textId="589EA1DB" w:rsidR="00B14F79" w:rsidRPr="00B14F79" w:rsidRDefault="00B14F79" w:rsidP="00B14F79">
    <w:pPr>
      <w:keepLines/>
      <w:spacing w:before="120" w:after="120" w:line="240" w:lineRule="auto"/>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3CE5"/>
    <w:multiLevelType w:val="hybridMultilevel"/>
    <w:tmpl w:val="95D46A2C"/>
    <w:lvl w:ilvl="0" w:tplc="0206E5B2">
      <w:start w:val="1"/>
      <w:numFmt w:val="lowerLetter"/>
      <w:lvlText w:val="%1)"/>
      <w:lvlJc w:val="left"/>
      <w:pPr>
        <w:tabs>
          <w:tab w:val="num" w:pos="720"/>
        </w:tabs>
        <w:ind w:left="360" w:hanging="360"/>
      </w:pPr>
      <w:rPr>
        <w:rFonts w:hint="default"/>
        <w:b w:val="0"/>
        <w:i/>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 w15:restartNumberingAfterBreak="0">
    <w:nsid w:val="05C91E34"/>
    <w:multiLevelType w:val="hybridMultilevel"/>
    <w:tmpl w:val="995A7A04"/>
    <w:lvl w:ilvl="0" w:tplc="7FDC8DE4">
      <w:start w:val="1"/>
      <w:numFmt w:val="lowerLetter"/>
      <w:lvlText w:val="%1)"/>
      <w:lvlJc w:val="left"/>
      <w:pPr>
        <w:ind w:left="1571" w:hanging="360"/>
      </w:pPr>
      <w:rPr>
        <w:i w:val="0"/>
        <w:iCs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 w15:restartNumberingAfterBreak="0">
    <w:nsid w:val="0A8949D2"/>
    <w:multiLevelType w:val="hybridMultilevel"/>
    <w:tmpl w:val="8A4E3DF6"/>
    <w:lvl w:ilvl="0" w:tplc="A2A41D2A">
      <w:start w:val="1"/>
      <w:numFmt w:val="lowerLetter"/>
      <w:pStyle w:val="m-3"/>
      <w:lvlText w:val="%1)"/>
      <w:lvlJc w:val="left"/>
      <w:pPr>
        <w:tabs>
          <w:tab w:val="num" w:pos="360"/>
        </w:tabs>
        <w:ind w:left="360" w:hanging="360"/>
      </w:pPr>
      <w:rPr>
        <w:rFonts w:ascii="Arial" w:hAnsi="Arial" w:cs="Times New Roman" w:hint="default"/>
        <w:b w:val="0"/>
        <w:i w:val="0"/>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 w15:restartNumberingAfterBreak="0">
    <w:nsid w:val="17484EC7"/>
    <w:multiLevelType w:val="hybridMultilevel"/>
    <w:tmpl w:val="430EBE22"/>
    <w:lvl w:ilvl="0" w:tplc="DB526BD4">
      <w:start w:val="1"/>
      <w:numFmt w:val="upperRoman"/>
      <w:lvlText w:val="%1 - "/>
      <w:lvlJc w:val="left"/>
      <w:pPr>
        <w:tabs>
          <w:tab w:val="num" w:pos="0"/>
        </w:tabs>
        <w:ind w:left="0" w:firstLine="0"/>
      </w:pPr>
      <w:rPr>
        <w:rFonts w:hint="default"/>
        <w:b w:val="0"/>
        <w:i w:val="0"/>
        <w:sz w:val="22"/>
        <w:szCs w:val="22"/>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4" w15:restartNumberingAfterBreak="0">
    <w:nsid w:val="24D41D3B"/>
    <w:multiLevelType w:val="hybridMultilevel"/>
    <w:tmpl w:val="50FAE710"/>
    <w:lvl w:ilvl="0" w:tplc="0206E5B2">
      <w:start w:val="1"/>
      <w:numFmt w:val="lowerLetter"/>
      <w:lvlText w:val="%1)"/>
      <w:lvlJc w:val="left"/>
      <w:pPr>
        <w:ind w:left="1854" w:hanging="360"/>
      </w:pPr>
      <w:rPr>
        <w:rFonts w:hint="default"/>
        <w:b w:val="0"/>
        <w:i/>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 w15:restartNumberingAfterBreak="0">
    <w:nsid w:val="36040322"/>
    <w:multiLevelType w:val="hybridMultilevel"/>
    <w:tmpl w:val="AFBEB03A"/>
    <w:lvl w:ilvl="0" w:tplc="B638341E">
      <w:start w:val="1"/>
      <w:numFmt w:val="upperRoman"/>
      <w:lvlText w:val="%1 - "/>
      <w:lvlJc w:val="left"/>
      <w:pPr>
        <w:tabs>
          <w:tab w:val="num" w:pos="567"/>
        </w:tabs>
        <w:ind w:left="567" w:hanging="567"/>
      </w:pPr>
      <w:rPr>
        <w:rFonts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6" w15:restartNumberingAfterBreak="0">
    <w:nsid w:val="380E287B"/>
    <w:multiLevelType w:val="hybridMultilevel"/>
    <w:tmpl w:val="7A0A49E4"/>
    <w:lvl w:ilvl="0" w:tplc="F454C502">
      <w:start w:val="1"/>
      <w:numFmt w:val="lowerLetter"/>
      <w:lvlText w:val="%1)"/>
      <w:lvlJc w:val="left"/>
      <w:pPr>
        <w:ind w:left="1406" w:hanging="555"/>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7" w15:restartNumberingAfterBreak="0">
    <w:nsid w:val="3F171B2F"/>
    <w:multiLevelType w:val="hybridMultilevel"/>
    <w:tmpl w:val="00C623BC"/>
    <w:lvl w:ilvl="0" w:tplc="CB645DCE">
      <w:start w:val="1"/>
      <w:numFmt w:val="upperRoman"/>
      <w:lvlText w:val="%1 - "/>
      <w:lvlJc w:val="left"/>
      <w:pPr>
        <w:tabs>
          <w:tab w:val="num" w:pos="0"/>
        </w:tabs>
        <w:ind w:left="0" w:firstLine="0"/>
      </w:pPr>
      <w:rPr>
        <w:rFonts w:ascii="Arial" w:hAnsi="Arial" w:hint="default"/>
        <w:b w:val="0"/>
        <w:i w:val="0"/>
        <w:sz w:val="24"/>
        <w:szCs w:val="22"/>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0681F3D"/>
    <w:multiLevelType w:val="hybridMultilevel"/>
    <w:tmpl w:val="4B42857E"/>
    <w:lvl w:ilvl="0" w:tplc="9EC8CDA8">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2CD04C7"/>
    <w:multiLevelType w:val="hybridMultilevel"/>
    <w:tmpl w:val="970ADD4E"/>
    <w:lvl w:ilvl="0" w:tplc="3ED4D13C">
      <w:start w:val="1"/>
      <w:numFmt w:val="upperRoman"/>
      <w:lvlText w:val="%1 - "/>
      <w:lvlJc w:val="left"/>
      <w:pPr>
        <w:tabs>
          <w:tab w:val="num" w:pos="567"/>
        </w:tabs>
        <w:ind w:left="567" w:hanging="567"/>
      </w:pPr>
      <w:rPr>
        <w:rFonts w:ascii="Arial" w:hAnsi="Arial" w:hint="default"/>
        <w:b w:val="0"/>
        <w:i w:val="0"/>
        <w:strike w:val="0"/>
        <w:dstrike w:val="0"/>
        <w:sz w:val="24"/>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0" w15:restartNumberingAfterBreak="0">
    <w:nsid w:val="46BD759A"/>
    <w:multiLevelType w:val="hybridMultilevel"/>
    <w:tmpl w:val="74F8DC7E"/>
    <w:lvl w:ilvl="0" w:tplc="8B141678">
      <w:start w:val="1"/>
      <w:numFmt w:val="upperRoman"/>
      <w:lvlText w:val="%1 - "/>
      <w:lvlJc w:val="left"/>
      <w:pPr>
        <w:tabs>
          <w:tab w:val="num" w:pos="720"/>
        </w:tabs>
        <w:ind w:left="360" w:hanging="360"/>
      </w:pPr>
      <w:rPr>
        <w:rFonts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1" w15:restartNumberingAfterBreak="0">
    <w:nsid w:val="53B05D04"/>
    <w:multiLevelType w:val="hybridMultilevel"/>
    <w:tmpl w:val="B652FC64"/>
    <w:lvl w:ilvl="0" w:tplc="FCFCEF42">
      <w:start w:val="1"/>
      <w:numFmt w:val="upperRoman"/>
      <w:lvlText w:val="%1 - "/>
      <w:lvlJc w:val="left"/>
      <w:pPr>
        <w:tabs>
          <w:tab w:val="num" w:pos="720"/>
        </w:tabs>
        <w:ind w:left="360" w:hanging="360"/>
      </w:pPr>
      <w:rPr>
        <w:rFonts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2" w15:restartNumberingAfterBreak="0">
    <w:nsid w:val="57540C66"/>
    <w:multiLevelType w:val="hybridMultilevel"/>
    <w:tmpl w:val="3450705C"/>
    <w:lvl w:ilvl="0" w:tplc="CB645DCE">
      <w:start w:val="1"/>
      <w:numFmt w:val="upperRoman"/>
      <w:lvlText w:val="%1 - "/>
      <w:lvlJc w:val="left"/>
      <w:pPr>
        <w:tabs>
          <w:tab w:val="num" w:pos="720"/>
        </w:tabs>
        <w:ind w:left="-3" w:firstLine="3"/>
      </w:pPr>
      <w:rPr>
        <w:rFonts w:ascii="Arial" w:hAnsi="Arial" w:hint="default"/>
        <w:b w:val="0"/>
        <w:i w:val="0"/>
        <w:sz w:val="24"/>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3" w15:restartNumberingAfterBreak="0">
    <w:nsid w:val="6DB80555"/>
    <w:multiLevelType w:val="hybridMultilevel"/>
    <w:tmpl w:val="B3A07920"/>
    <w:lvl w:ilvl="0" w:tplc="FCFCEF42">
      <w:start w:val="1"/>
      <w:numFmt w:val="upperRoman"/>
      <w:lvlText w:val="%1 - "/>
      <w:lvlJc w:val="left"/>
      <w:pPr>
        <w:tabs>
          <w:tab w:val="num" w:pos="720"/>
        </w:tabs>
        <w:ind w:left="360" w:hanging="360"/>
      </w:pPr>
      <w:rPr>
        <w:rFonts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4" w15:restartNumberingAfterBreak="0">
    <w:nsid w:val="708D1B31"/>
    <w:multiLevelType w:val="hybridMultilevel"/>
    <w:tmpl w:val="C8120542"/>
    <w:lvl w:ilvl="0" w:tplc="0206E5B2">
      <w:start w:val="1"/>
      <w:numFmt w:val="lowerLetter"/>
      <w:lvlText w:val="%1)"/>
      <w:lvlJc w:val="left"/>
      <w:pPr>
        <w:tabs>
          <w:tab w:val="num" w:pos="360"/>
        </w:tabs>
        <w:ind w:left="360" w:hanging="360"/>
      </w:pPr>
      <w:rPr>
        <w:rFonts w:hint="default"/>
        <w:b w:val="0"/>
        <w:i/>
      </w:rPr>
    </w:lvl>
    <w:lvl w:ilvl="1" w:tplc="04160019">
      <w:start w:val="1"/>
      <w:numFmt w:val="lowerLetter"/>
      <w:lvlText w:val="%2."/>
      <w:lvlJc w:val="left"/>
      <w:pPr>
        <w:tabs>
          <w:tab w:val="num" w:pos="589"/>
        </w:tabs>
        <w:ind w:left="589" w:hanging="360"/>
      </w:pPr>
      <w:rPr>
        <w:rFonts w:cs="Times New Roman"/>
      </w:rPr>
    </w:lvl>
    <w:lvl w:ilvl="2" w:tplc="0416001B">
      <w:start w:val="1"/>
      <w:numFmt w:val="lowerRoman"/>
      <w:lvlText w:val="%3."/>
      <w:lvlJc w:val="right"/>
      <w:pPr>
        <w:tabs>
          <w:tab w:val="num" w:pos="1309"/>
        </w:tabs>
        <w:ind w:left="1309" w:hanging="180"/>
      </w:pPr>
      <w:rPr>
        <w:rFonts w:cs="Times New Roman"/>
      </w:rPr>
    </w:lvl>
    <w:lvl w:ilvl="3" w:tplc="0416000F">
      <w:start w:val="1"/>
      <w:numFmt w:val="decimal"/>
      <w:lvlText w:val="%4."/>
      <w:lvlJc w:val="left"/>
      <w:pPr>
        <w:tabs>
          <w:tab w:val="num" w:pos="2029"/>
        </w:tabs>
        <w:ind w:left="2029" w:hanging="360"/>
      </w:pPr>
      <w:rPr>
        <w:rFonts w:cs="Times New Roman"/>
      </w:rPr>
    </w:lvl>
    <w:lvl w:ilvl="4" w:tplc="04160019">
      <w:start w:val="1"/>
      <w:numFmt w:val="lowerLetter"/>
      <w:lvlText w:val="%5."/>
      <w:lvlJc w:val="left"/>
      <w:pPr>
        <w:tabs>
          <w:tab w:val="num" w:pos="2749"/>
        </w:tabs>
        <w:ind w:left="2749" w:hanging="360"/>
      </w:pPr>
      <w:rPr>
        <w:rFonts w:cs="Times New Roman"/>
      </w:rPr>
    </w:lvl>
    <w:lvl w:ilvl="5" w:tplc="0416001B">
      <w:start w:val="1"/>
      <w:numFmt w:val="lowerRoman"/>
      <w:lvlText w:val="%6."/>
      <w:lvlJc w:val="right"/>
      <w:pPr>
        <w:tabs>
          <w:tab w:val="num" w:pos="3469"/>
        </w:tabs>
        <w:ind w:left="3469" w:hanging="180"/>
      </w:pPr>
      <w:rPr>
        <w:rFonts w:cs="Times New Roman"/>
      </w:rPr>
    </w:lvl>
    <w:lvl w:ilvl="6" w:tplc="0416000F">
      <w:start w:val="1"/>
      <w:numFmt w:val="decimal"/>
      <w:lvlText w:val="%7."/>
      <w:lvlJc w:val="left"/>
      <w:pPr>
        <w:tabs>
          <w:tab w:val="num" w:pos="4189"/>
        </w:tabs>
        <w:ind w:left="4189" w:hanging="360"/>
      </w:pPr>
      <w:rPr>
        <w:rFonts w:cs="Times New Roman"/>
      </w:rPr>
    </w:lvl>
    <w:lvl w:ilvl="7" w:tplc="04160019">
      <w:start w:val="1"/>
      <w:numFmt w:val="lowerLetter"/>
      <w:lvlText w:val="%8."/>
      <w:lvlJc w:val="left"/>
      <w:pPr>
        <w:tabs>
          <w:tab w:val="num" w:pos="4909"/>
        </w:tabs>
        <w:ind w:left="4909" w:hanging="360"/>
      </w:pPr>
      <w:rPr>
        <w:rFonts w:cs="Times New Roman"/>
      </w:rPr>
    </w:lvl>
    <w:lvl w:ilvl="8" w:tplc="0416001B">
      <w:start w:val="1"/>
      <w:numFmt w:val="lowerRoman"/>
      <w:lvlText w:val="%9."/>
      <w:lvlJc w:val="right"/>
      <w:pPr>
        <w:tabs>
          <w:tab w:val="num" w:pos="5629"/>
        </w:tabs>
        <w:ind w:left="5629" w:hanging="180"/>
      </w:pPr>
      <w:rPr>
        <w:rFonts w:cs="Times New Roman"/>
      </w:rPr>
    </w:lvl>
  </w:abstractNum>
  <w:num w:numId="1" w16cid:durableId="1092118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0780375">
    <w:abstractNumId w:val="12"/>
  </w:num>
  <w:num w:numId="3" w16cid:durableId="1414399944">
    <w:abstractNumId w:val="11"/>
  </w:num>
  <w:num w:numId="4" w16cid:durableId="2121796828">
    <w:abstractNumId w:val="13"/>
  </w:num>
  <w:num w:numId="5" w16cid:durableId="889079065">
    <w:abstractNumId w:val="10"/>
  </w:num>
  <w:num w:numId="6" w16cid:durableId="467936265">
    <w:abstractNumId w:val="4"/>
  </w:num>
  <w:num w:numId="7" w16cid:durableId="1790586519">
    <w:abstractNumId w:val="0"/>
  </w:num>
  <w:num w:numId="8" w16cid:durableId="2037192850">
    <w:abstractNumId w:val="14"/>
  </w:num>
  <w:num w:numId="9" w16cid:durableId="821311164">
    <w:abstractNumId w:val="9"/>
  </w:num>
  <w:num w:numId="10" w16cid:durableId="912738540">
    <w:abstractNumId w:val="5"/>
  </w:num>
  <w:num w:numId="11" w16cid:durableId="1254509113">
    <w:abstractNumId w:val="3"/>
  </w:num>
  <w:num w:numId="12" w16cid:durableId="107428890">
    <w:abstractNumId w:val="7"/>
  </w:num>
  <w:num w:numId="13" w16cid:durableId="133913895">
    <w:abstractNumId w:val="1"/>
  </w:num>
  <w:num w:numId="14" w16cid:durableId="142044421">
    <w:abstractNumId w:val="6"/>
  </w:num>
  <w:num w:numId="15" w16cid:durableId="6106663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79"/>
    <w:rsid w:val="00064AB1"/>
    <w:rsid w:val="00144F84"/>
    <w:rsid w:val="0015408B"/>
    <w:rsid w:val="00185F40"/>
    <w:rsid w:val="001A42B8"/>
    <w:rsid w:val="001B168E"/>
    <w:rsid w:val="001B3EEA"/>
    <w:rsid w:val="00257B0C"/>
    <w:rsid w:val="002C34B2"/>
    <w:rsid w:val="003563D9"/>
    <w:rsid w:val="003C536B"/>
    <w:rsid w:val="003F03E2"/>
    <w:rsid w:val="00426287"/>
    <w:rsid w:val="004355DA"/>
    <w:rsid w:val="00487EA5"/>
    <w:rsid w:val="005413FA"/>
    <w:rsid w:val="005B0BED"/>
    <w:rsid w:val="005B403C"/>
    <w:rsid w:val="00601211"/>
    <w:rsid w:val="00654C99"/>
    <w:rsid w:val="006D3A49"/>
    <w:rsid w:val="00727182"/>
    <w:rsid w:val="007E4E88"/>
    <w:rsid w:val="00807F16"/>
    <w:rsid w:val="00871685"/>
    <w:rsid w:val="009F3FA9"/>
    <w:rsid w:val="00A268B2"/>
    <w:rsid w:val="00AC60A8"/>
    <w:rsid w:val="00AD7185"/>
    <w:rsid w:val="00B14F79"/>
    <w:rsid w:val="00B540D1"/>
    <w:rsid w:val="00B63B67"/>
    <w:rsid w:val="00BB32D5"/>
    <w:rsid w:val="00C258F3"/>
    <w:rsid w:val="00C74E4A"/>
    <w:rsid w:val="00D1206D"/>
    <w:rsid w:val="00D249FF"/>
    <w:rsid w:val="00D347B5"/>
    <w:rsid w:val="00D87590"/>
    <w:rsid w:val="00DB4243"/>
    <w:rsid w:val="00E15C2C"/>
    <w:rsid w:val="00E50B6A"/>
    <w:rsid w:val="00F65CF3"/>
    <w:rsid w:val="00FA0C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3607"/>
  <w15:chartTrackingRefBased/>
  <w15:docId w15:val="{9E7F6DFE-BE79-438D-8F7C-C49A3725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7">
    <w:name w:val="heading 7"/>
    <w:basedOn w:val="Normal"/>
    <w:next w:val="Normal"/>
    <w:link w:val="Ttulo7Char"/>
    <w:uiPriority w:val="99"/>
    <w:semiHidden/>
    <w:unhideWhenUsed/>
    <w:qFormat/>
    <w:rsid w:val="00FA0CE2"/>
    <w:pPr>
      <w:keepNext/>
      <w:pBdr>
        <w:top w:val="single" w:sz="6" w:space="1" w:color="auto"/>
        <w:left w:val="single" w:sz="6" w:space="1" w:color="auto"/>
        <w:bottom w:val="single" w:sz="6" w:space="1" w:color="auto"/>
        <w:right w:val="single" w:sz="6" w:space="1" w:color="auto"/>
      </w:pBdr>
      <w:shd w:val="pct5" w:color="auto" w:fill="auto"/>
      <w:tabs>
        <w:tab w:val="center" w:pos="1418"/>
        <w:tab w:val="center" w:pos="4253"/>
        <w:tab w:val="center" w:pos="7088"/>
      </w:tabs>
      <w:spacing w:before="120" w:after="120" w:line="240" w:lineRule="auto"/>
      <w:jc w:val="right"/>
      <w:outlineLvl w:val="6"/>
    </w:pPr>
    <w:rPr>
      <w:rFonts w:ascii="Tahoma" w:eastAsia="Times New Roman" w:hAnsi="Tahoma" w:cs="Tahoma"/>
      <w:sz w:val="72"/>
      <w:szCs w:val="20"/>
      <w:lang w:eastAsia="pt-BR"/>
    </w:rPr>
  </w:style>
  <w:style w:type="paragraph" w:styleId="Ttulo9">
    <w:name w:val="heading 9"/>
    <w:basedOn w:val="Normal"/>
    <w:next w:val="Normal"/>
    <w:link w:val="Ttulo9Char"/>
    <w:uiPriority w:val="99"/>
    <w:semiHidden/>
    <w:unhideWhenUsed/>
    <w:qFormat/>
    <w:rsid w:val="00FA0CE2"/>
    <w:pPr>
      <w:keepNext/>
      <w:spacing w:after="0" w:line="360" w:lineRule="auto"/>
      <w:ind w:left="6373"/>
      <w:jc w:val="both"/>
      <w:outlineLvl w:val="8"/>
    </w:pPr>
    <w:rPr>
      <w:rFonts w:ascii="Tahoma" w:eastAsia="Times New Roman" w:hAnsi="Tahoma" w:cs="Tahoma"/>
      <w:b/>
      <w:bCs/>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4F79"/>
    <w:pPr>
      <w:tabs>
        <w:tab w:val="center" w:pos="4252"/>
        <w:tab w:val="right" w:pos="8504"/>
      </w:tabs>
    </w:pPr>
  </w:style>
  <w:style w:type="character" w:customStyle="1" w:styleId="CabealhoChar">
    <w:name w:val="Cabeçalho Char"/>
    <w:basedOn w:val="Fontepargpadro"/>
    <w:link w:val="Cabealho"/>
    <w:uiPriority w:val="99"/>
    <w:rsid w:val="00B14F79"/>
    <w:rPr>
      <w:sz w:val="22"/>
      <w:szCs w:val="22"/>
      <w:lang w:eastAsia="en-US"/>
    </w:rPr>
  </w:style>
  <w:style w:type="paragraph" w:styleId="Rodap">
    <w:name w:val="footer"/>
    <w:basedOn w:val="Normal"/>
    <w:link w:val="RodapChar"/>
    <w:uiPriority w:val="99"/>
    <w:unhideWhenUsed/>
    <w:rsid w:val="00B14F79"/>
    <w:pPr>
      <w:tabs>
        <w:tab w:val="center" w:pos="4252"/>
        <w:tab w:val="right" w:pos="8504"/>
      </w:tabs>
    </w:pPr>
  </w:style>
  <w:style w:type="character" w:customStyle="1" w:styleId="RodapChar">
    <w:name w:val="Rodapé Char"/>
    <w:basedOn w:val="Fontepargpadro"/>
    <w:link w:val="Rodap"/>
    <w:uiPriority w:val="99"/>
    <w:rsid w:val="00B14F79"/>
    <w:rPr>
      <w:sz w:val="22"/>
      <w:szCs w:val="22"/>
      <w:lang w:eastAsia="en-US"/>
    </w:rPr>
  </w:style>
  <w:style w:type="character" w:customStyle="1" w:styleId="Ttulo7Char">
    <w:name w:val="Título 7 Char"/>
    <w:basedOn w:val="Fontepargpadro"/>
    <w:link w:val="Ttulo7"/>
    <w:uiPriority w:val="99"/>
    <w:semiHidden/>
    <w:rsid w:val="00FA0CE2"/>
    <w:rPr>
      <w:rFonts w:ascii="Tahoma" w:eastAsia="Times New Roman" w:hAnsi="Tahoma" w:cs="Tahoma"/>
      <w:sz w:val="72"/>
      <w:shd w:val="pct5" w:color="auto" w:fill="auto"/>
    </w:rPr>
  </w:style>
  <w:style w:type="character" w:customStyle="1" w:styleId="Ttulo9Char">
    <w:name w:val="Título 9 Char"/>
    <w:basedOn w:val="Fontepargpadro"/>
    <w:link w:val="Ttulo9"/>
    <w:uiPriority w:val="99"/>
    <w:semiHidden/>
    <w:rsid w:val="00FA0CE2"/>
    <w:rPr>
      <w:rFonts w:ascii="Tahoma" w:eastAsia="Times New Roman" w:hAnsi="Tahoma" w:cs="Tahoma"/>
      <w:b/>
      <w:bCs/>
      <w:sz w:val="22"/>
    </w:rPr>
  </w:style>
  <w:style w:type="paragraph" w:styleId="Textodenotaderodap">
    <w:name w:val="footnote text"/>
    <w:basedOn w:val="Normal"/>
    <w:link w:val="TextodenotaderodapChar"/>
    <w:uiPriority w:val="99"/>
    <w:semiHidden/>
    <w:unhideWhenUsed/>
    <w:rsid w:val="00FA0CE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A0CE2"/>
    <w:rPr>
      <w:lang w:eastAsia="en-US"/>
    </w:rPr>
  </w:style>
  <w:style w:type="character" w:styleId="Refdenotaderodap">
    <w:name w:val="footnote reference"/>
    <w:uiPriority w:val="99"/>
    <w:semiHidden/>
    <w:unhideWhenUsed/>
    <w:rsid w:val="00FA0CE2"/>
    <w:rPr>
      <w:vertAlign w:val="superscript"/>
    </w:rPr>
  </w:style>
  <w:style w:type="paragraph" w:customStyle="1" w:styleId="Default">
    <w:name w:val="Default"/>
    <w:uiPriority w:val="99"/>
    <w:rsid w:val="00FA0CE2"/>
    <w:pPr>
      <w:autoSpaceDE w:val="0"/>
      <w:autoSpaceDN w:val="0"/>
      <w:adjustRightInd w:val="0"/>
    </w:pPr>
    <w:rPr>
      <w:rFonts w:ascii="Arial" w:hAnsi="Arial" w:cs="Arial"/>
      <w:color w:val="000000"/>
      <w:sz w:val="24"/>
      <w:szCs w:val="24"/>
      <w:lang w:eastAsia="en-US"/>
    </w:rPr>
  </w:style>
  <w:style w:type="character" w:styleId="Hyperlink">
    <w:name w:val="Hyperlink"/>
    <w:rsid w:val="00FA0CE2"/>
    <w:rPr>
      <w:color w:val="0000FF"/>
      <w:u w:val="single"/>
    </w:rPr>
  </w:style>
  <w:style w:type="paragraph" w:customStyle="1" w:styleId="c-1">
    <w:name w:val="c-1"/>
    <w:basedOn w:val="Normal"/>
    <w:uiPriority w:val="99"/>
    <w:rsid w:val="00FA0CE2"/>
    <w:pPr>
      <w:spacing w:before="120" w:after="120" w:line="360" w:lineRule="auto"/>
      <w:jc w:val="both"/>
    </w:pPr>
    <w:rPr>
      <w:rFonts w:ascii="Tahoma" w:eastAsia="Times New Roman" w:hAnsi="Tahoma"/>
      <w:szCs w:val="20"/>
      <w:lang w:eastAsia="pt-BR"/>
    </w:rPr>
  </w:style>
  <w:style w:type="paragraph" w:customStyle="1" w:styleId="m-3">
    <w:name w:val="m-3"/>
    <w:basedOn w:val="Normal"/>
    <w:uiPriority w:val="99"/>
    <w:rsid w:val="00FA0CE2"/>
    <w:pPr>
      <w:numPr>
        <w:numId w:val="1"/>
      </w:numPr>
      <w:spacing w:before="120" w:after="120" w:line="360" w:lineRule="auto"/>
      <w:jc w:val="both"/>
    </w:pPr>
    <w:rPr>
      <w:rFonts w:ascii="Tahoma" w:eastAsia="Times New Roman" w:hAnsi="Tahoma"/>
      <w:szCs w:val="20"/>
      <w:lang w:eastAsia="pt-BR"/>
    </w:rPr>
  </w:style>
  <w:style w:type="paragraph" w:styleId="Corpodetexto">
    <w:name w:val="Body Text"/>
    <w:basedOn w:val="Default"/>
    <w:next w:val="Default"/>
    <w:link w:val="CorpodetextoChar"/>
    <w:uiPriority w:val="99"/>
    <w:unhideWhenUsed/>
    <w:rsid w:val="00FA0CE2"/>
    <w:rPr>
      <w:rFonts w:ascii="TimesNewRomanPS-BoldMT" w:eastAsia="Times New Roman" w:hAnsi="TimesNewRomanPS-BoldMT" w:cs="Times New Roman"/>
      <w:color w:val="auto"/>
      <w:sz w:val="20"/>
      <w:lang w:eastAsia="pt-BR"/>
    </w:rPr>
  </w:style>
  <w:style w:type="character" w:customStyle="1" w:styleId="CorpodetextoChar">
    <w:name w:val="Corpo de texto Char"/>
    <w:basedOn w:val="Fontepargpadro"/>
    <w:link w:val="Corpodetexto"/>
    <w:uiPriority w:val="99"/>
    <w:rsid w:val="00FA0CE2"/>
    <w:rPr>
      <w:rFonts w:ascii="TimesNewRomanPS-BoldMT" w:eastAsia="Times New Roman" w:hAnsi="TimesNewRomanPS-BoldMT"/>
      <w:szCs w:val="24"/>
    </w:rPr>
  </w:style>
  <w:style w:type="paragraph" w:styleId="PargrafodaLista">
    <w:name w:val="List Paragraph"/>
    <w:basedOn w:val="Normal"/>
    <w:uiPriority w:val="34"/>
    <w:qFormat/>
    <w:rsid w:val="00FA0CE2"/>
    <w:pPr>
      <w:spacing w:after="200" w:line="276" w:lineRule="auto"/>
      <w:ind w:left="720"/>
      <w:contextualSpacing/>
    </w:pPr>
  </w:style>
  <w:style w:type="character" w:styleId="HiperlinkVisitado">
    <w:name w:val="FollowedHyperlink"/>
    <w:basedOn w:val="Fontepargpadro"/>
    <w:uiPriority w:val="99"/>
    <w:semiHidden/>
    <w:unhideWhenUsed/>
    <w:rsid w:val="00FA0CE2"/>
    <w:rPr>
      <w:color w:val="954F72" w:themeColor="followedHyperlink"/>
      <w:u w:val="single"/>
    </w:rPr>
  </w:style>
  <w:style w:type="paragraph" w:styleId="Textodenotadefim">
    <w:name w:val="endnote text"/>
    <w:basedOn w:val="Normal"/>
    <w:link w:val="TextodenotadefimChar"/>
    <w:uiPriority w:val="99"/>
    <w:unhideWhenUsed/>
    <w:rsid w:val="004355DA"/>
    <w:pPr>
      <w:spacing w:after="0" w:line="240" w:lineRule="auto"/>
    </w:pPr>
    <w:rPr>
      <w:rFonts w:ascii="Times New Roman" w:eastAsia="Times New Roman" w:hAnsi="Times New Roman"/>
      <w:sz w:val="20"/>
      <w:szCs w:val="20"/>
      <w:lang w:eastAsia="pt-BR"/>
    </w:rPr>
  </w:style>
  <w:style w:type="character" w:customStyle="1" w:styleId="TextodenotadefimChar">
    <w:name w:val="Texto de nota de fim Char"/>
    <w:basedOn w:val="Fontepargpadro"/>
    <w:link w:val="Textodenotadefim"/>
    <w:uiPriority w:val="99"/>
    <w:rsid w:val="004355DA"/>
    <w:rPr>
      <w:rFonts w:ascii="Times New Roman" w:eastAsia="Times New Roman" w:hAnsi="Times New Roman"/>
    </w:rPr>
  </w:style>
  <w:style w:type="character" w:styleId="MenoPendente">
    <w:name w:val="Unresolved Mention"/>
    <w:basedOn w:val="Fontepargpadro"/>
    <w:uiPriority w:val="99"/>
    <w:semiHidden/>
    <w:unhideWhenUsed/>
    <w:rsid w:val="001B3EEA"/>
    <w:rPr>
      <w:color w:val="605E5C"/>
      <w:shd w:val="clear" w:color="auto" w:fill="E1DFDD"/>
    </w:rPr>
  </w:style>
  <w:style w:type="paragraph" w:styleId="Recuodecorpodetexto">
    <w:name w:val="Body Text Indent"/>
    <w:basedOn w:val="Normal"/>
    <w:link w:val="RecuodecorpodetextoChar"/>
    <w:uiPriority w:val="99"/>
    <w:semiHidden/>
    <w:unhideWhenUsed/>
    <w:rsid w:val="003563D9"/>
    <w:pPr>
      <w:spacing w:after="120"/>
      <w:ind w:left="283"/>
    </w:pPr>
  </w:style>
  <w:style w:type="character" w:customStyle="1" w:styleId="RecuodecorpodetextoChar">
    <w:name w:val="Recuo de corpo de texto Char"/>
    <w:basedOn w:val="Fontepargpadro"/>
    <w:link w:val="Recuodecorpodetexto"/>
    <w:uiPriority w:val="99"/>
    <w:semiHidden/>
    <w:rsid w:val="003563D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1.tce.pr.gov.br/multimidia/2006/12/pdf/00049122.pdf" TargetMode="External"/><Relationship Id="rId1" Type="http://schemas.openxmlformats.org/officeDocument/2006/relationships/hyperlink" Target="http://www1.tce.pr.gov.br/multimidia/2007/1/pdf/0000052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22731-CDA3-42A3-BFCC-1DA1A1B5C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833</Words>
  <Characters>4504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Rohrich da Fonseca</dc:creator>
  <cp:keywords/>
  <dc:description/>
  <cp:lastModifiedBy>Yarusya</cp:lastModifiedBy>
  <cp:revision>22</cp:revision>
  <dcterms:created xsi:type="dcterms:W3CDTF">2019-10-04T15:24:00Z</dcterms:created>
  <dcterms:modified xsi:type="dcterms:W3CDTF">2022-06-29T12:41:00Z</dcterms:modified>
</cp:coreProperties>
</file>