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8D45" w14:textId="55BCBA1C" w:rsidR="00EF3660" w:rsidRPr="00494D80" w:rsidRDefault="00EF3660" w:rsidP="00C54A10">
      <w:pPr>
        <w:autoSpaceDE w:val="0"/>
        <w:spacing w:before="240" w:after="240"/>
        <w:jc w:val="center"/>
        <w:rPr>
          <w:rFonts w:ascii="Arial" w:hAnsi="Arial" w:cs="Arial"/>
          <w:b/>
          <w:bCs/>
          <w:color w:val="000000"/>
          <w:sz w:val="28"/>
          <w:szCs w:val="28"/>
        </w:rPr>
      </w:pPr>
      <w:r w:rsidRPr="00494D80">
        <w:rPr>
          <w:rFonts w:ascii="Arial" w:hAnsi="Arial" w:cs="Arial"/>
          <w:b/>
          <w:bCs/>
          <w:color w:val="000000"/>
          <w:sz w:val="28"/>
          <w:szCs w:val="28"/>
        </w:rPr>
        <w:t>INSTRUÇÃO NORMATIVA</w:t>
      </w:r>
      <w:r w:rsidR="00494D80" w:rsidRPr="00494D80">
        <w:rPr>
          <w:rFonts w:ascii="Arial" w:hAnsi="Arial" w:cs="Arial"/>
          <w:b/>
          <w:bCs/>
          <w:color w:val="000000"/>
          <w:sz w:val="28"/>
          <w:szCs w:val="28"/>
        </w:rPr>
        <w:t xml:space="preserve"> Nº 50/2010</w:t>
      </w:r>
      <w:r w:rsidR="00FD365E">
        <w:rPr>
          <w:rStyle w:val="Refdenotaderodap"/>
          <w:rFonts w:ascii="Arial" w:hAnsi="Arial" w:cs="Arial"/>
          <w:b/>
          <w:bCs/>
          <w:color w:val="000000"/>
          <w:sz w:val="28"/>
          <w:szCs w:val="28"/>
        </w:rPr>
        <w:footnoteReference w:id="1"/>
      </w:r>
    </w:p>
    <w:p w14:paraId="6DC3F2DE" w14:textId="77777777" w:rsidR="00EF3660" w:rsidRPr="0019354D" w:rsidRDefault="00EF3660" w:rsidP="0019354D">
      <w:pPr>
        <w:autoSpaceDE w:val="0"/>
        <w:spacing w:before="360" w:after="360"/>
        <w:ind w:left="4536"/>
        <w:jc w:val="both"/>
        <w:rPr>
          <w:rFonts w:ascii="Arial" w:hAnsi="Arial" w:cs="Arial"/>
          <w:bCs/>
          <w:i/>
          <w:color w:val="000000"/>
          <w:sz w:val="22"/>
          <w:szCs w:val="22"/>
        </w:rPr>
      </w:pPr>
      <w:r w:rsidRPr="0019354D">
        <w:rPr>
          <w:rFonts w:ascii="Arial" w:hAnsi="Arial" w:cs="Arial"/>
          <w:bCs/>
          <w:i/>
          <w:color w:val="000000"/>
          <w:sz w:val="22"/>
          <w:szCs w:val="22"/>
        </w:rPr>
        <w:t>Dispõe sobre o acesso lógico aos sistemas do Tribunal de Contas do Estado do Paraná, em conformidade com a Política de Segurança da Informação e Comunicações.</w:t>
      </w:r>
    </w:p>
    <w:p w14:paraId="0A983DE7" w14:textId="654445C9" w:rsidR="00EF3660" w:rsidRPr="00494D80" w:rsidRDefault="00EF3660" w:rsidP="0019354D">
      <w:pPr>
        <w:autoSpaceDE w:val="0"/>
        <w:spacing w:before="200"/>
        <w:ind w:firstLine="1134"/>
        <w:jc w:val="both"/>
        <w:rPr>
          <w:rFonts w:ascii="Arial" w:hAnsi="Arial" w:cs="Arial"/>
          <w:bCs/>
          <w:color w:val="000000"/>
          <w:sz w:val="24"/>
          <w:szCs w:val="24"/>
        </w:rPr>
      </w:pPr>
      <w:r w:rsidRPr="003D76B5">
        <w:rPr>
          <w:rFonts w:ascii="Arial" w:hAnsi="Arial" w:cs="Arial"/>
          <w:color w:val="000000"/>
          <w:sz w:val="24"/>
          <w:szCs w:val="24"/>
        </w:rPr>
        <w:t xml:space="preserve">O </w:t>
      </w:r>
      <w:r w:rsidRPr="00494D80">
        <w:rPr>
          <w:rFonts w:ascii="Arial" w:hAnsi="Arial" w:cs="Arial"/>
          <w:b/>
          <w:bCs/>
          <w:color w:val="000000"/>
          <w:sz w:val="24"/>
          <w:szCs w:val="24"/>
        </w:rPr>
        <w:t xml:space="preserve">TRIBUNAL DE CONTAS DO ESTADO DO PARANÁ, </w:t>
      </w:r>
      <w:r w:rsidRPr="00494D80">
        <w:rPr>
          <w:rFonts w:ascii="Arial" w:hAnsi="Arial" w:cs="Arial"/>
          <w:color w:val="000000"/>
          <w:sz w:val="24"/>
          <w:szCs w:val="24"/>
        </w:rPr>
        <w:t>no uso da atribuição que lhe confere o art</w:t>
      </w:r>
      <w:r w:rsidRPr="00494D80">
        <w:rPr>
          <w:rFonts w:ascii="Arial" w:hAnsi="Arial" w:cs="Arial"/>
          <w:b/>
          <w:bCs/>
          <w:color w:val="000000"/>
          <w:sz w:val="24"/>
          <w:szCs w:val="24"/>
        </w:rPr>
        <w:t xml:space="preserve"> </w:t>
      </w:r>
      <w:r w:rsidRPr="00494D80">
        <w:rPr>
          <w:rFonts w:ascii="Arial" w:hAnsi="Arial" w:cs="Arial"/>
          <w:bCs/>
          <w:color w:val="000000"/>
          <w:sz w:val="24"/>
          <w:szCs w:val="24"/>
        </w:rPr>
        <w:t xml:space="preserve">2º, I, da Lei Complementar nº 113, de 15 de dezembro de 2005, e nos termos do art. 193, do Regimento Interno c/c o art. 15, da </w:t>
      </w:r>
      <w:hyperlink r:id="rId7" w:history="1">
        <w:r w:rsidRPr="00701853">
          <w:rPr>
            <w:rStyle w:val="Hyperlink"/>
            <w:rFonts w:cs="Arial"/>
            <w:bCs/>
            <w:sz w:val="24"/>
            <w:szCs w:val="24"/>
          </w:rPr>
          <w:t>Resolução nº 23, de 2010</w:t>
        </w:r>
      </w:hyperlink>
      <w:r w:rsidRPr="00494D80">
        <w:rPr>
          <w:rFonts w:ascii="Arial" w:hAnsi="Arial" w:cs="Arial"/>
          <w:bCs/>
          <w:color w:val="000000"/>
          <w:sz w:val="24"/>
          <w:szCs w:val="24"/>
        </w:rPr>
        <w:t>, resolve:</w:t>
      </w:r>
    </w:p>
    <w:p w14:paraId="3BA6BD92" w14:textId="77777777" w:rsidR="00EF3660" w:rsidRPr="00494D80" w:rsidRDefault="00EF3660" w:rsidP="0019354D">
      <w:pPr>
        <w:autoSpaceDE w:val="0"/>
        <w:spacing w:before="200"/>
        <w:ind w:firstLine="1134"/>
        <w:jc w:val="both"/>
        <w:rPr>
          <w:rFonts w:ascii="Arial" w:hAnsi="Arial" w:cs="Arial"/>
          <w:bCs/>
          <w:color w:val="000000"/>
          <w:sz w:val="24"/>
          <w:szCs w:val="24"/>
        </w:rPr>
      </w:pPr>
      <w:r w:rsidRPr="00494D80">
        <w:rPr>
          <w:rFonts w:ascii="Arial" w:hAnsi="Arial" w:cs="Arial"/>
          <w:b/>
          <w:bCs/>
          <w:color w:val="000000"/>
          <w:sz w:val="24"/>
          <w:szCs w:val="24"/>
        </w:rPr>
        <w:t>Art. 1º</w:t>
      </w:r>
      <w:r w:rsidRPr="00494D80">
        <w:rPr>
          <w:rFonts w:ascii="Arial" w:hAnsi="Arial" w:cs="Arial"/>
          <w:bCs/>
          <w:color w:val="000000"/>
          <w:sz w:val="24"/>
          <w:szCs w:val="24"/>
        </w:rPr>
        <w:t xml:space="preserve"> A presente Instrução Normativa regulamenta o acesso lógico aos sistemas, integrando o conjunto de normas referentes à Política de Segurança da Informação e Comunicações do Tribunal de Contas do Estado do Paraná.</w:t>
      </w:r>
    </w:p>
    <w:p w14:paraId="0F09D55D" w14:textId="77777777" w:rsidR="00EF3660" w:rsidRPr="00494D80" w:rsidRDefault="00EF3660" w:rsidP="0019354D">
      <w:pPr>
        <w:autoSpaceDE w:val="0"/>
        <w:spacing w:before="200"/>
        <w:ind w:firstLine="1134"/>
        <w:jc w:val="both"/>
        <w:rPr>
          <w:rFonts w:ascii="Arial" w:hAnsi="Arial" w:cs="Arial"/>
          <w:bCs/>
          <w:color w:val="000000"/>
          <w:sz w:val="24"/>
          <w:szCs w:val="24"/>
        </w:rPr>
      </w:pPr>
      <w:r w:rsidRPr="00494D80">
        <w:rPr>
          <w:rFonts w:ascii="Arial" w:hAnsi="Arial" w:cs="Arial"/>
          <w:b/>
          <w:bCs/>
          <w:color w:val="000000"/>
          <w:sz w:val="24"/>
          <w:szCs w:val="24"/>
        </w:rPr>
        <w:t>Art. 2º</w:t>
      </w:r>
      <w:r w:rsidRPr="00494D80">
        <w:rPr>
          <w:rFonts w:ascii="Arial" w:hAnsi="Arial" w:cs="Arial"/>
          <w:bCs/>
          <w:color w:val="000000"/>
          <w:sz w:val="24"/>
          <w:szCs w:val="24"/>
        </w:rPr>
        <w:t xml:space="preserve"> O Tribunal de Contas disponibiliza a cada usuário interno ou colaborador, mediante solicitação do gestor da unidade, um nome de usuário (identificador individual) vinculado ao número de matrícula funcional, com prefixo TC ou EX (usuário interno) ou UC (usuário colaborador), conforme sua classificação.</w:t>
      </w:r>
    </w:p>
    <w:p w14:paraId="662E3625" w14:textId="03F92A2B" w:rsidR="00EF3660" w:rsidRPr="00494D80" w:rsidRDefault="00EF3660" w:rsidP="0019354D">
      <w:pPr>
        <w:tabs>
          <w:tab w:val="left" w:pos="1300"/>
        </w:tabs>
        <w:autoSpaceDE w:val="0"/>
        <w:spacing w:before="200"/>
        <w:ind w:firstLine="1134"/>
        <w:jc w:val="both"/>
        <w:rPr>
          <w:rFonts w:ascii="Arial" w:hAnsi="Arial" w:cs="Arial"/>
          <w:bCs/>
          <w:sz w:val="24"/>
          <w:szCs w:val="24"/>
        </w:rPr>
      </w:pPr>
      <w:r w:rsidRPr="006A3B8F">
        <w:rPr>
          <w:rFonts w:ascii="Arial" w:hAnsi="Arial" w:cs="Arial"/>
          <w:sz w:val="24"/>
          <w:szCs w:val="24"/>
        </w:rPr>
        <w:t>Parágrafo único.</w:t>
      </w:r>
      <w:r w:rsidRPr="00494D80">
        <w:rPr>
          <w:rFonts w:ascii="Arial" w:hAnsi="Arial" w:cs="Arial"/>
          <w:bCs/>
          <w:sz w:val="24"/>
          <w:szCs w:val="24"/>
        </w:rPr>
        <w:t xml:space="preserve"> </w:t>
      </w:r>
      <w:r w:rsidRPr="00494D80">
        <w:rPr>
          <w:rFonts w:ascii="Arial" w:hAnsi="Arial" w:cs="Arial"/>
          <w:bCs/>
          <w:color w:val="000000"/>
          <w:sz w:val="24"/>
          <w:szCs w:val="24"/>
        </w:rPr>
        <w:t>O identificador individual, em conjunto com a senha privativa que autentica o usuário durante o processo de logon, dá acesso à rede interna do Tribunal, correio eletrônico, intranet e internet, observadas as regras contidas nesta Instrução. Usuários colaboradores terão acesso mais restrito e exclusivo à duração e escopo do seu trabalho no Tribunal.</w:t>
      </w:r>
    </w:p>
    <w:p w14:paraId="50D05176" w14:textId="77777777" w:rsidR="00EF3660" w:rsidRPr="00494D80" w:rsidRDefault="00EF3660" w:rsidP="0019354D">
      <w:pPr>
        <w:autoSpaceDE w:val="0"/>
        <w:spacing w:before="200"/>
        <w:ind w:firstLine="1134"/>
        <w:jc w:val="both"/>
        <w:rPr>
          <w:rFonts w:ascii="Arial" w:hAnsi="Arial" w:cs="Arial"/>
          <w:bCs/>
          <w:color w:val="000000"/>
          <w:sz w:val="24"/>
          <w:szCs w:val="24"/>
        </w:rPr>
      </w:pPr>
      <w:r w:rsidRPr="00494D80">
        <w:rPr>
          <w:rFonts w:ascii="Arial" w:hAnsi="Arial" w:cs="Arial"/>
          <w:b/>
          <w:bCs/>
          <w:color w:val="000000"/>
          <w:sz w:val="24"/>
          <w:szCs w:val="24"/>
        </w:rPr>
        <w:t>Art. 3º</w:t>
      </w:r>
      <w:r w:rsidRPr="00494D80">
        <w:rPr>
          <w:rFonts w:ascii="Arial" w:hAnsi="Arial" w:cs="Arial"/>
          <w:bCs/>
          <w:color w:val="000000"/>
          <w:sz w:val="24"/>
          <w:szCs w:val="24"/>
        </w:rPr>
        <w:t xml:space="preserve"> A senha deverá ser “forte” (suficientemente segura), atendendo os seguintes requisitos.</w:t>
      </w:r>
    </w:p>
    <w:p w14:paraId="62D20032" w14:textId="77777777" w:rsidR="00EF3660" w:rsidRPr="00494D80" w:rsidRDefault="00EF3660" w:rsidP="0019354D">
      <w:pPr>
        <w:tabs>
          <w:tab w:val="left" w:pos="1300"/>
        </w:tabs>
        <w:autoSpaceDE w:val="0"/>
        <w:spacing w:before="200"/>
        <w:ind w:firstLine="1134"/>
        <w:rPr>
          <w:rFonts w:ascii="Arial" w:hAnsi="Arial" w:cs="Arial"/>
          <w:color w:val="FF0000"/>
          <w:spacing w:val="2"/>
          <w:w w:val="89"/>
          <w:sz w:val="24"/>
          <w:szCs w:val="24"/>
        </w:rPr>
      </w:pPr>
      <w:r w:rsidRPr="00494D80">
        <w:rPr>
          <w:rFonts w:ascii="Arial" w:hAnsi="Arial" w:cs="Arial"/>
          <w:color w:val="000000"/>
          <w:spacing w:val="2"/>
          <w:w w:val="89"/>
          <w:sz w:val="24"/>
          <w:szCs w:val="24"/>
        </w:rPr>
        <w:t xml:space="preserve">I </w:t>
      </w:r>
      <w:r w:rsidRPr="00494D80">
        <w:rPr>
          <w:rFonts w:ascii="Arial" w:hAnsi="Arial" w:cs="Arial"/>
          <w:spacing w:val="2"/>
          <w:w w:val="89"/>
          <w:sz w:val="24"/>
          <w:szCs w:val="24"/>
        </w:rPr>
        <w:t xml:space="preserve">– deve ter no </w:t>
      </w:r>
      <w:r w:rsidRPr="00494D80">
        <w:rPr>
          <w:rFonts w:ascii="Arial" w:hAnsi="Arial" w:cs="Arial"/>
          <w:w w:val="93"/>
          <w:sz w:val="24"/>
          <w:szCs w:val="24"/>
        </w:rPr>
        <w:t>m</w:t>
      </w:r>
      <w:r w:rsidRPr="00494D80">
        <w:rPr>
          <w:rFonts w:ascii="Arial" w:hAnsi="Arial" w:cs="Arial"/>
          <w:w w:val="86"/>
          <w:sz w:val="24"/>
          <w:szCs w:val="24"/>
        </w:rPr>
        <w:t>ín</w:t>
      </w:r>
      <w:r w:rsidRPr="00494D80">
        <w:rPr>
          <w:rFonts w:ascii="Arial" w:hAnsi="Arial" w:cs="Arial"/>
          <w:sz w:val="24"/>
          <w:szCs w:val="24"/>
        </w:rPr>
        <w:t>i</w:t>
      </w:r>
      <w:r w:rsidRPr="00494D80">
        <w:rPr>
          <w:rFonts w:ascii="Arial" w:hAnsi="Arial" w:cs="Arial"/>
          <w:w w:val="93"/>
          <w:sz w:val="24"/>
          <w:szCs w:val="24"/>
        </w:rPr>
        <w:t>m</w:t>
      </w:r>
      <w:r w:rsidRPr="00494D80">
        <w:rPr>
          <w:rFonts w:ascii="Arial" w:hAnsi="Arial" w:cs="Arial"/>
          <w:w w:val="89"/>
          <w:sz w:val="24"/>
          <w:szCs w:val="24"/>
        </w:rPr>
        <w:t>o</w:t>
      </w:r>
      <w:r w:rsidRPr="00494D80">
        <w:rPr>
          <w:rFonts w:ascii="Arial" w:hAnsi="Arial" w:cs="Arial"/>
          <w:spacing w:val="-10"/>
          <w:sz w:val="24"/>
          <w:szCs w:val="24"/>
        </w:rPr>
        <w:t xml:space="preserve">  </w:t>
      </w:r>
      <w:r w:rsidRPr="00494D80">
        <w:rPr>
          <w:rFonts w:ascii="Arial" w:hAnsi="Arial" w:cs="Arial"/>
          <w:w w:val="89"/>
          <w:sz w:val="24"/>
          <w:szCs w:val="24"/>
        </w:rPr>
        <w:t>6</w:t>
      </w:r>
      <w:r w:rsidRPr="00494D80">
        <w:rPr>
          <w:rFonts w:ascii="Arial" w:hAnsi="Arial" w:cs="Arial"/>
          <w:color w:val="FF0000"/>
          <w:w w:val="89"/>
          <w:sz w:val="24"/>
          <w:szCs w:val="24"/>
        </w:rPr>
        <w:t xml:space="preserve"> </w:t>
      </w:r>
      <w:r w:rsidRPr="00494D80">
        <w:rPr>
          <w:rFonts w:ascii="Arial" w:hAnsi="Arial" w:cs="Arial"/>
          <w:bCs/>
          <w:sz w:val="24"/>
          <w:szCs w:val="24"/>
        </w:rPr>
        <w:t>caracteres</w:t>
      </w:r>
      <w:r w:rsidRPr="00494D80">
        <w:rPr>
          <w:rFonts w:ascii="Arial" w:hAnsi="Arial" w:cs="Arial"/>
          <w:w w:val="88"/>
          <w:sz w:val="24"/>
          <w:szCs w:val="24"/>
        </w:rPr>
        <w:t>;</w:t>
      </w:r>
    </w:p>
    <w:p w14:paraId="2D5E6052" w14:textId="77777777" w:rsidR="00EF3660" w:rsidRPr="00494D80" w:rsidRDefault="00EF3660" w:rsidP="0019354D">
      <w:pPr>
        <w:tabs>
          <w:tab w:val="left" w:pos="1300"/>
        </w:tabs>
        <w:autoSpaceDE w:val="0"/>
        <w:spacing w:before="200"/>
        <w:ind w:firstLine="1134"/>
        <w:rPr>
          <w:rFonts w:ascii="Arial" w:hAnsi="Arial" w:cs="Arial"/>
          <w:color w:val="000000"/>
          <w:spacing w:val="4"/>
          <w:sz w:val="24"/>
          <w:szCs w:val="24"/>
        </w:rPr>
      </w:pPr>
      <w:r w:rsidRPr="00494D80">
        <w:rPr>
          <w:rFonts w:ascii="Arial" w:hAnsi="Arial" w:cs="Arial"/>
          <w:color w:val="000000"/>
          <w:spacing w:val="2"/>
          <w:w w:val="88"/>
          <w:sz w:val="24"/>
          <w:szCs w:val="24"/>
        </w:rPr>
        <w:t xml:space="preserve">II – a senha deve conter pelo menos 3 dos  4 tipos de caracteres seguintes:  </w:t>
      </w:r>
      <w:r w:rsidRPr="00494D80">
        <w:rPr>
          <w:rFonts w:ascii="Arial" w:hAnsi="Arial" w:cs="Arial"/>
          <w:bCs/>
          <w:sz w:val="24"/>
          <w:szCs w:val="24"/>
        </w:rPr>
        <w:t>letras maiúsculas ou minúsculas, números ou caracteres especiais</w:t>
      </w:r>
      <w:r w:rsidRPr="00494D80">
        <w:rPr>
          <w:rFonts w:ascii="Arial" w:hAnsi="Arial" w:cs="Arial"/>
          <w:color w:val="000000"/>
          <w:w w:val="88"/>
          <w:sz w:val="24"/>
          <w:szCs w:val="24"/>
        </w:rPr>
        <w:t xml:space="preserve"> </w:t>
      </w:r>
      <w:r w:rsidRPr="00494D80">
        <w:rPr>
          <w:rFonts w:ascii="Arial" w:hAnsi="Arial" w:cs="Arial"/>
          <w:color w:val="000000"/>
          <w:spacing w:val="-1"/>
          <w:sz w:val="24"/>
          <w:szCs w:val="24"/>
        </w:rPr>
        <w:t>(</w:t>
      </w:r>
      <w:r w:rsidRPr="00494D80">
        <w:rPr>
          <w:rFonts w:ascii="Arial" w:hAnsi="Arial" w:cs="Arial"/>
          <w:color w:val="000000"/>
          <w:spacing w:val="6"/>
          <w:w w:val="120"/>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1"/>
          <w:w w:val="78"/>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8"/>
          <w:w w:val="89"/>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11"/>
          <w:w w:val="89"/>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9"/>
          <w:w w:val="93"/>
          <w:sz w:val="24"/>
          <w:szCs w:val="24"/>
        </w:rPr>
        <w:t>%</w:t>
      </w:r>
      <w:r w:rsidRPr="00494D80">
        <w:rPr>
          <w:rFonts w:ascii="Arial" w:hAnsi="Arial" w:cs="Arial"/>
          <w:color w:val="000000"/>
          <w:w w:val="90"/>
          <w:sz w:val="24"/>
          <w:szCs w:val="24"/>
        </w:rPr>
        <w:t>,</w:t>
      </w:r>
      <w:r w:rsidRPr="00494D80">
        <w:rPr>
          <w:rFonts w:ascii="Arial" w:hAnsi="Arial" w:cs="Arial"/>
          <w:color w:val="000000"/>
          <w:spacing w:val="8"/>
          <w:w w:val="85"/>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2"/>
          <w:w w:val="85"/>
          <w:sz w:val="24"/>
          <w:szCs w:val="24"/>
        </w:rPr>
        <w:t>+</w:t>
      </w:r>
      <w:r w:rsidRPr="00494D80">
        <w:rPr>
          <w:rFonts w:ascii="Arial" w:hAnsi="Arial" w:cs="Arial"/>
          <w:color w:val="000000"/>
          <w:w w:val="90"/>
          <w:sz w:val="24"/>
          <w:szCs w:val="24"/>
        </w:rPr>
        <w:t>,</w:t>
      </w:r>
      <w:r w:rsidRPr="00494D80">
        <w:rPr>
          <w:rFonts w:ascii="Arial" w:hAnsi="Arial" w:cs="Arial"/>
          <w:color w:val="000000"/>
          <w:spacing w:val="-6"/>
          <w:sz w:val="24"/>
          <w:szCs w:val="24"/>
        </w:rPr>
        <w:t xml:space="preserve"> </w:t>
      </w:r>
      <w:r w:rsidRPr="00494D80">
        <w:rPr>
          <w:rFonts w:ascii="Arial" w:hAnsi="Arial" w:cs="Arial"/>
          <w:color w:val="000000"/>
          <w:spacing w:val="-3"/>
          <w:w w:val="90"/>
          <w:sz w:val="24"/>
          <w:szCs w:val="24"/>
        </w:rPr>
        <w:t>...</w:t>
      </w:r>
      <w:r w:rsidRPr="00494D80">
        <w:rPr>
          <w:rFonts w:ascii="Arial" w:hAnsi="Arial" w:cs="Arial"/>
          <w:color w:val="000000"/>
          <w:w w:val="90"/>
          <w:sz w:val="24"/>
          <w:szCs w:val="24"/>
        </w:rPr>
        <w:t>.</w:t>
      </w:r>
      <w:r w:rsidRPr="00494D80">
        <w:rPr>
          <w:rFonts w:ascii="Arial" w:hAnsi="Arial" w:cs="Arial"/>
          <w:color w:val="000000"/>
          <w:spacing w:val="4"/>
          <w:sz w:val="24"/>
          <w:szCs w:val="24"/>
        </w:rPr>
        <w:t>);</w:t>
      </w:r>
    </w:p>
    <w:p w14:paraId="18A201AF" w14:textId="77777777" w:rsidR="00EF3660" w:rsidRPr="00494D80" w:rsidRDefault="00EF3660" w:rsidP="0019354D">
      <w:pPr>
        <w:tabs>
          <w:tab w:val="left" w:pos="1300"/>
        </w:tabs>
        <w:autoSpaceDE w:val="0"/>
        <w:spacing w:before="200"/>
        <w:ind w:firstLine="1134"/>
        <w:jc w:val="both"/>
        <w:rPr>
          <w:rFonts w:ascii="Arial" w:hAnsi="Arial" w:cs="Arial"/>
          <w:color w:val="000000"/>
          <w:spacing w:val="4"/>
          <w:sz w:val="24"/>
          <w:szCs w:val="24"/>
        </w:rPr>
      </w:pPr>
      <w:r w:rsidRPr="00494D80">
        <w:rPr>
          <w:rFonts w:ascii="Arial" w:hAnsi="Arial" w:cs="Arial"/>
          <w:color w:val="000000"/>
          <w:spacing w:val="4"/>
          <w:sz w:val="24"/>
          <w:szCs w:val="24"/>
        </w:rPr>
        <w:t>III – não deve ser o próprio nome ou partes dele, ou a matrícula;</w:t>
      </w:r>
    </w:p>
    <w:p w14:paraId="1A274C86" w14:textId="77777777" w:rsidR="00EF3660" w:rsidRPr="00494D80" w:rsidRDefault="00EF3660" w:rsidP="0019354D">
      <w:pPr>
        <w:tabs>
          <w:tab w:val="left" w:pos="1300"/>
        </w:tabs>
        <w:autoSpaceDE w:val="0"/>
        <w:spacing w:before="200"/>
        <w:ind w:firstLine="1134"/>
        <w:rPr>
          <w:rFonts w:ascii="Arial" w:hAnsi="Arial" w:cs="Arial"/>
          <w:color w:val="000000"/>
          <w:spacing w:val="4"/>
          <w:sz w:val="24"/>
          <w:szCs w:val="24"/>
        </w:rPr>
      </w:pPr>
      <w:r w:rsidRPr="00494D80">
        <w:rPr>
          <w:rFonts w:ascii="Arial" w:hAnsi="Arial" w:cs="Arial"/>
          <w:color w:val="000000"/>
          <w:spacing w:val="4"/>
          <w:sz w:val="24"/>
          <w:szCs w:val="24"/>
        </w:rPr>
        <w:t>IV – não deve ser registrada em papel;</w:t>
      </w:r>
    </w:p>
    <w:p w14:paraId="70AF8220" w14:textId="77777777" w:rsidR="00EF3660" w:rsidRPr="00494D80" w:rsidRDefault="00EF3660" w:rsidP="0019354D">
      <w:pPr>
        <w:tabs>
          <w:tab w:val="left" w:pos="1300"/>
        </w:tabs>
        <w:autoSpaceDE w:val="0"/>
        <w:spacing w:before="200"/>
        <w:ind w:firstLine="1134"/>
        <w:rPr>
          <w:rFonts w:ascii="Arial" w:hAnsi="Arial" w:cs="Arial"/>
          <w:color w:val="000000"/>
          <w:spacing w:val="4"/>
          <w:sz w:val="24"/>
          <w:szCs w:val="24"/>
        </w:rPr>
      </w:pPr>
      <w:r w:rsidRPr="00494D80">
        <w:rPr>
          <w:rFonts w:ascii="Arial" w:hAnsi="Arial" w:cs="Arial"/>
          <w:color w:val="000000"/>
          <w:spacing w:val="4"/>
          <w:sz w:val="24"/>
          <w:szCs w:val="24"/>
        </w:rPr>
        <w:lastRenderedPageBreak/>
        <w:t>V – deve ser fácil de lembrar, e difícil de ser adivinhada;</w:t>
      </w:r>
    </w:p>
    <w:p w14:paraId="181FF07A" w14:textId="77777777" w:rsidR="00EF3660" w:rsidRPr="00494D80" w:rsidRDefault="00EF3660" w:rsidP="0019354D">
      <w:pPr>
        <w:tabs>
          <w:tab w:val="left" w:pos="1300"/>
        </w:tabs>
        <w:autoSpaceDE w:val="0"/>
        <w:spacing w:before="200"/>
        <w:ind w:firstLine="1134"/>
        <w:rPr>
          <w:rFonts w:ascii="Arial" w:hAnsi="Arial" w:cs="Arial"/>
          <w:color w:val="000000"/>
          <w:spacing w:val="4"/>
          <w:sz w:val="24"/>
          <w:szCs w:val="24"/>
        </w:rPr>
      </w:pPr>
      <w:r w:rsidRPr="00494D80">
        <w:rPr>
          <w:rFonts w:ascii="Arial" w:hAnsi="Arial" w:cs="Arial"/>
          <w:color w:val="000000"/>
          <w:spacing w:val="4"/>
          <w:sz w:val="24"/>
          <w:szCs w:val="24"/>
        </w:rPr>
        <w:t>VI – a senha deve também evitar:</w:t>
      </w:r>
    </w:p>
    <w:p w14:paraId="1C592CB3"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nome de membros de sua família ou de amigos íntimos;</w:t>
      </w:r>
    </w:p>
    <w:p w14:paraId="2414813B"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nomes de pessoas ou lugares em geral;</w:t>
      </w:r>
    </w:p>
    <w:p w14:paraId="41AE82BC"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nome do sistema operacional ou da máquina que está sendo utilizada;</w:t>
      </w:r>
    </w:p>
    <w:p w14:paraId="5EDA3904"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nomes próprios;</w:t>
      </w:r>
    </w:p>
    <w:p w14:paraId="74CA3CAB"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datas</w:t>
      </w:r>
    </w:p>
    <w:p w14:paraId="0D8673BF"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números de telefone, de cartão de crédito, de carteira de identidade ou de outros documentos pessoais;</w:t>
      </w:r>
    </w:p>
    <w:p w14:paraId="7A13112B"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placas ou marcas de carros;</w:t>
      </w:r>
    </w:p>
    <w:p w14:paraId="488693F5"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palavras que constam de dicionários em qualquer idioma;</w:t>
      </w:r>
    </w:p>
    <w:p w14:paraId="6DE70939" w14:textId="77777777"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letras seguidas do teclado do computador (ASDFG, YUIOP);</w:t>
      </w:r>
    </w:p>
    <w:p w14:paraId="5359CD23" w14:textId="2034B2EA" w:rsidR="00EF3660" w:rsidRPr="006A3B8F" w:rsidRDefault="00EF3660" w:rsidP="0019354D">
      <w:pPr>
        <w:widowControl w:val="0"/>
        <w:numPr>
          <w:ilvl w:val="0"/>
          <w:numId w:val="1"/>
        </w:numPr>
        <w:tabs>
          <w:tab w:val="left" w:pos="1300"/>
        </w:tabs>
        <w:suppressAutoHyphens/>
        <w:autoSpaceDE w:val="0"/>
        <w:spacing w:before="200"/>
        <w:ind w:left="0" w:firstLine="1134"/>
        <w:rPr>
          <w:rFonts w:ascii="Arial" w:hAnsi="Arial" w:cs="Arial"/>
          <w:color w:val="000000"/>
          <w:spacing w:val="4"/>
          <w:sz w:val="24"/>
          <w:szCs w:val="24"/>
        </w:rPr>
      </w:pPr>
      <w:r w:rsidRPr="006A3B8F">
        <w:rPr>
          <w:rFonts w:ascii="Arial" w:hAnsi="Arial" w:cs="Arial"/>
          <w:color w:val="000000"/>
          <w:spacing w:val="4"/>
          <w:sz w:val="24"/>
          <w:szCs w:val="24"/>
        </w:rPr>
        <w:t>objetos ou locais que podem ser vistos a partir da mesa do usuário (nome de um livro na estante, nome de uma loja vista pela janela)</w:t>
      </w:r>
      <w:r w:rsidR="006A3B8F">
        <w:rPr>
          <w:rFonts w:ascii="Arial" w:hAnsi="Arial" w:cs="Arial"/>
          <w:color w:val="000000"/>
          <w:spacing w:val="4"/>
          <w:sz w:val="24"/>
          <w:szCs w:val="24"/>
        </w:rPr>
        <w:t>.</w:t>
      </w:r>
      <w:r w:rsidRPr="006A3B8F">
        <w:rPr>
          <w:rFonts w:ascii="Arial" w:hAnsi="Arial" w:cs="Arial"/>
          <w:color w:val="000000"/>
          <w:spacing w:val="4"/>
          <w:sz w:val="24"/>
          <w:szCs w:val="24"/>
        </w:rPr>
        <w:t xml:space="preserve"> </w:t>
      </w:r>
    </w:p>
    <w:p w14:paraId="5187419A" w14:textId="27968126" w:rsidR="00EF3660" w:rsidRPr="00494D80" w:rsidRDefault="00EF3660" w:rsidP="0019354D">
      <w:pPr>
        <w:tabs>
          <w:tab w:val="left" w:pos="1300"/>
        </w:tabs>
        <w:autoSpaceDE w:val="0"/>
        <w:spacing w:before="200"/>
        <w:ind w:firstLine="1134"/>
        <w:jc w:val="both"/>
        <w:rPr>
          <w:rFonts w:ascii="Arial" w:hAnsi="Arial" w:cs="Arial"/>
          <w:spacing w:val="2"/>
          <w:w w:val="89"/>
          <w:sz w:val="24"/>
          <w:szCs w:val="24"/>
        </w:rPr>
      </w:pPr>
      <w:r w:rsidRPr="00494D80">
        <w:rPr>
          <w:rFonts w:ascii="Arial" w:hAnsi="Arial" w:cs="Arial"/>
          <w:b/>
          <w:bCs/>
          <w:color w:val="000000"/>
          <w:sz w:val="24"/>
          <w:szCs w:val="24"/>
        </w:rPr>
        <w:t xml:space="preserve">Art. 4º </w:t>
      </w:r>
      <w:r w:rsidRPr="00494D80">
        <w:rPr>
          <w:rFonts w:ascii="Arial" w:hAnsi="Arial" w:cs="Arial"/>
          <w:bCs/>
          <w:sz w:val="24"/>
          <w:szCs w:val="24"/>
        </w:rPr>
        <w:t>A senha deverá ser trocada periodicamente, ou sempre que existir risco de comprometimento de sua confidencialidade. A cada 90 (noventa) dias o sistema vai solicitar esta troca obrigatoriamente, com emissão de alertas diários prévios.</w:t>
      </w:r>
    </w:p>
    <w:p w14:paraId="2A474AAD" w14:textId="06CD891D" w:rsidR="00EF3660" w:rsidRPr="00494D80" w:rsidRDefault="00EF3660" w:rsidP="0019354D">
      <w:pPr>
        <w:tabs>
          <w:tab w:val="left" w:pos="1300"/>
        </w:tabs>
        <w:autoSpaceDE w:val="0"/>
        <w:spacing w:before="200"/>
        <w:ind w:firstLine="1134"/>
        <w:jc w:val="both"/>
        <w:rPr>
          <w:rFonts w:ascii="Arial" w:hAnsi="Arial" w:cs="Arial"/>
          <w:bCs/>
          <w:sz w:val="24"/>
          <w:szCs w:val="24"/>
        </w:rPr>
      </w:pPr>
      <w:r w:rsidRPr="006A3B8F">
        <w:rPr>
          <w:rFonts w:ascii="Arial" w:hAnsi="Arial" w:cs="Arial"/>
          <w:sz w:val="24"/>
          <w:szCs w:val="24"/>
        </w:rPr>
        <w:t>Parágrafo único.</w:t>
      </w:r>
      <w:r w:rsidRPr="00494D80">
        <w:rPr>
          <w:rFonts w:ascii="Arial" w:hAnsi="Arial" w:cs="Arial"/>
          <w:bCs/>
          <w:sz w:val="24"/>
          <w:szCs w:val="24"/>
        </w:rPr>
        <w:t xml:space="preserve"> O usuário terá seu acesso bloqueado automaticamente quando da identificação de 5 (cinco) tentativas frustradas seguidas de acesso à rede do Tribunal. </w:t>
      </w:r>
    </w:p>
    <w:p w14:paraId="3F5F6619" w14:textId="787587A5" w:rsidR="00EF3660" w:rsidRPr="00494D80" w:rsidRDefault="00EF3660" w:rsidP="0019354D">
      <w:pPr>
        <w:tabs>
          <w:tab w:val="left" w:pos="1300"/>
        </w:tabs>
        <w:autoSpaceDE w:val="0"/>
        <w:spacing w:before="200"/>
        <w:ind w:firstLine="1134"/>
        <w:jc w:val="both"/>
        <w:rPr>
          <w:rFonts w:ascii="Arial" w:hAnsi="Arial" w:cs="Arial"/>
          <w:spacing w:val="2"/>
          <w:w w:val="89"/>
          <w:sz w:val="24"/>
          <w:szCs w:val="24"/>
        </w:rPr>
      </w:pPr>
      <w:r w:rsidRPr="00494D80">
        <w:rPr>
          <w:rFonts w:ascii="Arial" w:hAnsi="Arial" w:cs="Arial"/>
          <w:b/>
          <w:bCs/>
          <w:color w:val="000000"/>
          <w:sz w:val="24"/>
          <w:szCs w:val="24"/>
        </w:rPr>
        <w:t>Art. 5º</w:t>
      </w:r>
      <w:r w:rsidRPr="00494D80">
        <w:rPr>
          <w:rFonts w:ascii="Arial" w:hAnsi="Arial" w:cs="Arial"/>
          <w:bCs/>
          <w:color w:val="000000"/>
          <w:sz w:val="24"/>
          <w:szCs w:val="24"/>
        </w:rPr>
        <w:t xml:space="preserve"> </w:t>
      </w:r>
      <w:r w:rsidRPr="00494D80">
        <w:rPr>
          <w:rFonts w:ascii="Arial" w:hAnsi="Arial" w:cs="Arial"/>
          <w:bCs/>
          <w:sz w:val="24"/>
          <w:szCs w:val="24"/>
        </w:rPr>
        <w:t xml:space="preserve">A criação, proteção, segredo e alteração da senha é de responsabilidade de cada usuário, e identifica e responsabiliza seu titular por todo uso ou ação indevida que com sua senha for realizado, conforme dispõe o art. 14, da Resolução </w:t>
      </w:r>
      <w:r w:rsidRPr="00494D80">
        <w:rPr>
          <w:rFonts w:ascii="Arial" w:hAnsi="Arial" w:cs="Arial"/>
          <w:spacing w:val="2"/>
          <w:w w:val="89"/>
          <w:sz w:val="24"/>
          <w:szCs w:val="24"/>
        </w:rPr>
        <w:t>nº  23/2010.</w:t>
      </w:r>
    </w:p>
    <w:p w14:paraId="30A6414A" w14:textId="0723836C" w:rsidR="00EF3660" w:rsidRPr="00494D80" w:rsidRDefault="00EF3660" w:rsidP="0019354D">
      <w:pPr>
        <w:tabs>
          <w:tab w:val="left" w:pos="1300"/>
        </w:tabs>
        <w:autoSpaceDE w:val="0"/>
        <w:spacing w:before="200"/>
        <w:ind w:firstLine="1134"/>
        <w:jc w:val="both"/>
        <w:rPr>
          <w:rFonts w:ascii="Arial" w:hAnsi="Arial" w:cs="Arial"/>
          <w:bCs/>
          <w:sz w:val="24"/>
          <w:szCs w:val="24"/>
        </w:rPr>
      </w:pPr>
      <w:r w:rsidRPr="00494D80">
        <w:rPr>
          <w:rFonts w:ascii="Arial" w:hAnsi="Arial" w:cs="Arial"/>
          <w:b/>
          <w:bCs/>
          <w:color w:val="000000"/>
          <w:sz w:val="24"/>
          <w:szCs w:val="24"/>
        </w:rPr>
        <w:t>Art. 6º</w:t>
      </w:r>
      <w:r w:rsidRPr="00494D80">
        <w:rPr>
          <w:rFonts w:ascii="Arial" w:hAnsi="Arial" w:cs="Arial"/>
          <w:bCs/>
          <w:color w:val="000000"/>
          <w:sz w:val="24"/>
          <w:szCs w:val="24"/>
        </w:rPr>
        <w:t xml:space="preserve"> </w:t>
      </w:r>
      <w:r w:rsidRPr="00494D80">
        <w:rPr>
          <w:rFonts w:ascii="Arial" w:hAnsi="Arial" w:cs="Arial"/>
          <w:bCs/>
          <w:sz w:val="24"/>
          <w:szCs w:val="24"/>
        </w:rPr>
        <w:t xml:space="preserve">O Tribunal de Contas disponibilizará ainda aos seus usuários internos - servidores efetivos e comissionados, para efeito de assinatura digital, um certificado digital de pessoa física tipo A3, fornecido pelo Serpro, padrão ICP/Brasil, armazenado em mídia do tipo </w:t>
      </w:r>
      <w:r w:rsidRPr="00494D80">
        <w:rPr>
          <w:rFonts w:ascii="Arial" w:hAnsi="Arial" w:cs="Arial"/>
          <w:bCs/>
          <w:i/>
          <w:sz w:val="24"/>
          <w:szCs w:val="24"/>
        </w:rPr>
        <w:t>token</w:t>
      </w:r>
      <w:r w:rsidRPr="00494D80">
        <w:rPr>
          <w:rFonts w:ascii="Arial" w:hAnsi="Arial" w:cs="Arial"/>
          <w:bCs/>
          <w:sz w:val="24"/>
          <w:szCs w:val="24"/>
        </w:rPr>
        <w:t xml:space="preserve"> USB, respondendo o titular do certificado pela criação, troca, proteção da senha e da mídia.</w:t>
      </w:r>
    </w:p>
    <w:p w14:paraId="6B777820" w14:textId="360311DF" w:rsidR="00EF3660" w:rsidRPr="00494D80" w:rsidRDefault="00EF3660" w:rsidP="0019354D">
      <w:pPr>
        <w:tabs>
          <w:tab w:val="left" w:pos="1300"/>
        </w:tabs>
        <w:autoSpaceDE w:val="0"/>
        <w:spacing w:before="200"/>
        <w:ind w:firstLine="1134"/>
        <w:jc w:val="both"/>
        <w:rPr>
          <w:rFonts w:ascii="Arial" w:hAnsi="Arial" w:cs="Arial"/>
          <w:bCs/>
          <w:sz w:val="24"/>
          <w:szCs w:val="24"/>
        </w:rPr>
      </w:pPr>
      <w:r w:rsidRPr="006A3B8F">
        <w:rPr>
          <w:rFonts w:ascii="Arial" w:hAnsi="Arial" w:cs="Arial"/>
          <w:sz w:val="24"/>
          <w:szCs w:val="24"/>
        </w:rPr>
        <w:t>Parágrafo único.</w:t>
      </w:r>
      <w:r w:rsidRPr="00494D80">
        <w:rPr>
          <w:rFonts w:ascii="Arial" w:hAnsi="Arial" w:cs="Arial"/>
          <w:bCs/>
          <w:sz w:val="24"/>
          <w:szCs w:val="24"/>
        </w:rPr>
        <w:t xml:space="preserve"> Caberá ao titular solicitar junto à DTI a imediata e obrigatória revogação do seu certificado digital, quando houver suspeita do comprometimento de sua senha ou mídia, e especialmente em caso de perda, furto, roubo, ou acesso indevido.</w:t>
      </w:r>
    </w:p>
    <w:p w14:paraId="2DA9B61D" w14:textId="0685F709" w:rsidR="00EF3660" w:rsidRPr="00494D80" w:rsidRDefault="00EF3660" w:rsidP="0019354D">
      <w:pPr>
        <w:tabs>
          <w:tab w:val="left" w:pos="1300"/>
        </w:tabs>
        <w:autoSpaceDE w:val="0"/>
        <w:spacing w:before="200"/>
        <w:ind w:firstLine="1134"/>
        <w:jc w:val="both"/>
        <w:rPr>
          <w:rFonts w:ascii="Arial" w:hAnsi="Arial" w:cs="Arial"/>
          <w:bCs/>
          <w:sz w:val="24"/>
          <w:szCs w:val="24"/>
        </w:rPr>
      </w:pPr>
      <w:r w:rsidRPr="00494D80">
        <w:rPr>
          <w:rFonts w:ascii="Arial" w:hAnsi="Arial" w:cs="Arial"/>
          <w:b/>
          <w:bCs/>
          <w:color w:val="000000"/>
          <w:sz w:val="24"/>
          <w:szCs w:val="24"/>
        </w:rPr>
        <w:lastRenderedPageBreak/>
        <w:t>Art. 7º</w:t>
      </w:r>
      <w:r w:rsidRPr="00494D80">
        <w:rPr>
          <w:rFonts w:ascii="Arial" w:hAnsi="Arial" w:cs="Arial"/>
          <w:bCs/>
          <w:color w:val="000000"/>
          <w:sz w:val="24"/>
          <w:szCs w:val="24"/>
        </w:rPr>
        <w:t xml:space="preserve"> </w:t>
      </w:r>
      <w:r w:rsidRPr="00494D80">
        <w:rPr>
          <w:rFonts w:ascii="Arial" w:hAnsi="Arial" w:cs="Arial"/>
          <w:bCs/>
          <w:sz w:val="24"/>
          <w:szCs w:val="24"/>
        </w:rPr>
        <w:t>Esta Instrução entrará em vigência na data da sua publicação.</w:t>
      </w:r>
    </w:p>
    <w:p w14:paraId="605DEFDA" w14:textId="77777777" w:rsidR="00560D72" w:rsidRPr="006176CA" w:rsidRDefault="00560D72" w:rsidP="006A3B8F">
      <w:pPr>
        <w:pStyle w:val="Recuodecorpodetexto3"/>
        <w:spacing w:before="480" w:line="360" w:lineRule="auto"/>
        <w:ind w:firstLine="0"/>
        <w:jc w:val="center"/>
        <w:rPr>
          <w:rFonts w:ascii="Arial" w:hAnsi="Arial" w:cs="Arial"/>
          <w:color w:val="auto"/>
        </w:rPr>
      </w:pPr>
      <w:r w:rsidRPr="006176CA">
        <w:rPr>
          <w:rFonts w:ascii="Arial" w:hAnsi="Arial" w:cs="Arial"/>
          <w:color w:val="auto"/>
        </w:rPr>
        <w:t>Sala das Sessões, em 16 de dezembro de 2010.</w:t>
      </w:r>
    </w:p>
    <w:p w14:paraId="0EC75CD5" w14:textId="77777777" w:rsidR="00560D72" w:rsidRPr="006176CA" w:rsidRDefault="00560D72" w:rsidP="006A3B8F">
      <w:pPr>
        <w:pStyle w:val="Recuodecorpodetexto3"/>
        <w:spacing w:before="480" w:line="360" w:lineRule="auto"/>
        <w:jc w:val="center"/>
        <w:rPr>
          <w:rFonts w:ascii="Arial" w:hAnsi="Arial" w:cs="Arial"/>
          <w:b/>
          <w:color w:val="auto"/>
        </w:rPr>
      </w:pPr>
    </w:p>
    <w:p w14:paraId="11411AAB" w14:textId="77777777" w:rsidR="00560D72" w:rsidRPr="006176CA" w:rsidRDefault="00560D72" w:rsidP="006A3B8F">
      <w:pPr>
        <w:pStyle w:val="Recuodecorpodetexto3"/>
        <w:spacing w:line="360" w:lineRule="auto"/>
        <w:ind w:firstLine="0"/>
        <w:jc w:val="center"/>
        <w:rPr>
          <w:rFonts w:ascii="Arial" w:hAnsi="Arial" w:cs="Arial"/>
          <w:b/>
          <w:color w:val="auto"/>
        </w:rPr>
      </w:pPr>
      <w:r w:rsidRPr="006176CA">
        <w:rPr>
          <w:rFonts w:ascii="Arial" w:hAnsi="Arial" w:cs="Arial"/>
          <w:b/>
          <w:color w:val="auto"/>
        </w:rPr>
        <w:t>HERMAS EURIDES BRANDÃO</w:t>
      </w:r>
    </w:p>
    <w:p w14:paraId="09A8C9F2" w14:textId="77777777" w:rsidR="00560D72" w:rsidRDefault="00560D72" w:rsidP="006A3B8F">
      <w:pPr>
        <w:pStyle w:val="Recuodecorpodetexto3"/>
        <w:spacing w:line="360" w:lineRule="auto"/>
        <w:ind w:firstLine="0"/>
        <w:jc w:val="center"/>
        <w:rPr>
          <w:rFonts w:ascii="Arial" w:hAnsi="Arial" w:cs="Arial"/>
          <w:color w:val="auto"/>
        </w:rPr>
      </w:pPr>
      <w:r w:rsidRPr="006176CA">
        <w:rPr>
          <w:rFonts w:ascii="Arial" w:hAnsi="Arial" w:cs="Arial"/>
          <w:color w:val="auto"/>
        </w:rPr>
        <w:t>Presidente</w:t>
      </w:r>
    </w:p>
    <w:p w14:paraId="666A21AA" w14:textId="1C943782" w:rsidR="006A3B8F" w:rsidRPr="00756BD8" w:rsidRDefault="00756BD8" w:rsidP="00756BD8">
      <w:pPr>
        <w:pStyle w:val="Recuodecorpodetexto3"/>
        <w:spacing w:line="360" w:lineRule="auto"/>
        <w:ind w:firstLine="0"/>
        <w:jc w:val="left"/>
        <w:rPr>
          <w:rFonts w:ascii="Arial" w:hAnsi="Arial" w:cs="Arial"/>
          <w:color w:val="auto"/>
        </w:rPr>
      </w:pP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t>_______________________________________________________________</w:t>
      </w:r>
    </w:p>
    <w:p w14:paraId="2B5808C1" w14:textId="77777777" w:rsidR="00560D72" w:rsidRPr="00494D80" w:rsidRDefault="00560D72" w:rsidP="00F050CC">
      <w:pPr>
        <w:tabs>
          <w:tab w:val="left" w:pos="1300"/>
        </w:tabs>
        <w:autoSpaceDE w:val="0"/>
        <w:spacing w:line="360" w:lineRule="auto"/>
        <w:ind w:right="-20"/>
        <w:jc w:val="both"/>
        <w:rPr>
          <w:rFonts w:ascii="Arial" w:hAnsi="Arial" w:cs="Arial"/>
          <w:spacing w:val="2"/>
          <w:w w:val="89"/>
          <w:sz w:val="24"/>
          <w:szCs w:val="24"/>
        </w:rPr>
      </w:pPr>
    </w:p>
    <w:p w14:paraId="024B9D8D" w14:textId="77777777" w:rsidR="00FD58B4" w:rsidRPr="00CE455E" w:rsidRDefault="00FD58B4" w:rsidP="00FD58B4">
      <w:pPr>
        <w:jc w:val="center"/>
        <w:rPr>
          <w:rFonts w:ascii="Arial" w:hAnsi="Arial" w:cs="Arial"/>
          <w:b/>
          <w:sz w:val="24"/>
          <w:szCs w:val="24"/>
        </w:rPr>
      </w:pPr>
      <w:r w:rsidRPr="00CE455E">
        <w:rPr>
          <w:rFonts w:ascii="Arial" w:hAnsi="Arial" w:cs="Arial"/>
          <w:b/>
          <w:sz w:val="24"/>
          <w:szCs w:val="24"/>
        </w:rPr>
        <w:t>EXPOSIÇÃO DE MOTIVOS</w:t>
      </w:r>
    </w:p>
    <w:p w14:paraId="29E7EBF0" w14:textId="77777777" w:rsidR="00FD58B4" w:rsidRPr="006D2735" w:rsidRDefault="00FD58B4" w:rsidP="00FD58B4">
      <w:pPr>
        <w:rPr>
          <w:rFonts w:ascii="Arial" w:hAnsi="Arial" w:cs="Arial"/>
        </w:rPr>
      </w:pPr>
    </w:p>
    <w:p w14:paraId="41531521" w14:textId="77777777" w:rsidR="00FD58B4" w:rsidRPr="006D2735" w:rsidRDefault="00FD58B4" w:rsidP="00FD58B4">
      <w:pPr>
        <w:rPr>
          <w:rFonts w:ascii="Arial" w:hAnsi="Arial" w:cs="Arial"/>
        </w:rPr>
      </w:pPr>
    </w:p>
    <w:p w14:paraId="2B5E73A6" w14:textId="77777777" w:rsidR="00FD58B4" w:rsidRPr="006D2735" w:rsidRDefault="00FD58B4" w:rsidP="00D91FB6">
      <w:pPr>
        <w:pStyle w:val="NormalWeb"/>
        <w:spacing w:before="120" w:after="120"/>
        <w:ind w:firstLine="1134"/>
        <w:jc w:val="both"/>
        <w:rPr>
          <w:rFonts w:ascii="Arial" w:hAnsi="Arial" w:cs="Arial"/>
          <w:color w:val="000000"/>
          <w:sz w:val="20"/>
          <w:szCs w:val="20"/>
        </w:rPr>
      </w:pPr>
      <w:r>
        <w:rPr>
          <w:rFonts w:ascii="Arial" w:hAnsi="Arial" w:cs="Arial"/>
          <w:color w:val="000000"/>
        </w:rPr>
        <w:t>A partir do momento em que o Tribunal intensifica a utilização da Tecnologia da Informação, como principal agente de geração, armazenamento e integração de informações, surgem novos aspectos de segurança que precisam ser identificados, regulamentados e observados no seu cumprimento.</w:t>
      </w:r>
    </w:p>
    <w:p w14:paraId="618766EB" w14:textId="2D9633BA" w:rsidR="00FD58B4" w:rsidRDefault="00FD58B4" w:rsidP="00D91FB6">
      <w:pPr>
        <w:pStyle w:val="NormalWeb"/>
        <w:spacing w:before="120" w:after="120"/>
        <w:ind w:firstLine="1134"/>
        <w:jc w:val="both"/>
        <w:rPr>
          <w:rFonts w:ascii="Arial" w:hAnsi="Arial" w:cs="Arial"/>
          <w:color w:val="000000"/>
        </w:rPr>
      </w:pPr>
      <w:r>
        <w:rPr>
          <w:rFonts w:ascii="Arial" w:hAnsi="Arial" w:cs="Arial"/>
          <w:color w:val="000000"/>
        </w:rPr>
        <w:t xml:space="preserve">Com a </w:t>
      </w:r>
      <w:hyperlink r:id="rId8" w:history="1">
        <w:r w:rsidRPr="0019354D">
          <w:rPr>
            <w:rStyle w:val="Hyperlink"/>
            <w:rFonts w:cs="Arial"/>
            <w:sz w:val="24"/>
          </w:rPr>
          <w:t>Resolução nº 23/10</w:t>
        </w:r>
      </w:hyperlink>
      <w:r>
        <w:rPr>
          <w:rFonts w:ascii="Arial" w:hAnsi="Arial" w:cs="Arial"/>
          <w:color w:val="000000"/>
        </w:rPr>
        <w:t xml:space="preserve"> o Tribunal deu o primeiro e importante passo para a implantação da Segurança da Informação, formalizando a sua Política de Segurança da Informação e Comunicações – PSIC,</w:t>
      </w:r>
      <w:r w:rsidRPr="00E44D46">
        <w:rPr>
          <w:rFonts w:ascii="Arial" w:hAnsi="Arial" w:cs="Arial"/>
          <w:color w:val="000000"/>
        </w:rPr>
        <w:t xml:space="preserve"> </w:t>
      </w:r>
      <w:r>
        <w:rPr>
          <w:rFonts w:ascii="Arial" w:hAnsi="Arial" w:cs="Arial"/>
          <w:color w:val="000000"/>
        </w:rPr>
        <w:t>que estabelece diretrizes básicas, bem como, normas e procedimentos complementares destinados à proteção da informação e à disciplina de sua utilização.</w:t>
      </w:r>
    </w:p>
    <w:p w14:paraId="22842761" w14:textId="77777777" w:rsidR="00FD58B4" w:rsidRDefault="00FD58B4" w:rsidP="00D91FB6">
      <w:pPr>
        <w:pStyle w:val="NormalWeb"/>
        <w:spacing w:before="120" w:after="120"/>
        <w:ind w:firstLine="1134"/>
        <w:jc w:val="both"/>
        <w:rPr>
          <w:rFonts w:ascii="Arial" w:hAnsi="Arial" w:cs="Arial"/>
          <w:color w:val="000000"/>
        </w:rPr>
      </w:pPr>
      <w:r>
        <w:rPr>
          <w:rFonts w:ascii="Arial" w:hAnsi="Arial" w:cs="Arial"/>
          <w:color w:val="000000"/>
        </w:rPr>
        <w:t>Estas normas e procedimentos, por suas particularidades e extensão, deverão ser instituídos por instrução normativa, passando a integrar a Política de Segurança da Informação e Comunicações.</w:t>
      </w:r>
    </w:p>
    <w:p w14:paraId="42E77E31" w14:textId="77777777" w:rsidR="00FD58B4" w:rsidRDefault="00FD58B4" w:rsidP="00D91FB6">
      <w:pPr>
        <w:pStyle w:val="NormalWeb"/>
        <w:spacing w:before="120" w:after="120"/>
        <w:ind w:firstLine="1134"/>
        <w:jc w:val="both"/>
        <w:rPr>
          <w:rFonts w:ascii="Arial" w:hAnsi="Arial" w:cs="Arial"/>
          <w:lang w:val="pt-PT"/>
        </w:rPr>
      </w:pPr>
      <w:r>
        <w:rPr>
          <w:rFonts w:ascii="Arial" w:hAnsi="Arial" w:cs="Arial"/>
          <w:lang w:val="pt-PT"/>
        </w:rPr>
        <w:t xml:space="preserve">No exercício de suas atribuições, cada usuário do Tribunal é responsável por se identificar, através de seu </w:t>
      </w:r>
      <w:r w:rsidRPr="00330285">
        <w:rPr>
          <w:rFonts w:ascii="Arial" w:hAnsi="Arial" w:cs="Arial"/>
          <w:i/>
          <w:lang w:val="pt-PT"/>
        </w:rPr>
        <w:t>nome de usuário</w:t>
      </w:r>
      <w:r>
        <w:rPr>
          <w:rFonts w:ascii="Arial" w:hAnsi="Arial" w:cs="Arial"/>
          <w:lang w:val="pt-PT"/>
        </w:rPr>
        <w:t xml:space="preserve"> e </w:t>
      </w:r>
      <w:r w:rsidRPr="00330285">
        <w:rPr>
          <w:rFonts w:ascii="Arial" w:hAnsi="Arial" w:cs="Arial"/>
          <w:i/>
          <w:lang w:val="pt-PT"/>
        </w:rPr>
        <w:t>senha</w:t>
      </w:r>
      <w:r>
        <w:rPr>
          <w:rFonts w:ascii="Arial" w:hAnsi="Arial" w:cs="Arial"/>
          <w:lang w:val="pt-PT"/>
        </w:rPr>
        <w:t xml:space="preserve">, ou através do seu </w:t>
      </w:r>
      <w:r w:rsidRPr="00330285">
        <w:rPr>
          <w:rFonts w:ascii="Arial" w:hAnsi="Arial" w:cs="Arial"/>
          <w:i/>
          <w:lang w:val="pt-PT"/>
        </w:rPr>
        <w:t>certificado digital</w:t>
      </w:r>
      <w:r>
        <w:rPr>
          <w:rFonts w:ascii="Arial" w:hAnsi="Arial" w:cs="Arial"/>
          <w:lang w:val="pt-PT"/>
        </w:rPr>
        <w:t xml:space="preserve"> e </w:t>
      </w:r>
      <w:r w:rsidRPr="00330285">
        <w:rPr>
          <w:rFonts w:ascii="Arial" w:hAnsi="Arial" w:cs="Arial"/>
          <w:i/>
          <w:lang w:val="pt-PT"/>
        </w:rPr>
        <w:t>respectiva senha</w:t>
      </w:r>
      <w:r>
        <w:rPr>
          <w:rFonts w:ascii="Arial" w:hAnsi="Arial" w:cs="Arial"/>
          <w:lang w:val="pt-PT"/>
        </w:rPr>
        <w:t>, passando a ser responsável por qualquer ação que venha a ser realizada, deste momento em diante.</w:t>
      </w:r>
    </w:p>
    <w:p w14:paraId="45E1025B" w14:textId="77777777" w:rsidR="00FD58B4" w:rsidRDefault="00FD58B4" w:rsidP="00D91FB6">
      <w:pPr>
        <w:pStyle w:val="NormalWeb"/>
        <w:spacing w:before="120" w:after="120"/>
        <w:ind w:firstLine="1134"/>
        <w:jc w:val="both"/>
        <w:rPr>
          <w:rFonts w:ascii="Arial" w:hAnsi="Arial" w:cs="Arial"/>
          <w:lang w:val="pt-PT"/>
        </w:rPr>
      </w:pPr>
      <w:r>
        <w:rPr>
          <w:rFonts w:ascii="Arial" w:hAnsi="Arial" w:cs="Arial"/>
          <w:lang w:val="pt-PT"/>
        </w:rPr>
        <w:t>Considerando a importância de se liberar o acesso somente às pessoas devidamente autorizadas, de se prevenir a apropriação indevida de senhas, e de se manter o registro dos acessos às informações, a norma de acesso lógico aos sistemas é a primeira Instrução Normativa a ser apresentada para apreciação desta Corte.</w:t>
      </w:r>
    </w:p>
    <w:sectPr w:rsidR="00FD58B4" w:rsidSect="00FD58B4">
      <w:headerReference w:type="default" r:id="rId9"/>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7F70" w14:textId="77777777" w:rsidR="007C1E2C" w:rsidRDefault="007C1E2C" w:rsidP="00494D80">
      <w:r>
        <w:separator/>
      </w:r>
    </w:p>
  </w:endnote>
  <w:endnote w:type="continuationSeparator" w:id="0">
    <w:p w14:paraId="7F5B0579" w14:textId="77777777" w:rsidR="007C1E2C" w:rsidRDefault="007C1E2C" w:rsidP="0049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B7A2" w14:textId="77777777" w:rsidR="007C1E2C" w:rsidRDefault="007C1E2C" w:rsidP="00494D80">
      <w:r>
        <w:separator/>
      </w:r>
    </w:p>
  </w:footnote>
  <w:footnote w:type="continuationSeparator" w:id="0">
    <w:p w14:paraId="23DBEF7B" w14:textId="77777777" w:rsidR="007C1E2C" w:rsidRDefault="007C1E2C" w:rsidP="00494D80">
      <w:r>
        <w:continuationSeparator/>
      </w:r>
    </w:p>
  </w:footnote>
  <w:footnote w:id="1">
    <w:p w14:paraId="0D448AF4" w14:textId="77777777" w:rsidR="00FD365E" w:rsidRPr="00FF6009" w:rsidRDefault="00FD365E" w:rsidP="00FD365E">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199368F7" w14:textId="4973CF2D" w:rsidR="00FD365E" w:rsidRPr="00620F4B" w:rsidRDefault="002830E8" w:rsidP="00263768">
      <w:pPr>
        <w:pStyle w:val="PargrafodaLista"/>
        <w:widowControl/>
        <w:numPr>
          <w:ilvl w:val="0"/>
          <w:numId w:val="3"/>
        </w:numPr>
        <w:autoSpaceDE/>
        <w:autoSpaceDN/>
        <w:ind w:left="426" w:right="258" w:hanging="284"/>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876CD8" w:rsidRPr="00620F4B">
          <w:rPr>
            <w:rStyle w:val="Hyperlink"/>
            <w:rFonts w:cs="Arial"/>
            <w:b/>
            <w:bCs/>
            <w:sz w:val="20"/>
            <w:szCs w:val="20"/>
          </w:rPr>
          <w:t>Atos Oficiais do Tribunal de Contas do Estado do Paraná</w:t>
        </w:r>
        <w:r w:rsidR="00876CD8" w:rsidRPr="00620F4B">
          <w:rPr>
            <w:rStyle w:val="Hyperlink"/>
            <w:rFonts w:cs="Arial"/>
            <w:bCs/>
            <w:sz w:val="20"/>
            <w:szCs w:val="20"/>
          </w:rPr>
          <w:t>,</w:t>
        </w:r>
        <w:r w:rsidR="00876CD8" w:rsidRPr="00620F4B">
          <w:rPr>
            <w:rStyle w:val="Hyperlink"/>
            <w:rFonts w:cs="Arial"/>
            <w:sz w:val="20"/>
            <w:szCs w:val="20"/>
          </w:rPr>
          <w:t xml:space="preserve"> Curitiba, PR, n. 281, 7 jan. 2011, p. 60-61</w:t>
        </w:r>
      </w:hyperlink>
      <w:r w:rsidR="00876CD8" w:rsidRPr="00620F4B">
        <w:rPr>
          <w:rFonts w:ascii="Arial" w:hAnsi="Arial" w:cs="Arial"/>
          <w:sz w:val="20"/>
          <w:szCs w:val="20"/>
        </w:rPr>
        <w:t>.</w:t>
      </w:r>
    </w:p>
    <w:p w14:paraId="5C731708" w14:textId="15E06FBB" w:rsidR="004B1A87" w:rsidRPr="00620F4B" w:rsidRDefault="003E44C5" w:rsidP="00263768">
      <w:pPr>
        <w:pStyle w:val="Textodenotaderodap"/>
        <w:numPr>
          <w:ilvl w:val="0"/>
          <w:numId w:val="3"/>
        </w:numPr>
        <w:ind w:left="426" w:hanging="284"/>
        <w:rPr>
          <w:rStyle w:val="Hyperlink"/>
          <w:rFonts w:cs="Arial"/>
          <w:sz w:val="20"/>
        </w:rPr>
      </w:pPr>
      <w:r w:rsidRPr="00440443">
        <w:rPr>
          <w:rFonts w:ascii="Arial" w:hAnsi="Arial" w:cs="Arial"/>
        </w:rPr>
        <w:t>Origem:</w:t>
      </w:r>
      <w:r w:rsidRPr="00440443">
        <w:rPr>
          <w:rFonts w:cs="Calibri"/>
        </w:rPr>
        <w:t xml:space="preserve"> </w:t>
      </w:r>
      <w:r w:rsidR="004B1A87" w:rsidRPr="00620F4B">
        <w:rPr>
          <w:rFonts w:ascii="Arial" w:hAnsi="Arial" w:cs="Arial"/>
        </w:rPr>
        <w:t xml:space="preserve">Processo n. 61576-4/10 – </w:t>
      </w:r>
      <w:hyperlink r:id="rId2" w:history="1">
        <w:r w:rsidR="004B1A87" w:rsidRPr="00620F4B">
          <w:rPr>
            <w:rStyle w:val="Hyperlink"/>
            <w:rFonts w:cs="Arial"/>
            <w:sz w:val="20"/>
          </w:rPr>
          <w:t>Acórdão n. 3.710/2010 – Tribunal Pleno.</w:t>
        </w:r>
      </w:hyperlink>
    </w:p>
    <w:p w14:paraId="443CB623" w14:textId="34D0A398" w:rsidR="00FD365E" w:rsidRDefault="00620F4B" w:rsidP="00263768">
      <w:pPr>
        <w:pStyle w:val="Ttulo1"/>
        <w:numPr>
          <w:ilvl w:val="0"/>
          <w:numId w:val="3"/>
        </w:numPr>
        <w:ind w:left="426" w:hanging="284"/>
        <w:rPr>
          <w:rStyle w:val="Hyperlink"/>
          <w:rFonts w:cs="Arial"/>
          <w:b w:val="0"/>
          <w:bCs w:val="0"/>
          <w:sz w:val="20"/>
          <w:szCs w:val="20"/>
        </w:rPr>
      </w:pPr>
      <w:r w:rsidRPr="00AF71B8">
        <w:rPr>
          <w:rFonts w:ascii="Arial" w:hAnsi="Arial" w:cs="Arial"/>
          <w:bCs w:val="0"/>
          <w:sz w:val="20"/>
          <w:szCs w:val="20"/>
        </w:rPr>
        <w:t>Ver também</w:t>
      </w:r>
      <w:r w:rsidRPr="00620F4B">
        <w:rPr>
          <w:rFonts w:ascii="Arial" w:hAnsi="Arial" w:cs="Arial"/>
          <w:b w:val="0"/>
          <w:sz w:val="20"/>
          <w:szCs w:val="20"/>
        </w:rPr>
        <w:t xml:space="preserve">: </w:t>
      </w:r>
      <w:hyperlink r:id="rId3" w:history="1">
        <w:r w:rsidRPr="00620F4B">
          <w:rPr>
            <w:rStyle w:val="Hyperlink"/>
            <w:rFonts w:cs="Arial"/>
            <w:b w:val="0"/>
            <w:bCs w:val="0"/>
            <w:sz w:val="20"/>
            <w:szCs w:val="20"/>
          </w:rPr>
          <w:t>Resolução n. 23, de 29 de julho de 2010</w:t>
        </w:r>
      </w:hyperlink>
      <w:r w:rsidRPr="00620F4B">
        <w:rPr>
          <w:rStyle w:val="Hyperlink"/>
          <w:rFonts w:cs="Arial"/>
          <w:b w:val="0"/>
          <w:bCs w:val="0"/>
          <w:sz w:val="20"/>
          <w:szCs w:val="20"/>
        </w:rPr>
        <w:t>.</w:t>
      </w:r>
    </w:p>
    <w:p w14:paraId="0952B80B" w14:textId="12C08135" w:rsidR="00263768" w:rsidRPr="00263768" w:rsidRDefault="00263768" w:rsidP="00263768">
      <w:pPr>
        <w:numPr>
          <w:ilvl w:val="0"/>
          <w:numId w:val="3"/>
        </w:numPr>
        <w:ind w:left="426" w:hanging="284"/>
        <w:rPr>
          <w:rFonts w:ascii="Arial" w:hAnsi="Arial" w:cs="Arial"/>
          <w:lang w:val="pt-BR"/>
        </w:rPr>
      </w:pPr>
      <w:r w:rsidRPr="00263768">
        <w:rPr>
          <w:rFonts w:ascii="Arial" w:hAnsi="Arial" w:cs="Arial"/>
          <w:lang w:val="pt-BR"/>
        </w:rPr>
        <w:t>Ver abaixo a Exposição de Motivos.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BB8D" w14:textId="77777777" w:rsidR="00494D80" w:rsidRDefault="00494D80">
    <w:pPr>
      <w:pStyle w:val="Cabealho"/>
    </w:pPr>
  </w:p>
  <w:p w14:paraId="031C3C4F" w14:textId="4CD27893" w:rsidR="00C54A10" w:rsidRDefault="007C1E2C" w:rsidP="00C54A10">
    <w:pPr>
      <w:pStyle w:val="Cabealho"/>
      <w:spacing w:before="240" w:after="120"/>
      <w:ind w:left="1134"/>
      <w:jc w:val="center"/>
      <w:rPr>
        <w:rFonts w:ascii="Arial" w:hAnsi="Arial" w:cs="Arial"/>
        <w:b/>
        <w:sz w:val="28"/>
        <w:szCs w:val="28"/>
      </w:rPr>
    </w:pPr>
    <w:r>
      <w:rPr>
        <w:noProof/>
      </w:rPr>
      <w:pict w14:anchorId="6B704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7" o:sp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C54A10">
      <w:rPr>
        <w:rFonts w:ascii="Arial" w:hAnsi="Arial" w:cs="Arial"/>
        <w:b/>
        <w:sz w:val="28"/>
        <w:szCs w:val="28"/>
      </w:rPr>
      <w:t>TRIBUNAL DE CONTAS DO ESTADO DO PARANÁ</w:t>
    </w:r>
  </w:p>
  <w:p w14:paraId="19F5038A" w14:textId="77777777" w:rsidR="007B4215" w:rsidRDefault="007B4215">
    <w:pPr>
      <w:pStyle w:val="Cabealho"/>
    </w:pPr>
  </w:p>
  <w:p w14:paraId="614202B6" w14:textId="77777777" w:rsidR="00C54A10" w:rsidRDefault="00C54A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32EBD"/>
    <w:multiLevelType w:val="hybridMultilevel"/>
    <w:tmpl w:val="140A2C4C"/>
    <w:lvl w:ilvl="0" w:tplc="D1D2179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072B90"/>
    <w:multiLevelType w:val="hybridMultilevel"/>
    <w:tmpl w:val="F7FE846E"/>
    <w:lvl w:ilvl="0" w:tplc="DD8A9A16">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4E43D38"/>
    <w:multiLevelType w:val="hybridMultilevel"/>
    <w:tmpl w:val="AF1442E8"/>
    <w:lvl w:ilvl="0" w:tplc="0D2ED910">
      <w:start w:val="1"/>
      <w:numFmt w:val="lowerLetter"/>
      <w:lvlText w:val="%1)"/>
      <w:lvlJc w:val="left"/>
      <w:pPr>
        <w:ind w:left="1780" w:hanging="360"/>
      </w:pPr>
      <w:rPr>
        <w:rFonts w:hint="default"/>
        <w:i w:val="0"/>
        <w:iCs/>
      </w:r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num w:numId="1" w16cid:durableId="152382326">
    <w:abstractNumId w:val="2"/>
  </w:num>
  <w:num w:numId="2" w16cid:durableId="402683483">
    <w:abstractNumId w:val="1"/>
  </w:num>
  <w:num w:numId="3" w16cid:durableId="32960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660"/>
    <w:rsid w:val="00001590"/>
    <w:rsid w:val="000118E6"/>
    <w:rsid w:val="00021D96"/>
    <w:rsid w:val="0015466A"/>
    <w:rsid w:val="0019354D"/>
    <w:rsid w:val="00263768"/>
    <w:rsid w:val="002830E8"/>
    <w:rsid w:val="00310A10"/>
    <w:rsid w:val="00342048"/>
    <w:rsid w:val="003D76B5"/>
    <w:rsid w:val="003E44C5"/>
    <w:rsid w:val="00425E9B"/>
    <w:rsid w:val="00494D80"/>
    <w:rsid w:val="004B1A87"/>
    <w:rsid w:val="00560D72"/>
    <w:rsid w:val="00620F4B"/>
    <w:rsid w:val="006A3B8F"/>
    <w:rsid w:val="006F2998"/>
    <w:rsid w:val="00701853"/>
    <w:rsid w:val="00756BD8"/>
    <w:rsid w:val="00760044"/>
    <w:rsid w:val="00797900"/>
    <w:rsid w:val="007B4215"/>
    <w:rsid w:val="007C1E2C"/>
    <w:rsid w:val="00876CD8"/>
    <w:rsid w:val="00893078"/>
    <w:rsid w:val="009D12C3"/>
    <w:rsid w:val="009F10A9"/>
    <w:rsid w:val="00A221BD"/>
    <w:rsid w:val="00A231BF"/>
    <w:rsid w:val="00A57FF7"/>
    <w:rsid w:val="00A75311"/>
    <w:rsid w:val="00AF71B8"/>
    <w:rsid w:val="00B17391"/>
    <w:rsid w:val="00C22D7F"/>
    <w:rsid w:val="00C44603"/>
    <w:rsid w:val="00C54A10"/>
    <w:rsid w:val="00C6331C"/>
    <w:rsid w:val="00C67E51"/>
    <w:rsid w:val="00CA2A31"/>
    <w:rsid w:val="00D00C95"/>
    <w:rsid w:val="00D0510A"/>
    <w:rsid w:val="00D11555"/>
    <w:rsid w:val="00D2159B"/>
    <w:rsid w:val="00D91FB6"/>
    <w:rsid w:val="00EC01D8"/>
    <w:rsid w:val="00EF3660"/>
    <w:rsid w:val="00F050CC"/>
    <w:rsid w:val="00F40F9A"/>
    <w:rsid w:val="00FC37E2"/>
    <w:rsid w:val="00FD365E"/>
    <w:rsid w:val="00FD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5A64"/>
  <w15:chartTrackingRefBased/>
  <w15:docId w15:val="{DAF9953F-6F10-40F0-8139-A1E7774B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0"/>
    <w:rPr>
      <w:rFonts w:ascii="Times New Roman" w:eastAsia="Times New Roman" w:hAnsi="Times New Roman"/>
      <w:lang w:val="pt-PT"/>
    </w:rPr>
  </w:style>
  <w:style w:type="paragraph" w:styleId="Ttulo1">
    <w:name w:val="heading 1"/>
    <w:basedOn w:val="Normal"/>
    <w:next w:val="Normal"/>
    <w:link w:val="Ttulo1Char"/>
    <w:qFormat/>
    <w:rsid w:val="00620F4B"/>
    <w:pPr>
      <w:keepNext/>
      <w:outlineLvl w:val="0"/>
    </w:pPr>
    <w:rPr>
      <w:b/>
      <w:b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F3660"/>
    <w:rPr>
      <w:rFonts w:eastAsia="Calibri"/>
      <w:sz w:val="24"/>
      <w:szCs w:val="24"/>
      <w:lang w:val="pt-BR"/>
    </w:rPr>
  </w:style>
  <w:style w:type="character" w:styleId="Forte">
    <w:name w:val="Strong"/>
    <w:qFormat/>
    <w:rsid w:val="00EF3660"/>
    <w:rPr>
      <w:b/>
      <w:bCs/>
    </w:rPr>
  </w:style>
  <w:style w:type="paragraph" w:styleId="Cabealho">
    <w:name w:val="header"/>
    <w:basedOn w:val="Normal"/>
    <w:link w:val="CabealhoChar"/>
    <w:uiPriority w:val="99"/>
    <w:unhideWhenUsed/>
    <w:rsid w:val="00494D80"/>
    <w:pPr>
      <w:tabs>
        <w:tab w:val="center" w:pos="4252"/>
        <w:tab w:val="right" w:pos="8504"/>
      </w:tabs>
    </w:pPr>
  </w:style>
  <w:style w:type="character" w:customStyle="1" w:styleId="CabealhoChar">
    <w:name w:val="Cabeçalho Char"/>
    <w:link w:val="Cabealho"/>
    <w:uiPriority w:val="99"/>
    <w:rsid w:val="00494D80"/>
    <w:rPr>
      <w:rFonts w:ascii="Times New Roman" w:eastAsia="Times New Roman" w:hAnsi="Times New Roman" w:cs="Times New Roman"/>
      <w:sz w:val="20"/>
      <w:szCs w:val="20"/>
      <w:lang w:val="pt-PT" w:eastAsia="pt-BR"/>
    </w:rPr>
  </w:style>
  <w:style w:type="paragraph" w:styleId="Rodap">
    <w:name w:val="footer"/>
    <w:basedOn w:val="Normal"/>
    <w:link w:val="RodapChar"/>
    <w:uiPriority w:val="99"/>
    <w:unhideWhenUsed/>
    <w:rsid w:val="00494D80"/>
    <w:pPr>
      <w:tabs>
        <w:tab w:val="center" w:pos="4252"/>
        <w:tab w:val="right" w:pos="8504"/>
      </w:tabs>
    </w:pPr>
  </w:style>
  <w:style w:type="character" w:customStyle="1" w:styleId="RodapChar">
    <w:name w:val="Rodapé Char"/>
    <w:link w:val="Rodap"/>
    <w:uiPriority w:val="99"/>
    <w:rsid w:val="00494D80"/>
    <w:rPr>
      <w:rFonts w:ascii="Times New Roman" w:eastAsia="Times New Roman" w:hAnsi="Times New Roman" w:cs="Times New Roman"/>
      <w:sz w:val="20"/>
      <w:szCs w:val="20"/>
      <w:lang w:val="pt-PT" w:eastAsia="pt-BR"/>
    </w:rPr>
  </w:style>
  <w:style w:type="paragraph" w:styleId="Textodebalo">
    <w:name w:val="Balloon Text"/>
    <w:basedOn w:val="Normal"/>
    <w:link w:val="TextodebaloChar"/>
    <w:uiPriority w:val="99"/>
    <w:semiHidden/>
    <w:unhideWhenUsed/>
    <w:rsid w:val="00494D80"/>
    <w:rPr>
      <w:rFonts w:ascii="Tahoma" w:hAnsi="Tahoma" w:cs="Tahoma"/>
      <w:sz w:val="16"/>
      <w:szCs w:val="16"/>
    </w:rPr>
  </w:style>
  <w:style w:type="character" w:customStyle="1" w:styleId="TextodebaloChar">
    <w:name w:val="Texto de balão Char"/>
    <w:link w:val="Textodebalo"/>
    <w:uiPriority w:val="99"/>
    <w:semiHidden/>
    <w:rsid w:val="00494D80"/>
    <w:rPr>
      <w:rFonts w:ascii="Tahoma" w:eastAsia="Times New Roman" w:hAnsi="Tahoma" w:cs="Tahoma"/>
      <w:sz w:val="16"/>
      <w:szCs w:val="16"/>
      <w:lang w:val="pt-PT" w:eastAsia="pt-BR"/>
    </w:rPr>
  </w:style>
  <w:style w:type="paragraph" w:styleId="Recuodecorpodetexto3">
    <w:name w:val="Body Text Indent 3"/>
    <w:basedOn w:val="Normal"/>
    <w:link w:val="Recuodecorpodetexto3Char"/>
    <w:rsid w:val="00560D72"/>
    <w:pPr>
      <w:ind w:firstLine="720"/>
      <w:jc w:val="both"/>
    </w:pPr>
    <w:rPr>
      <w:color w:val="FF0000"/>
      <w:sz w:val="24"/>
      <w:szCs w:val="24"/>
      <w:lang w:val="pt-BR"/>
    </w:rPr>
  </w:style>
  <w:style w:type="character" w:customStyle="1" w:styleId="Recuodecorpodetexto3Char">
    <w:name w:val="Recuo de corpo de texto 3 Char"/>
    <w:link w:val="Recuodecorpodetexto3"/>
    <w:rsid w:val="00560D72"/>
    <w:rPr>
      <w:rFonts w:ascii="Times New Roman" w:eastAsia="Times New Roman" w:hAnsi="Times New Roman" w:cs="Times New Roman"/>
      <w:color w:val="FF0000"/>
      <w:sz w:val="24"/>
      <w:szCs w:val="24"/>
      <w:lang w:eastAsia="pt-BR"/>
    </w:rPr>
  </w:style>
  <w:style w:type="paragraph" w:styleId="Textodenotaderodap">
    <w:name w:val="footnote text"/>
    <w:basedOn w:val="Normal"/>
    <w:link w:val="TextodenotaderodapChar"/>
    <w:unhideWhenUsed/>
    <w:rsid w:val="00FD365E"/>
  </w:style>
  <w:style w:type="character" w:customStyle="1" w:styleId="TextodenotaderodapChar">
    <w:name w:val="Texto de nota de rodapé Char"/>
    <w:link w:val="Textodenotaderodap"/>
    <w:rsid w:val="00FD365E"/>
    <w:rPr>
      <w:rFonts w:ascii="Times New Roman" w:eastAsia="Times New Roman" w:hAnsi="Times New Roman"/>
      <w:lang w:val="pt-PT"/>
    </w:rPr>
  </w:style>
  <w:style w:type="character" w:styleId="Refdenotaderodap">
    <w:name w:val="footnote reference"/>
    <w:uiPriority w:val="99"/>
    <w:semiHidden/>
    <w:unhideWhenUsed/>
    <w:rsid w:val="00FD365E"/>
    <w:rPr>
      <w:vertAlign w:val="superscript"/>
    </w:rPr>
  </w:style>
  <w:style w:type="paragraph" w:styleId="PargrafodaLista">
    <w:name w:val="List Paragraph"/>
    <w:basedOn w:val="Normal"/>
    <w:uiPriority w:val="1"/>
    <w:qFormat/>
    <w:rsid w:val="00FD365E"/>
    <w:pPr>
      <w:widowControl w:val="0"/>
      <w:autoSpaceDE w:val="0"/>
      <w:autoSpaceDN w:val="0"/>
      <w:ind w:left="102" w:firstLine="1132"/>
      <w:jc w:val="both"/>
    </w:pPr>
    <w:rPr>
      <w:rFonts w:ascii="Arial MT" w:eastAsia="Arial MT" w:hAnsi="Arial MT" w:cs="Arial MT"/>
      <w:sz w:val="22"/>
      <w:szCs w:val="22"/>
      <w:lang w:eastAsia="en-US"/>
    </w:rPr>
  </w:style>
  <w:style w:type="character" w:styleId="Hyperlink">
    <w:name w:val="Hyperlink"/>
    <w:rsid w:val="00FD365E"/>
    <w:rPr>
      <w:rFonts w:ascii="Arial" w:hAnsi="Arial"/>
      <w:color w:val="0000FF"/>
      <w:sz w:val="16"/>
      <w:u w:val="single"/>
    </w:rPr>
  </w:style>
  <w:style w:type="character" w:styleId="MenoPendente">
    <w:name w:val="Unresolved Mention"/>
    <w:uiPriority w:val="99"/>
    <w:semiHidden/>
    <w:unhideWhenUsed/>
    <w:rsid w:val="00A75311"/>
    <w:rPr>
      <w:color w:val="605E5C"/>
      <w:shd w:val="clear" w:color="auto" w:fill="E1DFDD"/>
    </w:rPr>
  </w:style>
  <w:style w:type="character" w:customStyle="1" w:styleId="Ttulo1Char">
    <w:name w:val="Título 1 Char"/>
    <w:link w:val="Ttulo1"/>
    <w:rsid w:val="00620F4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3-de-29-de-julho-de-2010/1381/area/10" TargetMode="External"/><Relationship Id="rId3" Type="http://schemas.openxmlformats.org/officeDocument/2006/relationships/settings" Target="settings.xml"/><Relationship Id="rId7" Type="http://schemas.openxmlformats.org/officeDocument/2006/relationships/hyperlink" Target="http://www1.tce.pr.gov.br/conteudo/resolucao-n-23-de-29-de-julho-de-2010/1381/are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23-de-29-de-julho-de-2010/1381/area/10" TargetMode="External"/><Relationship Id="rId2" Type="http://schemas.openxmlformats.org/officeDocument/2006/relationships/hyperlink" Target="https://www1.tce.pr.gov.br/multimidia/2011/6/pdf/00010116.pdf" TargetMode="External"/><Relationship Id="rId1" Type="http://schemas.openxmlformats.org/officeDocument/2006/relationships/hyperlink" Target="http://www1.tce.pr.gov.br/multimidia/2011/1/pdf/000003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876</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tc506117</dc:creator>
  <cp:keywords/>
  <dc:description/>
  <cp:lastModifiedBy>Yarusya</cp:lastModifiedBy>
  <cp:revision>21</cp:revision>
  <dcterms:created xsi:type="dcterms:W3CDTF">2022-06-13T18:45:00Z</dcterms:created>
  <dcterms:modified xsi:type="dcterms:W3CDTF">2022-06-29T16:06:00Z</dcterms:modified>
</cp:coreProperties>
</file>