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22" w:rsidRDefault="00AB6922" w:rsidP="00AB692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7766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C77664">
        <w:rPr>
          <w:rFonts w:ascii="Arial" w:hAnsi="Arial" w:cs="Arial"/>
          <w:b/>
          <w:sz w:val="28"/>
          <w:szCs w:val="28"/>
        </w:rPr>
        <w:t>51/</w:t>
      </w:r>
      <w:r>
        <w:rPr>
          <w:rFonts w:ascii="Arial" w:hAnsi="Arial" w:cs="Arial"/>
          <w:b/>
          <w:sz w:val="28"/>
          <w:szCs w:val="28"/>
        </w:rPr>
        <w:t>20</w:t>
      </w:r>
      <w:r w:rsidRPr="00C77664">
        <w:rPr>
          <w:rFonts w:ascii="Arial" w:hAnsi="Arial" w:cs="Arial"/>
          <w:b/>
          <w:sz w:val="28"/>
          <w:szCs w:val="28"/>
        </w:rPr>
        <w:t>13</w:t>
      </w:r>
      <w:r w:rsidR="00C12442" w:rsidRPr="00C1244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F42997" w:rsidRPr="00F42997" w:rsidRDefault="00DC0EC7" w:rsidP="00AB6922">
      <w:pPr>
        <w:spacing w:after="12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CO</w:t>
      </w:r>
      <w:r w:rsidR="003A5B76">
        <w:rPr>
          <w:rFonts w:ascii="Arial" w:hAnsi="Arial" w:cs="Arial"/>
          <w:b/>
          <w:bCs/>
          <w:color w:val="0000FF"/>
          <w:sz w:val="28"/>
          <w:szCs w:val="28"/>
        </w:rPr>
        <w:t>MPILADA</w:t>
      </w:r>
    </w:p>
    <w:p w:rsidR="00AB6922" w:rsidRPr="00AB6922" w:rsidRDefault="00AB6922" w:rsidP="00AB6922">
      <w:pPr>
        <w:pStyle w:val="Ementa"/>
        <w:spacing w:before="360" w:after="360"/>
        <w:ind w:left="4536"/>
        <w:rPr>
          <w:i/>
          <w:szCs w:val="22"/>
        </w:rPr>
      </w:pPr>
      <w:r w:rsidRPr="00AB6922">
        <w:rPr>
          <w:i/>
          <w:szCs w:val="22"/>
        </w:rPr>
        <w:t xml:space="preserve">Altera a Instrução Normativa nº 82/2012 e as Instruções de Serviço </w:t>
      </w:r>
      <w:proofErr w:type="spellStart"/>
      <w:r w:rsidRPr="00AB6922">
        <w:rPr>
          <w:i/>
          <w:szCs w:val="22"/>
        </w:rPr>
        <w:t>nºs</w:t>
      </w:r>
      <w:proofErr w:type="spellEnd"/>
      <w:r w:rsidRPr="00AB6922">
        <w:rPr>
          <w:i/>
          <w:szCs w:val="22"/>
        </w:rPr>
        <w:t>. 11/2009 e 21/2011, e dá outras providências.</w:t>
      </w:r>
    </w:p>
    <w:p w:rsidR="00AB6922" w:rsidRPr="00F635CB" w:rsidRDefault="00AB6922" w:rsidP="00AB6922">
      <w:pPr>
        <w:pStyle w:val="Texto"/>
        <w:spacing w:after="120"/>
        <w:ind w:firstLine="1134"/>
        <w:rPr>
          <w:rFonts w:cs="Arial"/>
          <w:sz w:val="24"/>
        </w:rPr>
      </w:pPr>
      <w:r w:rsidRPr="00AB6922">
        <w:rPr>
          <w:rFonts w:cs="Arial"/>
          <w:sz w:val="24"/>
        </w:rPr>
        <w:t>O</w:t>
      </w:r>
      <w:r w:rsidRPr="00F635CB">
        <w:rPr>
          <w:rFonts w:cs="Arial"/>
          <w:b/>
          <w:sz w:val="24"/>
        </w:rPr>
        <w:t xml:space="preserve"> PRESIDENTE DO TRIBUNAL DE CONTAS DO ESTADO DO PARANÁ</w:t>
      </w:r>
      <w:r w:rsidRPr="00F635CB">
        <w:rPr>
          <w:rFonts w:cs="Arial"/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 w:rsidRPr="00F635CB">
        <w:rPr>
          <w:rFonts w:cs="Arial"/>
          <w:sz w:val="24"/>
        </w:rPr>
        <w:t>arts</w:t>
      </w:r>
      <w:proofErr w:type="spellEnd"/>
      <w:r w:rsidRPr="00F635CB">
        <w:rPr>
          <w:rFonts w:cs="Arial"/>
          <w:sz w:val="24"/>
        </w:rPr>
        <w:t>. 197 e 524-A, “</w:t>
      </w:r>
      <w:r w:rsidRPr="00F635CB">
        <w:rPr>
          <w:rFonts w:cs="Arial"/>
          <w:i/>
          <w:sz w:val="24"/>
        </w:rPr>
        <w:t>a”</w:t>
      </w:r>
      <w:r w:rsidRPr="00F635CB">
        <w:rPr>
          <w:rFonts w:cs="Arial"/>
          <w:sz w:val="24"/>
        </w:rPr>
        <w:t>, do Regimento Interno, no art. 4º, da Instrução Normativa nº 82/2012, e ainda no Acórdão nº 2.762/11-Tribunal Pleno,</w:t>
      </w:r>
    </w:p>
    <w:p w:rsidR="00AB6922" w:rsidRPr="00F635CB" w:rsidRDefault="00AB6922" w:rsidP="00AB6922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F635CB">
        <w:rPr>
          <w:rFonts w:cs="Arial"/>
          <w:b/>
          <w:bCs/>
          <w:sz w:val="24"/>
        </w:rPr>
        <w:t>RESOLVE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1º </w:t>
      </w:r>
      <w:r w:rsidRPr="00F635CB">
        <w:rPr>
          <w:rFonts w:cs="Arial"/>
          <w:sz w:val="24"/>
        </w:rPr>
        <w:t xml:space="preserve">Ficam excluídos do item 03, do Anexo IV,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Parágrafo único. Ficam, também, excluídos os itens 01, 02, 08 e 11, do Anexo IX, da Instrução Normativa nº 82/2012, referentes aos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>Art. 2º</w:t>
      </w:r>
      <w:r w:rsidRPr="00F635CB">
        <w:rPr>
          <w:rFonts w:cs="Arial"/>
          <w:sz w:val="24"/>
        </w:rPr>
        <w:t xml:space="preserve"> Ficam incluídos nos Anexos IV e IX,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Apostilamento e Prorrogação de Contrato, no assunto de Requerimento Interno, conforme quadros abaixo: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t>ANEXO IV</w:t>
      </w:r>
    </w:p>
    <w:p w:rsidR="00AB6922" w:rsidRPr="00F635CB" w:rsidRDefault="00AB6922" w:rsidP="00AB6922">
      <w:pPr>
        <w:spacing w:after="120"/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TABELA DE ASSUNTOS DE REQUERIMENTOS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260"/>
        <w:gridCol w:w="5270"/>
      </w:tblGrid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SUBASSUNTO</w:t>
            </w:r>
          </w:p>
        </w:tc>
      </w:tr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  <w:bCs/>
              </w:rPr>
              <w:t>REQUERIMENTO INTERNO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APOSTILAMENTO</w:t>
            </w:r>
          </w:p>
        </w:tc>
      </w:tr>
      <w:tr w:rsidR="00AB6922" w:rsidRPr="00F635CB" w:rsidTr="008E230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PRORROGAÇÃO DE CONTRATO</w:t>
            </w:r>
          </w:p>
        </w:tc>
      </w:tr>
    </w:tbl>
    <w:p w:rsidR="00F42997" w:rsidRDefault="00F42997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lastRenderedPageBreak/>
        <w:t>ANEXO IX</w:t>
      </w:r>
    </w:p>
    <w:p w:rsidR="00AB6922" w:rsidRPr="00F635CB" w:rsidRDefault="00AB6922" w:rsidP="00AB6922">
      <w:pPr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QUADRO DE CONCEITOS DOS REQUERIMENTOS INTERNOS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t>25.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firstLine="425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Apostilamento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8E23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 xml:space="preserve">expediente instaurado pelo Tribunal de Contas do Estado do Paraná, para fins de alteração de indicação de recursos orçamentários ou adicionais </w:t>
            </w:r>
            <w:proofErr w:type="spellStart"/>
            <w:r w:rsidRPr="00F635CB">
              <w:rPr>
                <w:rFonts w:ascii="Arial" w:hAnsi="Arial" w:cs="Arial"/>
              </w:rPr>
              <w:t>custeadores</w:t>
            </w:r>
            <w:proofErr w:type="spellEnd"/>
            <w:r w:rsidRPr="00F635CB">
              <w:rPr>
                <w:rFonts w:ascii="Arial" w:hAnsi="Arial" w:cs="Arial"/>
              </w:rPr>
              <w:t xml:space="preserve"> da despesa (sem modificação de valores), reajustamento de preços, bem como atualizações, compensações ou </w:t>
            </w:r>
            <w:proofErr w:type="spellStart"/>
            <w:r w:rsidRPr="00F635CB">
              <w:rPr>
                <w:rFonts w:ascii="Arial" w:hAnsi="Arial" w:cs="Arial"/>
              </w:rPr>
              <w:t>apenações</w:t>
            </w:r>
            <w:proofErr w:type="spellEnd"/>
            <w:r w:rsidRPr="00F635CB">
              <w:rPr>
                <w:rFonts w:ascii="Arial" w:hAnsi="Arial" w:cs="Arial"/>
              </w:rPr>
              <w:t xml:space="preserve"> financeiras decorrentes das condições de pagamento, nos termos do § 3º, do art. 108, da Lei nº 15.608/2007.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t>26.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left="426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Prorrogação de Contrato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8E23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>expediente instaurado pelo Tribunal de Contas do Estado do Paraná, para fins de prorrogação do prazo contratual, por ato do Presidente, independentemente de convalidação dos demais Conselheiros.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3º </w:t>
      </w:r>
      <w:r w:rsidRPr="00F635CB">
        <w:rPr>
          <w:rFonts w:cs="Arial"/>
          <w:sz w:val="24"/>
        </w:rPr>
        <w:t>Os dispositivos da Instrução de Serviço nº 11/2009,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3º</w:t>
      </w:r>
      <w:r w:rsidRPr="00F635CB">
        <w:rPr>
          <w:rFonts w:cs="Arial"/>
          <w:sz w:val="24"/>
        </w:rPr>
        <w:t xml:space="preserve"> Na tramitação dos requerimentos internos e processos constantes dos anexos I a VIII, desta Instrução de Serviço, a Controladoria Interna se manifestará, conforme 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10.</w:t>
      </w:r>
      <w:r w:rsidRPr="00F635CB">
        <w:rPr>
          <w:rFonts w:cs="Arial"/>
          <w:sz w:val="24"/>
        </w:rPr>
        <w:t xml:space="preserve"> Na tramitação dos requerimentos internos e processos constantes dos anexos I a VI, as unidades administrativas disporão dos prazos estabelecidos nos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11.</w:t>
      </w:r>
      <w:r w:rsidRPr="00F635CB">
        <w:rPr>
          <w:rFonts w:cs="Arial"/>
          <w:sz w:val="24"/>
        </w:rPr>
        <w:t xml:space="preserve"> Os processos de Execução Orçamentária e de Prestação de Contas Anual do Tribunal de Contas e do Fundo Especial do Controle Externo do Tribunal – FETC/PR deverão ser remetidos à Controladoria Interna, preliminarmente à análise conclusiva pela Diretoria de Contas Estaduais, para os fins previstos no art. 20 da Instrução Normativa nº 15/2007.”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A tramitação constante dos fluxos 20, 20.1, 21 e 21.1, prevista na Instrução de Serviço nº. 11/2009, fica alterada pelos anexos I a VIII, referentes aos seguintes assuntos de requerimentos e processos: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Apostilamento, Anexo 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Prorrogação de Contrato, Anexo 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III – Aditivo de Contrato, exceto Apostilamento e Prorrogação de Contrato, Anexo III;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Atos de Contratação do Tribunal,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de Licitação (modalidades), Anexo IV;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 xml:space="preserve">V – Atos de Contratação do Tribunal,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Dispensa/Inexigibilidade de Licitação, Anexo 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 – Convênio e Congêneres e Aditivo de Convênio e Congêneres, Anexo VI;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 – Execução Orçamentária do Tribunal e do FETC/PR, Anexo VII;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VIII – Prestação de Contas do Tribunal e do FETC/PR, Anexo VIII”.</w:t>
      </w:r>
    </w:p>
    <w:p w:rsidR="00AB6922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4º </w:t>
      </w:r>
      <w:r w:rsidRPr="00F635CB">
        <w:rPr>
          <w:rFonts w:cs="Arial"/>
          <w:sz w:val="24"/>
        </w:rPr>
        <w:t>Os dispositivos da Instrução de Serviço nº 21/2011,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  <w:u w:val="single"/>
        </w:rPr>
      </w:pPr>
      <w:r w:rsidRPr="00F635CB">
        <w:rPr>
          <w:rFonts w:cs="Arial"/>
          <w:sz w:val="24"/>
          <w:u w:val="single"/>
        </w:rPr>
        <w:t>“Art. 8º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Caberá ao gestor solicitante encaminhar o pedido e o respectivo formulário padronizado, devidamente preenchido e instruído com os documentos pertinentes, à Diretoria de Licitações e Contratos, via ofício, até a implementação de sistema informatizado específico para tal finalidade.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A partir do recebimento, pela Diretoria de Licitações e Contratos, os pedidos de solicitação de compras ou serviços seguirão os fluxogramas previstos nesta Instrução de Serviço.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Serão arquivados os requerimentos não autorizados, devendo o gestor da Diretoria de Licitações e Contratos comunicar o feito à unidade solicitante.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5º Se as especificações forem insuficientes, a Diretoria de Licitações e Contratos devolverá o pedido ao gestor solicitante, indicando a necessidade de complementação, antecedentemente à obtenção da autorização, de forma a preservar a competência inserta no art. 175-E, do Regimento Interno.”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14.</w:t>
      </w:r>
      <w:r w:rsidRPr="00F635CB">
        <w:rPr>
          <w:rFonts w:cs="Arial"/>
          <w:sz w:val="24"/>
        </w:rPr>
        <w:t xml:space="preserve"> Os requerimentos internos relativos às solicitações de apostilamentos e aditivos contratuais deverão ser formalizados, de acordo com o Anexo II, quando for o caso, pelo gestor responsável pela execução contratual durante a vigência do instrumento de contrato, convênio ou congênere em tempo hábil, para que não ocorra solução de continuidade no fornecimento do bem ou na execução do serviço, cabendo observar, ainda e obrigatoriamente, o prazo de, pelo menos, 120 (cento e vinte) dias, antes do termo final do instrumento originário.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Os comunicados expedidos pela Diretoria de Licitações e Contratos aos respectivos gestores, relativamente ao final da vigência contratual, deverão ser considerados como alertas e indicativos para formalização do pedido, quando for necessária a realização de termo aditivo, devendo ser observado o prazo previsto neste artigo.”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35.</w:t>
      </w:r>
      <w:r w:rsidRPr="00F635CB">
        <w:rPr>
          <w:rFonts w:cs="Arial"/>
          <w:sz w:val="24"/>
        </w:rPr>
        <w:t xml:space="preserve"> Concluída a licitação, aditivados os respectivos contratos ou os procedimentos de dispensa ou inexigibilidade e ultimados os procedimentos administrativos respectivos, a Diretoria de Licitações e Contratos encaminhará cópias do contrato ou do respectivo aditivo ao gestor e ao fiscal do respectivo termo, para fiscalização”.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“</w:t>
      </w:r>
      <w:r w:rsidRPr="00F635CB">
        <w:rPr>
          <w:rFonts w:cs="Arial"/>
          <w:sz w:val="24"/>
          <w:u w:val="single"/>
        </w:rPr>
        <w:t>Art. 39.</w:t>
      </w:r>
      <w:r w:rsidRPr="00F635CB">
        <w:rPr>
          <w:rFonts w:cs="Arial"/>
          <w:sz w:val="24"/>
        </w:rPr>
        <w:t xml:space="preserve"> Nos casos de substituições de titulares das unidades, a Diretoria de Licitações e Contratos comunicará aos novos gestores e respectivos fiscais da existência dos contratos sob sua responsabilidade.”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41.</w:t>
      </w:r>
      <w:r w:rsidRPr="00F635CB">
        <w:rPr>
          <w:rFonts w:cs="Arial"/>
          <w:sz w:val="24"/>
        </w:rPr>
        <w:t xml:space="preserve"> 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V – </w:t>
      </w:r>
      <w:proofErr w:type="gramStart"/>
      <w:r w:rsidRPr="00F635CB">
        <w:rPr>
          <w:rFonts w:cs="Arial"/>
          <w:sz w:val="24"/>
        </w:rPr>
        <w:t>encaminhar</w:t>
      </w:r>
      <w:proofErr w:type="gramEnd"/>
      <w:r w:rsidRPr="00F635CB">
        <w:rPr>
          <w:rFonts w:cs="Arial"/>
          <w:sz w:val="24"/>
        </w:rPr>
        <w:t xml:space="preserve"> à Diretoria de Licitações e Contratos, com antecedência de, pelo menos, 120 (cento e vinte) dias, os documentos necessários para a aquisição, contratação ou aditamento, observadas as exigências legais e desta Instrução de Serviço.”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5º </w:t>
      </w:r>
      <w:r w:rsidRPr="00F635CB">
        <w:rPr>
          <w:rFonts w:cs="Arial"/>
          <w:sz w:val="24"/>
        </w:rPr>
        <w:t>Ficam incluídos no art. 12 da Instrução de Serviço nº 11/2009 os §§ 1º e 2º, com a seguinte redação: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Os fluxogramas de tramitação servem como referência e devem ser adaptados conforme o caso concreto, tendo a natureza exemplificativa.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Eventuais inclusões, exclusões ou alterações dos modelos de tramitação devem ser feitas mediante Instrução de Serviço do Presidente.”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6º </w:t>
      </w:r>
      <w:r w:rsidRPr="00F635CB">
        <w:rPr>
          <w:rFonts w:cs="Arial"/>
          <w:sz w:val="24"/>
        </w:rPr>
        <w:t>Ficam incluídos na Instrução de Serviço nº 21/2011 os seguintes dispositivos: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 “</w:t>
      </w:r>
      <w:r w:rsidRPr="00F635CB">
        <w:rPr>
          <w:rFonts w:cs="Arial"/>
          <w:sz w:val="24"/>
          <w:u w:val="single"/>
        </w:rPr>
        <w:t>Art. 8º</w:t>
      </w:r>
      <w:r w:rsidRPr="00F635CB">
        <w:rPr>
          <w:rFonts w:cs="Arial"/>
          <w:sz w:val="24"/>
        </w:rPr>
        <w:t xml:space="preserve"> ... 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§ 6º Os pedidos de que trata o </w:t>
      </w:r>
      <w:r w:rsidRPr="00F635CB">
        <w:rPr>
          <w:rFonts w:cs="Arial"/>
          <w:i/>
          <w:sz w:val="24"/>
        </w:rPr>
        <w:t xml:space="preserve">caput, </w:t>
      </w:r>
      <w:r w:rsidRPr="00F635CB">
        <w:rPr>
          <w:rFonts w:cs="Arial"/>
          <w:sz w:val="24"/>
        </w:rPr>
        <w:t>referentes a despesas abrangidas nos incisos I e II, do art. 34, da Lei Estadual nº 15.608/2007, serão encaminhados à Diretoria de Administração de Material e Patrimônio, com observância das disposições desta Instrução de Serviço e do disposto no § 1º, do art. 522, do Regimento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7º Os pedidos referidos no parágrafo anterior, que não sejam autorizados, serão arquivados, devendo o gestor da Diretoria de Administração de Material e Patrimônio comunicar o feito à unidade solicitante.”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“</w:t>
      </w:r>
      <w:r w:rsidRPr="00F635CB">
        <w:rPr>
          <w:rFonts w:cs="Arial"/>
          <w:sz w:val="24"/>
          <w:u w:val="single"/>
        </w:rPr>
        <w:t>Art. 47-A.</w:t>
      </w:r>
      <w:r w:rsidRPr="00F635CB">
        <w:rPr>
          <w:rFonts w:cs="Arial"/>
          <w:sz w:val="24"/>
        </w:rPr>
        <w:t xml:space="preserve"> Os ofícios dirigidos ao Presidente, solicitando a aquisição de bens, contratação de serviços ou obras, inclusive aditivos, além da autorização e indicação de tramitação do Diretor Geral, deverão conter, no que couber: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 – nos apostilamentos e prorrogações de prazo: número do processo de licitação originário, número do contrato, contratada, objeto do contrato, finalidade do aditivo, prazos de vigência e execução do contrato, prazos inicial e final solicitados no aditivo, índice aplicado, valor total do aditamento,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</w:t>
      </w:r>
      <w:proofErr w:type="gramStart"/>
      <w:r w:rsidRPr="00F635CB">
        <w:rPr>
          <w:rFonts w:cs="Arial"/>
          <w:sz w:val="24"/>
        </w:rPr>
        <w:t>nas</w:t>
      </w:r>
      <w:proofErr w:type="gramEnd"/>
      <w:r w:rsidRPr="00F635CB">
        <w:rPr>
          <w:rFonts w:cs="Arial"/>
          <w:sz w:val="24"/>
        </w:rPr>
        <w:t xml:space="preserve"> licitações: objeto da aquisição/contratação, finalidade do certame, modalidade e tipo da licitação, prazos de vigência e execução, previsão de prorrogação, preço máximo,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III – dispensas e inexigibilidades: além das exigências da legislação especializada, objeto da aquisição/contratação, fundamento legal, finalidade da contratação, futura contratada, prazos de vigência e execução, valor total do contrato, unidade interessada, gestor do contrato, fiscal e fiscal substituto e informações complementares;</w:t>
      </w:r>
    </w:p>
    <w:p w:rsidR="00AB6922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</w:t>
      </w:r>
      <w:proofErr w:type="gramStart"/>
      <w:r w:rsidRPr="00F635CB">
        <w:rPr>
          <w:rFonts w:cs="Arial"/>
          <w:sz w:val="24"/>
        </w:rPr>
        <w:t>convênios</w:t>
      </w:r>
      <w:proofErr w:type="gramEnd"/>
      <w:r w:rsidRPr="00F635CB">
        <w:rPr>
          <w:rFonts w:cs="Arial"/>
          <w:sz w:val="24"/>
        </w:rPr>
        <w:t xml:space="preserve">, congêneres e seus aditivos: entidades convenentes, objeto, finalidade, prazos de vigência e execução, valores de repasse e contrapartida (se houver), gestor, fiscal e fiscal substituto e informações complementares.” </w:t>
      </w:r>
    </w:p>
    <w:p w:rsidR="00C12442" w:rsidRPr="003A5B76" w:rsidRDefault="00C12442" w:rsidP="00C12442">
      <w:pPr>
        <w:pStyle w:val="ArtigosOrdinais"/>
        <w:ind w:firstLine="1134"/>
        <w:rPr>
          <w:color w:val="0000FF"/>
          <w:sz w:val="24"/>
        </w:rPr>
      </w:pPr>
      <w:r w:rsidRPr="00C12442">
        <w:rPr>
          <w:sz w:val="24"/>
        </w:rPr>
        <w:t>Art. 6º-A.</w:t>
      </w:r>
      <w:r w:rsidRPr="008703E5">
        <w:rPr>
          <w:sz w:val="24"/>
        </w:rPr>
        <w:t xml:space="preserve"> Nas</w:t>
      </w:r>
      <w:r w:rsidRPr="008703E5">
        <w:rPr>
          <w:rFonts w:cs="Arial"/>
          <w:sz w:val="24"/>
        </w:rPr>
        <w:t xml:space="preserve"> aquisições ou contratações e nas celebrações de convênios e congêneres do Tribunal, que envolvam a área de Tecnologia da Informação, o ofício da unidade administrativa solicitante, previsto no item 1 dos fluxogramas de tramitação, constantes dos anexos I a VI, deve estar acompanhado da manifestação do Comitê de Tecnologia da Informação, em cumprimento ao disposto no inciso VI, do § 2º, do art. 186-B, do Regimento Interno.</w:t>
      </w:r>
      <w:r>
        <w:rPr>
          <w:rFonts w:cs="Arial"/>
          <w:sz w:val="24"/>
        </w:rPr>
        <w:t xml:space="preserve"> </w:t>
      </w:r>
      <w:r w:rsidRPr="003A5B76">
        <w:rPr>
          <w:rFonts w:cs="Arial"/>
          <w:color w:val="0000FF"/>
          <w:sz w:val="24"/>
        </w:rPr>
        <w:t xml:space="preserve">(Incluído pela </w:t>
      </w:r>
      <w:hyperlink r:id="rId8" w:history="1">
        <w:r w:rsidRPr="003A5B76">
          <w:rPr>
            <w:rStyle w:val="Hyperlink"/>
            <w:color w:val="0000FF"/>
            <w:sz w:val="24"/>
          </w:rPr>
          <w:t>Instrução de Serviço n. 114</w:t>
        </w:r>
        <w:r w:rsidR="003A5B76" w:rsidRPr="003A5B76">
          <w:rPr>
            <w:rStyle w:val="Hyperlink"/>
            <w:color w:val="0000FF"/>
            <w:sz w:val="24"/>
          </w:rPr>
          <w:t>/</w:t>
        </w:r>
        <w:r w:rsidRPr="003A5B76">
          <w:rPr>
            <w:rStyle w:val="Hyperlink"/>
            <w:color w:val="0000FF"/>
            <w:sz w:val="24"/>
          </w:rPr>
          <w:t>2017</w:t>
        </w:r>
      </w:hyperlink>
      <w:r w:rsidRPr="003A5B76">
        <w:rPr>
          <w:color w:val="0000FF"/>
          <w:sz w:val="24"/>
        </w:rPr>
        <w:t>)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bookmarkStart w:id="3" w:name="_GoBack"/>
      <w:bookmarkEnd w:id="3"/>
      <w:r w:rsidRPr="00F635CB">
        <w:rPr>
          <w:rFonts w:cs="Arial"/>
          <w:b/>
          <w:color w:val="000000"/>
          <w:sz w:val="24"/>
        </w:rPr>
        <w:t xml:space="preserve">Art. 7º </w:t>
      </w:r>
      <w:r w:rsidRPr="00F635CB">
        <w:rPr>
          <w:rFonts w:cs="Arial"/>
          <w:color w:val="000000"/>
          <w:sz w:val="24"/>
        </w:rPr>
        <w:t>Esta Instrução de Serviço entra em vigor na data de sua publicação.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color w:val="000000"/>
          <w:sz w:val="24"/>
        </w:rPr>
      </w:pPr>
      <w:r w:rsidRPr="00F635CB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24 de abril de 2013.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b/>
          <w:color w:val="000000"/>
          <w:sz w:val="24"/>
        </w:rPr>
      </w:pPr>
      <w:r w:rsidRPr="00F635CB">
        <w:rPr>
          <w:rFonts w:cs="Arial"/>
          <w:b/>
          <w:color w:val="000000"/>
          <w:sz w:val="24"/>
        </w:rPr>
        <w:t xml:space="preserve">Conselheiro </w:t>
      </w:r>
      <w:r>
        <w:rPr>
          <w:rFonts w:cs="Arial"/>
          <w:b/>
          <w:color w:val="000000"/>
          <w:sz w:val="24"/>
        </w:rPr>
        <w:t>ARTAGÃO DE MATTOS LEÃO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0"/>
        <w:ind w:firstLine="1134"/>
        <w:rPr>
          <w:rFonts w:cs="Arial"/>
          <w:sz w:val="28"/>
          <w:szCs w:val="28"/>
        </w:rPr>
      </w:pPr>
      <w:r w:rsidRPr="00F635CB">
        <w:rPr>
          <w:rFonts w:cs="Arial"/>
          <w:color w:val="000000"/>
          <w:sz w:val="24"/>
        </w:rPr>
        <w:t>Presidente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Apostilamento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Registrar o apostilamento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o ato do apostilamento.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Prorrogação de Contrato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aditivo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 xml:space="preserve">Coletar as assinaturas do aditivo. 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Juntar o aditivo assinado no processo.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o extrato do aditivo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cópia do aditivo à unidade solicitante e ao contratado.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ADITIVO DE CONTRATO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>(exceto apostilamento/prorrogação de contrato)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a minuta do aditivo do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 xml:space="preserve">Protocolar o ofício na Diretoria de Protocolo, para autuar como Aditivo de Contrato.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Protocolar e autuar como Aditivo de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jTC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Preparar voto.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Deliberar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Conferir o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assinatura do Presidente.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acórdão para publicação.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 assinaturas do aditivo.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o aditivo assinado no processo.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o extrato do aditivo para publicação.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a publicação do extrato do aditivo.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cópia do aditivo à unidade solicitante e ao contratado.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Compras/Contratos.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tabs>
          <w:tab w:val="left" w:pos="496"/>
          <w:tab w:val="left" w:pos="2197"/>
          <w:tab w:val="left" w:pos="857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licitação (modalidades)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094"/>
        <w:gridCol w:w="1514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minuta do ato convocatório e do contrato (se houver)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a realização da licitação.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Realizar a Licitação.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contrato/ata de registro de preços.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contrato/ata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contrato/ata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cópia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Dispensa/Inexigibilidade de Licitação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a minuta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sz w:val="20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e autuar como Atos de Contratação do Tribunal, com 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 xml:space="preserve"> respectivo.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Preparar voto.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Conferir o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assinatura do Presidente.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acórdão para publicação.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o pedido de empenho e coletar a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 assinaturas do contrato.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o contrato assinado no processo.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o extrato do contrato para publicação.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a publicação do extrato.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 unidade solicitante e ao contratado cópia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Compras/Contratos.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18"/>
          <w:szCs w:val="18"/>
        </w:rPr>
      </w:pP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20"/>
          <w:szCs w:val="20"/>
        </w:rPr>
      </w:pPr>
      <w:r w:rsidRPr="00F635CB">
        <w:rPr>
          <w:rFonts w:cs="Arial"/>
          <w:b/>
          <w:sz w:val="20"/>
          <w:szCs w:val="20"/>
        </w:rPr>
        <w:t>Obs.:</w:t>
      </w:r>
      <w:r w:rsidRPr="00F635CB">
        <w:rPr>
          <w:rFonts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 xml:space="preserve">CONVÊNIO E CONGÊNERES 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ADITIVO DE CONVÊNIO E CONGÊNERES 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8E2306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8E2306">
            <w:pPr>
              <w:spacing w:before="120" w:line="276" w:lineRule="auto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 xml:space="preserve"> (dias)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convênio ou aditivo do convênio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o ofício na Diretoria de Protocolo, para autuar como Convênio e Congêneres ou Aditivo de Convênio e Congêneres, conforme o caso.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como Convênio e Congêneres ou Aditivo de Convênio e Congêneres, conforme o caso.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 (se couber,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16, IX,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(se couber) e coletar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8E2306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convênio ou do aditivo ao convênio.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convênio ou aditivo do convênio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convênio ou aditivo do convênio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cópia do convênio ou do aditivo à unidade solicitante e aos conveniados.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convênio,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EXECUÇÃO ORÇAMENTÁRIA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Execução Orçamentária</w:t>
            </w:r>
          </w:p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8E2306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8E2306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Tribunal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</w:rPr>
      </w:pPr>
      <w:r w:rsidRPr="00F635CB">
        <w:rPr>
          <w:rFonts w:ascii="Arial" w:hAnsi="Arial" w:cs="Arial"/>
          <w:b/>
          <w:sz w:val="20"/>
        </w:rPr>
        <w:t xml:space="preserve">Obs.: </w:t>
      </w:r>
      <w:r w:rsidRPr="00F635CB">
        <w:rPr>
          <w:rFonts w:ascii="Arial" w:hAnsi="Arial" w:cs="Arial"/>
          <w:sz w:val="20"/>
        </w:rPr>
        <w:t>Nos processos de Execução Orçamentária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PRESTAÇÃO DE CONTAS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8E2306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Prestação de Contas Anual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  <w:r w:rsidRPr="00F635CB">
              <w:rPr>
                <w:rFonts w:ascii="Arial" w:hAnsi="Arial" w:cs="Arial"/>
                <w:vanish/>
              </w:rPr>
              <w:t xml:space="preserve">anifestaras Anualnal, Anexo VIIIde Licitaçbunal, nos termos da legislaçrt.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8E23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8E2306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8E2306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Expedir ofício à </w:t>
            </w:r>
            <w:proofErr w:type="spellStart"/>
            <w:r w:rsidRPr="00F635CB">
              <w:rPr>
                <w:rFonts w:ascii="Arial" w:hAnsi="Arial" w:cs="Arial"/>
              </w:rPr>
              <w:t>Assembléia</w:t>
            </w:r>
            <w:proofErr w:type="spellEnd"/>
            <w:r w:rsidRPr="00F635CB">
              <w:rPr>
                <w:rFonts w:ascii="Arial" w:hAnsi="Arial" w:cs="Arial"/>
              </w:rPr>
              <w:t xml:space="preserve"> Legislativa do Estado.</w:t>
            </w:r>
          </w:p>
        </w:tc>
      </w:tr>
      <w:tr w:rsidR="00AB6922" w:rsidRPr="00F635CB" w:rsidTr="008E2306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8E2306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0"/>
        <w:ind w:left="0" w:right="0" w:firstLine="0"/>
      </w:pPr>
      <w:r w:rsidRPr="00F635CB">
        <w:rPr>
          <w:b/>
          <w:sz w:val="20"/>
        </w:rPr>
        <w:t xml:space="preserve">Obs.: </w:t>
      </w:r>
      <w:r w:rsidRPr="00F635CB">
        <w:rPr>
          <w:sz w:val="20"/>
        </w:rPr>
        <w:t>Nos processos de Prestação de Contas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554EF5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922" w:rsidRDefault="00AB6922" w:rsidP="00AB6922">
      <w:pPr>
        <w:spacing w:after="0" w:line="240" w:lineRule="auto"/>
      </w:pPr>
      <w:r>
        <w:separator/>
      </w:r>
    </w:p>
  </w:endnote>
  <w:endnote w:type="continuationSeparator" w:id="0">
    <w:p w:rsidR="00AB6922" w:rsidRDefault="00AB6922" w:rsidP="00A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F42997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35CB" w:rsidRDefault="003A5B76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F42997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635CB" w:rsidRDefault="003A5B76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922" w:rsidRDefault="00AB6922" w:rsidP="00AB6922">
      <w:pPr>
        <w:spacing w:after="0" w:line="240" w:lineRule="auto"/>
      </w:pPr>
      <w:r>
        <w:separator/>
      </w:r>
    </w:p>
  </w:footnote>
  <w:footnote w:type="continuationSeparator" w:id="0">
    <w:p w:rsidR="00AB6922" w:rsidRDefault="00AB6922" w:rsidP="00AB6922">
      <w:pPr>
        <w:spacing w:after="0" w:line="240" w:lineRule="auto"/>
      </w:pPr>
      <w:r>
        <w:continuationSeparator/>
      </w:r>
    </w:p>
  </w:footnote>
  <w:footnote w:id="1">
    <w:p w:rsidR="00C12442" w:rsidRPr="00C12442" w:rsidRDefault="00C12442" w:rsidP="00C12442">
      <w:pPr>
        <w:pStyle w:val="Textodenotaderodap"/>
        <w:rPr>
          <w:rFonts w:ascii="Arial" w:hAnsi="Arial" w:cs="Arial"/>
        </w:rPr>
      </w:pPr>
      <w:r w:rsidRPr="00C12442">
        <w:rPr>
          <w:rStyle w:val="Refdenotaderodap"/>
          <w:rFonts w:ascii="Arial" w:hAnsi="Arial" w:cs="Arial"/>
        </w:rPr>
        <w:sym w:font="Symbol" w:char="F02A"/>
      </w:r>
      <w:r w:rsidRPr="00C12442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C12442">
        <w:rPr>
          <w:rFonts w:ascii="Arial" w:hAnsi="Arial" w:cs="Arial"/>
          <w:b/>
        </w:rPr>
        <w:t>Notas da Biblioteca:</w:t>
      </w:r>
    </w:p>
    <w:p w:rsidR="00C12442" w:rsidRDefault="00C12442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C12442">
        <w:rPr>
          <w:rFonts w:ascii="Arial" w:hAnsi="Arial" w:cs="Arial"/>
        </w:rPr>
        <w:t>Este texto não substitui o publicado no periódico:</w:t>
      </w:r>
      <w:bookmarkEnd w:id="1"/>
      <w:bookmarkEnd w:id="2"/>
      <w:r w:rsidRPr="00C12442">
        <w:rPr>
          <w:rFonts w:ascii="Arial" w:hAnsi="Arial" w:cs="Arial"/>
        </w:rPr>
        <w:t xml:space="preserve"> </w:t>
      </w:r>
      <w:hyperlink r:id="rId1" w:history="1">
        <w:r w:rsidRPr="00C12442">
          <w:rPr>
            <w:rStyle w:val="Hyperlink"/>
            <w:rFonts w:ascii="Arial" w:hAnsi="Arial" w:cs="Arial"/>
          </w:rPr>
          <w:t>Diário Eletrônico do Tribunal de Contas do Estado do Paraná, Curitiba, PR, n. 628, 26 abr. 2013, p. 76-79</w:t>
        </w:r>
      </w:hyperlink>
      <w:r w:rsidRPr="00C12442">
        <w:rPr>
          <w:rFonts w:ascii="Arial" w:hAnsi="Arial" w:cs="Arial"/>
        </w:rPr>
        <w:t>.</w:t>
      </w:r>
    </w:p>
    <w:p w:rsidR="00990537" w:rsidRPr="00990537" w:rsidRDefault="00990537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990537">
        <w:rPr>
          <w:rStyle w:val="Forte"/>
          <w:rFonts w:ascii="Arial" w:hAnsi="Arial" w:cs="Arial"/>
          <w:color w:val="0000FF"/>
        </w:rPr>
        <w:t>Alterada</w:t>
      </w:r>
      <w:r w:rsidRPr="00990537">
        <w:rPr>
          <w:rStyle w:val="Forte"/>
          <w:rFonts w:ascii="Arial" w:hAnsi="Arial" w:cs="Arial"/>
        </w:rPr>
        <w:t xml:space="preserve"> por</w:t>
      </w:r>
      <w:r w:rsidRPr="00990537">
        <w:rPr>
          <w:rFonts w:ascii="Arial" w:hAnsi="Arial" w:cs="Arial"/>
        </w:rPr>
        <w:t xml:space="preserve">: </w:t>
      </w:r>
      <w:hyperlink r:id="rId2" w:history="1">
        <w:r w:rsidRPr="00990537">
          <w:rPr>
            <w:rStyle w:val="Hyperlink"/>
            <w:rFonts w:ascii="Arial" w:hAnsi="Arial" w:cs="Arial"/>
          </w:rPr>
          <w:t>Instrução de Serviço n. 114, de 9 de outubro de 2017</w:t>
        </w:r>
      </w:hyperlink>
      <w:r w:rsidRPr="00990537">
        <w:rPr>
          <w:rFonts w:ascii="Arial" w:hAnsi="Arial" w:cs="Arial"/>
        </w:rPr>
        <w:t>.</w:t>
      </w:r>
    </w:p>
    <w:p w:rsidR="00C12442" w:rsidRPr="00C12442" w:rsidRDefault="00C12442" w:rsidP="00C12442">
      <w:pPr>
        <w:pStyle w:val="NormalWeb"/>
        <w:numPr>
          <w:ilvl w:val="0"/>
          <w:numId w:val="9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C12442">
        <w:rPr>
          <w:rStyle w:val="Forte"/>
          <w:rFonts w:ascii="Arial" w:hAnsi="Arial" w:cs="Arial"/>
          <w:sz w:val="20"/>
          <w:szCs w:val="20"/>
        </w:rPr>
        <w:t>Altera:</w:t>
      </w:r>
    </w:p>
    <w:p w:rsidR="00C12442" w:rsidRPr="00C12442" w:rsidRDefault="003A5B76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="00C12442" w:rsidRPr="00C12442">
        <w:rPr>
          <w:rFonts w:ascii="Arial" w:hAnsi="Arial" w:cs="Arial"/>
          <w:sz w:val="20"/>
          <w:szCs w:val="20"/>
        </w:rPr>
        <w:t>.</w:t>
      </w:r>
    </w:p>
    <w:p w:rsidR="00C12442" w:rsidRPr="00C12442" w:rsidRDefault="003A5B76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4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 xml:space="preserve">Instrução de Serviço n. 11, de 1º de setembro de 2009 </w:t>
        </w:r>
      </w:hyperlink>
      <w:r w:rsidR="00C12442" w:rsidRPr="00C12442">
        <w:rPr>
          <w:rFonts w:ascii="Arial" w:hAnsi="Arial" w:cs="Arial"/>
          <w:sz w:val="20"/>
          <w:szCs w:val="20"/>
        </w:rPr>
        <w:t>(antiga Instrução de Serviço n. 1/2009).</w:t>
      </w:r>
    </w:p>
    <w:p w:rsidR="00C12442" w:rsidRPr="00C12442" w:rsidRDefault="003A5B76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5" w:history="1">
        <w:r w:rsidR="00C12442" w:rsidRPr="00C12442">
          <w:rPr>
            <w:rStyle w:val="Hyperlink"/>
            <w:rFonts w:ascii="Arial" w:hAnsi="Arial" w:cs="Arial"/>
            <w:sz w:val="20"/>
            <w:szCs w:val="20"/>
          </w:rPr>
          <w:t>Instrução de Serviço n. 21, de 8 de junho de 2011</w:t>
        </w:r>
      </w:hyperlink>
      <w:r w:rsidR="00C12442" w:rsidRPr="00C12442">
        <w:rPr>
          <w:rFonts w:ascii="Arial" w:hAnsi="Arial" w:cs="Arial"/>
          <w:sz w:val="20"/>
          <w:szCs w:val="20"/>
        </w:rPr>
        <w:t>.</w:t>
      </w:r>
    </w:p>
    <w:p w:rsidR="00C12442" w:rsidRDefault="00C12442" w:rsidP="00C124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CB" w:rsidRDefault="00AB6922" w:rsidP="00F635CB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997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275AB"/>
    <w:multiLevelType w:val="hybridMultilevel"/>
    <w:tmpl w:val="30741C78"/>
    <w:lvl w:ilvl="0" w:tplc="0416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4B7"/>
    <w:multiLevelType w:val="hybridMultilevel"/>
    <w:tmpl w:val="3AFAD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2"/>
    <w:rsid w:val="0015408B"/>
    <w:rsid w:val="003A5B76"/>
    <w:rsid w:val="003C536B"/>
    <w:rsid w:val="00887556"/>
    <w:rsid w:val="00990537"/>
    <w:rsid w:val="00AB6922"/>
    <w:rsid w:val="00C12442"/>
    <w:rsid w:val="00DC0EC7"/>
    <w:rsid w:val="00F4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026A2"/>
  <w15:chartTrackingRefBased/>
  <w15:docId w15:val="{2FA6C0EB-694D-4A1E-8145-9F46EAE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B6922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AB692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AB6922"/>
  </w:style>
  <w:style w:type="paragraph" w:styleId="Cabealho">
    <w:name w:val="header"/>
    <w:basedOn w:val="Normal"/>
    <w:link w:val="CabealhoChar"/>
    <w:uiPriority w:val="99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B692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AB6922"/>
    <w:pPr>
      <w:spacing w:before="240" w:after="12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B6922"/>
    <w:rPr>
      <w:rFonts w:ascii="Arial" w:eastAsia="Times New Roman" w:hAnsi="Arial"/>
      <w:b/>
      <w:sz w:val="28"/>
    </w:rPr>
  </w:style>
  <w:style w:type="paragraph" w:styleId="Subttulo">
    <w:name w:val="Subtitle"/>
    <w:basedOn w:val="Normal"/>
    <w:link w:val="SubttuloChar"/>
    <w:qFormat/>
    <w:rsid w:val="00AB692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B6922"/>
    <w:rPr>
      <w:rFonts w:ascii="Arial" w:eastAsia="Times New Roman" w:hAnsi="Arial" w:cs="Arial"/>
      <w:b/>
      <w:color w:val="FFFFFF"/>
      <w:szCs w:val="24"/>
    </w:rPr>
  </w:style>
  <w:style w:type="paragraph" w:customStyle="1" w:styleId="Ementa">
    <w:name w:val="Ementa"/>
    <w:basedOn w:val="Normal"/>
    <w:rsid w:val="00AB6922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Subtitulo">
    <w:name w:val="Subtitulo"/>
    <w:basedOn w:val="Corpodetexto"/>
    <w:rsid w:val="00AB692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ssunto">
    <w:name w:val="Assunto"/>
    <w:basedOn w:val="Normal"/>
    <w:rsid w:val="00AB6922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69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6922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12442"/>
    <w:rPr>
      <w:color w:val="004C78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C124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124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12442"/>
    <w:rPr>
      <w:vertAlign w:val="superscript"/>
    </w:rPr>
  </w:style>
  <w:style w:type="character" w:styleId="Forte">
    <w:name w:val="Strong"/>
    <w:basedOn w:val="Fontepargpadro"/>
    <w:uiPriority w:val="22"/>
    <w:qFormat/>
    <w:rsid w:val="00C124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4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C0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8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14-de-9-de-outubro-de-2017/307806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822012/237592/area/10" TargetMode="External"/><Relationship Id="rId2" Type="http://schemas.openxmlformats.org/officeDocument/2006/relationships/hyperlink" Target="http://www1.tce.pr.gov.br/conteudo/instrucao-de-servico-n-114-de-9-de-outubro-de-2017/307806/area/10" TargetMode="External"/><Relationship Id="rId1" Type="http://schemas.openxmlformats.org/officeDocument/2006/relationships/hyperlink" Target="http://www1.tce.pr.gov.br/multimidia/2013/4/pdf/00244385.pdf" TargetMode="External"/><Relationship Id="rId5" Type="http://schemas.openxmlformats.org/officeDocument/2006/relationships/hyperlink" Target="http://www1.tce.pr.gov.br/conteudo/instrucao-de-servico-n-21-de-8-de-junho-de-2011/1298/area/10" TargetMode="External"/><Relationship Id="rId4" Type="http://schemas.openxmlformats.org/officeDocument/2006/relationships/hyperlink" Target="http://www1.tce.pr.gov.br/conteudo/instrucao-de-servico-n-11-de-1&#186;-de-setembro-de-2009-ant-is-12009/130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8F86-D6A0-453A-A57A-87531135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3739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3</cp:revision>
  <dcterms:created xsi:type="dcterms:W3CDTF">2019-02-27T15:05:00Z</dcterms:created>
  <dcterms:modified xsi:type="dcterms:W3CDTF">2019-07-01T13:34:00Z</dcterms:modified>
</cp:coreProperties>
</file>