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3175" w14:textId="77777777" w:rsidR="002F4533" w:rsidRDefault="002F4533">
      <w:pPr>
        <w:pStyle w:val="Corpodetexto"/>
        <w:spacing w:before="9"/>
        <w:rPr>
          <w:rFonts w:ascii="Times New Roman"/>
          <w:sz w:val="28"/>
        </w:rPr>
      </w:pPr>
    </w:p>
    <w:p w14:paraId="0BB0254E" w14:textId="2029633C" w:rsidR="002F4533" w:rsidRDefault="005D08EA" w:rsidP="005C49B1">
      <w:pPr>
        <w:pStyle w:val="Ttulo1"/>
        <w:spacing w:before="91"/>
        <w:ind w:left="2234" w:right="2060"/>
        <w:jc w:val="center"/>
      </w:pPr>
      <w:r>
        <w:t>INSTRUÇÃO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177/24</w:t>
      </w:r>
      <w:r w:rsidR="005C49B1" w:rsidRPr="002F178E">
        <w:rPr>
          <w:rStyle w:val="Refdenotaderodap"/>
        </w:rPr>
        <w:footnoteReference w:customMarkFollows="1" w:id="1"/>
        <w:sym w:font="Symbol" w:char="F02A"/>
      </w:r>
    </w:p>
    <w:p w14:paraId="7F93E5F7" w14:textId="77777777" w:rsidR="002F4533" w:rsidRDefault="002F4533">
      <w:pPr>
        <w:pStyle w:val="Corpodetexto"/>
        <w:spacing w:before="11"/>
        <w:rPr>
          <w:rFonts w:ascii="Arial"/>
          <w:b/>
          <w:sz w:val="44"/>
        </w:rPr>
      </w:pPr>
    </w:p>
    <w:p w14:paraId="67EA439E" w14:textId="77777777" w:rsidR="002F4533" w:rsidRPr="005C49B1" w:rsidRDefault="005D08EA">
      <w:pPr>
        <w:ind w:left="4638" w:right="113"/>
        <w:jc w:val="both"/>
        <w:rPr>
          <w:i/>
          <w:iCs/>
          <w:sz w:val="20"/>
        </w:rPr>
      </w:pPr>
      <w:r w:rsidRPr="005C49B1">
        <w:rPr>
          <w:i/>
          <w:iCs/>
          <w:sz w:val="20"/>
        </w:rPr>
        <w:t>Altera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a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Instrução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de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Serviço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n.º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27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de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3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de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outubro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de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2011,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que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dispõe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sobre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mídias,</w:t>
      </w:r>
      <w:r w:rsidRPr="005C49B1">
        <w:rPr>
          <w:i/>
          <w:iCs/>
          <w:spacing w:val="1"/>
          <w:sz w:val="20"/>
        </w:rPr>
        <w:t xml:space="preserve"> </w:t>
      </w:r>
      <w:r w:rsidRPr="005C49B1">
        <w:rPr>
          <w:i/>
          <w:iCs/>
          <w:sz w:val="20"/>
        </w:rPr>
        <w:t>formatos</w:t>
      </w:r>
      <w:r w:rsidRPr="005C49B1">
        <w:rPr>
          <w:i/>
          <w:iCs/>
          <w:spacing w:val="-2"/>
          <w:sz w:val="20"/>
        </w:rPr>
        <w:t xml:space="preserve"> </w:t>
      </w:r>
      <w:r w:rsidRPr="005C49B1">
        <w:rPr>
          <w:i/>
          <w:iCs/>
          <w:sz w:val="20"/>
        </w:rPr>
        <w:t>e</w:t>
      </w:r>
      <w:r w:rsidRPr="005C49B1">
        <w:rPr>
          <w:i/>
          <w:iCs/>
          <w:spacing w:val="-4"/>
          <w:sz w:val="20"/>
        </w:rPr>
        <w:t xml:space="preserve"> </w:t>
      </w:r>
      <w:r w:rsidRPr="005C49B1">
        <w:rPr>
          <w:i/>
          <w:iCs/>
          <w:sz w:val="20"/>
        </w:rPr>
        <w:t>recebimento</w:t>
      </w:r>
      <w:r w:rsidRPr="005C49B1">
        <w:rPr>
          <w:i/>
          <w:iCs/>
          <w:spacing w:val="-3"/>
          <w:sz w:val="20"/>
        </w:rPr>
        <w:t xml:space="preserve"> </w:t>
      </w:r>
      <w:r w:rsidRPr="005C49B1">
        <w:rPr>
          <w:i/>
          <w:iCs/>
          <w:sz w:val="20"/>
        </w:rPr>
        <w:t>de</w:t>
      </w:r>
      <w:r w:rsidRPr="005C49B1">
        <w:rPr>
          <w:i/>
          <w:iCs/>
          <w:spacing w:val="-2"/>
          <w:sz w:val="20"/>
        </w:rPr>
        <w:t xml:space="preserve"> </w:t>
      </w:r>
      <w:r w:rsidRPr="005C49B1">
        <w:rPr>
          <w:i/>
          <w:iCs/>
          <w:sz w:val="20"/>
        </w:rPr>
        <w:t>documentos</w:t>
      </w:r>
      <w:r w:rsidRPr="005C49B1">
        <w:rPr>
          <w:i/>
          <w:iCs/>
          <w:spacing w:val="-2"/>
          <w:sz w:val="20"/>
        </w:rPr>
        <w:t xml:space="preserve"> </w:t>
      </w:r>
      <w:r w:rsidRPr="005C49B1">
        <w:rPr>
          <w:i/>
          <w:iCs/>
          <w:sz w:val="20"/>
        </w:rPr>
        <w:t>digitais.</w:t>
      </w:r>
    </w:p>
    <w:p w14:paraId="6D0981F7" w14:textId="77777777" w:rsidR="002F4533" w:rsidRDefault="002F4533">
      <w:pPr>
        <w:pStyle w:val="Corpodetexto"/>
        <w:rPr>
          <w:sz w:val="22"/>
        </w:rPr>
      </w:pPr>
    </w:p>
    <w:p w14:paraId="20CBCDE7" w14:textId="77777777" w:rsidR="002F4533" w:rsidRDefault="002F4533">
      <w:pPr>
        <w:pStyle w:val="Corpodetexto"/>
        <w:spacing w:before="11"/>
        <w:rPr>
          <w:sz w:val="27"/>
        </w:rPr>
      </w:pPr>
    </w:p>
    <w:p w14:paraId="45A6E36B" w14:textId="77777777" w:rsidR="002F4533" w:rsidRDefault="005D08EA">
      <w:pPr>
        <w:pStyle w:val="Ttulo2"/>
      </w:pPr>
      <w:r>
        <w:t>O</w:t>
      </w:r>
      <w:r>
        <w:rPr>
          <w:spacing w:val="55"/>
        </w:rPr>
        <w:t xml:space="preserve"> </w:t>
      </w:r>
      <w:r>
        <w:t>PRESIDENTE</w:t>
      </w:r>
      <w:r>
        <w:rPr>
          <w:spacing w:val="56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TRIBUNAL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CONTAS</w:t>
      </w:r>
      <w:r>
        <w:rPr>
          <w:spacing w:val="55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ESTADO</w:t>
      </w:r>
      <w:r>
        <w:rPr>
          <w:spacing w:val="55"/>
        </w:rPr>
        <w:t xml:space="preserve"> </w:t>
      </w:r>
      <w:r>
        <w:t>DO</w:t>
      </w:r>
    </w:p>
    <w:p w14:paraId="2E6F6B2B" w14:textId="77777777" w:rsidR="002F4533" w:rsidRDefault="005D08EA">
      <w:pPr>
        <w:pStyle w:val="Corpodetexto"/>
        <w:ind w:left="102" w:right="107"/>
        <w:jc w:val="both"/>
      </w:pPr>
      <w:r>
        <w:rPr>
          <w:rFonts w:ascii="Arial" w:hAnsi="Arial"/>
          <w:b/>
        </w:rPr>
        <w:t>PARANÁ</w:t>
      </w:r>
      <w:r>
        <w:t>, no uso das atribuições contidas no art. 122, I, da Lei Complementar n.º</w:t>
      </w:r>
      <w:r>
        <w:rPr>
          <w:spacing w:val="1"/>
        </w:rPr>
        <w:t xml:space="preserve"> </w:t>
      </w:r>
      <w:r>
        <w:t>113,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dezembro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2005,</w:t>
      </w:r>
      <w:r>
        <w:rPr>
          <w:spacing w:val="16"/>
        </w:rPr>
        <w:t xml:space="preserve"> </w:t>
      </w:r>
      <w:r>
        <w:t>com</w:t>
      </w:r>
      <w:r>
        <w:rPr>
          <w:spacing w:val="18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nos</w:t>
      </w:r>
      <w:r>
        <w:rPr>
          <w:spacing w:val="16"/>
        </w:rPr>
        <w:t xml:space="preserve"> </w:t>
      </w:r>
      <w:r>
        <w:t>arts.</w:t>
      </w:r>
      <w:r>
        <w:rPr>
          <w:spacing w:val="17"/>
        </w:rPr>
        <w:t xml:space="preserve"> </w:t>
      </w:r>
      <w:r>
        <w:t>16,</w:t>
      </w:r>
      <w:r>
        <w:rPr>
          <w:spacing w:val="16"/>
        </w:rPr>
        <w:t xml:space="preserve"> </w:t>
      </w:r>
      <w:r>
        <w:t>XXVII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XXXIII,</w:t>
      </w:r>
      <w:r>
        <w:rPr>
          <w:spacing w:val="17"/>
        </w:rPr>
        <w:t xml:space="preserve"> </w:t>
      </w:r>
      <w:r>
        <w:t>323-D,</w:t>
      </w:r>
      <w:r>
        <w:rPr>
          <w:spacing w:val="16"/>
        </w:rPr>
        <w:t xml:space="preserve"> </w:t>
      </w:r>
      <w:r>
        <w:t>§</w:t>
      </w:r>
      <w:r>
        <w:rPr>
          <w:spacing w:val="-64"/>
        </w:rPr>
        <w:t xml:space="preserve"> </w:t>
      </w:r>
      <w:r>
        <w:t>5º, e 525, § 5º, do Regimento Interno, e considerando o Procedimento Administrativo</w:t>
      </w:r>
      <w:r>
        <w:rPr>
          <w:spacing w:val="-64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297852/24,</w:t>
      </w:r>
    </w:p>
    <w:p w14:paraId="036F2EA9" w14:textId="77777777" w:rsidR="002F4533" w:rsidRDefault="002F4533">
      <w:pPr>
        <w:pStyle w:val="Corpodetexto"/>
        <w:rPr>
          <w:sz w:val="26"/>
        </w:rPr>
      </w:pPr>
    </w:p>
    <w:p w14:paraId="35E72B66" w14:textId="77777777" w:rsidR="002F4533" w:rsidRDefault="005D08EA" w:rsidP="004E670A">
      <w:pPr>
        <w:pStyle w:val="Ttulo2"/>
        <w:spacing w:before="240" w:after="240"/>
      </w:pPr>
      <w:r>
        <w:t>RESOLVE</w:t>
      </w:r>
    </w:p>
    <w:p w14:paraId="351A8FB3" w14:textId="77777777" w:rsidR="002F4533" w:rsidRDefault="002F4533">
      <w:pPr>
        <w:pStyle w:val="Corpodetexto"/>
        <w:rPr>
          <w:rFonts w:ascii="Arial"/>
          <w:b/>
          <w:sz w:val="22"/>
        </w:rPr>
      </w:pPr>
    </w:p>
    <w:p w14:paraId="57078F02" w14:textId="77777777" w:rsidR="002F4533" w:rsidRDefault="005D08EA">
      <w:pPr>
        <w:pStyle w:val="Corpodetexto"/>
        <w:ind w:left="102" w:right="107" w:firstLine="1701"/>
        <w:jc w:val="both"/>
      </w:pPr>
      <w:r>
        <w:rPr>
          <w:rFonts w:ascii="Arial" w:hAnsi="Arial"/>
          <w:b/>
        </w:rPr>
        <w:t xml:space="preserve">Art. 1º </w:t>
      </w:r>
      <w:r>
        <w:t>Esta Instrução de Serviço altera a Instrução de Serviço n.º</w:t>
      </w:r>
      <w:r>
        <w:rPr>
          <w:spacing w:val="1"/>
        </w:rPr>
        <w:t xml:space="preserve"> </w:t>
      </w:r>
      <w:r>
        <w:t>27/2011, com o objetivo de definir o papel e os procedimentos que a Diretoria de</w:t>
      </w:r>
      <w:r>
        <w:rPr>
          <w:spacing w:val="1"/>
        </w:rPr>
        <w:t xml:space="preserve"> </w:t>
      </w:r>
      <w:r>
        <w:t>Protocolo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recepcionar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digitais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Poder Judiciário.</w:t>
      </w:r>
    </w:p>
    <w:p w14:paraId="580621EB" w14:textId="77777777" w:rsidR="002F4533" w:rsidRDefault="002F4533">
      <w:pPr>
        <w:pStyle w:val="Corpodetexto"/>
        <w:spacing w:before="5"/>
        <w:rPr>
          <w:sz w:val="34"/>
        </w:rPr>
      </w:pPr>
    </w:p>
    <w:p w14:paraId="7E5022F6" w14:textId="77777777" w:rsidR="002F4533" w:rsidRDefault="005D08EA">
      <w:pPr>
        <w:pStyle w:val="Corpodetexto"/>
        <w:ind w:left="102" w:right="112" w:firstLine="1701"/>
        <w:jc w:val="both"/>
      </w:pPr>
      <w:r>
        <w:rPr>
          <w:rFonts w:ascii="Arial" w:hAnsi="Arial"/>
          <w:b/>
        </w:rPr>
        <w:t xml:space="preserve">Art. 2º </w:t>
      </w:r>
      <w:r>
        <w:t>O art. 3º da Instrução de Serviço n.º 27/2011 passa a vigorar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 seguinte redação:</w:t>
      </w:r>
    </w:p>
    <w:p w14:paraId="17A82710" w14:textId="77777777" w:rsidR="002F4533" w:rsidRDefault="005D08EA" w:rsidP="004E670A">
      <w:pPr>
        <w:pStyle w:val="Corpodetexto"/>
        <w:spacing w:before="240" w:after="240"/>
        <w:ind w:left="102" w:right="115" w:firstLine="1701"/>
        <w:jc w:val="both"/>
      </w:pPr>
      <w:r>
        <w:t>“Art. 3º A Diretoria de Protocolo poderá recepcionar documentos</w:t>
      </w:r>
      <w:r>
        <w:rPr>
          <w:spacing w:val="1"/>
        </w:rPr>
        <w:t xml:space="preserve"> </w:t>
      </w:r>
      <w:r>
        <w:t>encaminhados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mídia</w:t>
      </w:r>
      <w:r>
        <w:rPr>
          <w:spacing w:val="-1"/>
        </w:rPr>
        <w:t xml:space="preserve"> </w:t>
      </w:r>
      <w:r>
        <w:t>digital,</w:t>
      </w:r>
      <w:r>
        <w:rPr>
          <w:spacing w:val="-1"/>
        </w:rPr>
        <w:t xml:space="preserve"> </w:t>
      </w:r>
      <w:r>
        <w:t>obedecendo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contido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2º.</w:t>
      </w:r>
    </w:p>
    <w:p w14:paraId="017715E4" w14:textId="77777777" w:rsidR="002F4533" w:rsidRDefault="005D08EA" w:rsidP="004E670A">
      <w:pPr>
        <w:pStyle w:val="Corpodetexto"/>
        <w:spacing w:before="480" w:after="240"/>
        <w:ind w:left="102" w:right="108" w:firstLine="1701"/>
        <w:jc w:val="both"/>
      </w:pPr>
      <w:r>
        <w:rPr>
          <w:rFonts w:ascii="Arial" w:hAnsi="Arial"/>
          <w:b/>
        </w:rPr>
        <w:t xml:space="preserve">Art. 3º </w:t>
      </w:r>
      <w:r>
        <w:t>Incluir, na Instrução de Serviço n.º 27/2011, o Art. 3-A com a</w:t>
      </w:r>
      <w:r>
        <w:rPr>
          <w:spacing w:val="1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redação:</w:t>
      </w:r>
    </w:p>
    <w:p w14:paraId="2B530DAD" w14:textId="77777777" w:rsidR="002F4533" w:rsidRDefault="005D08EA" w:rsidP="004E670A">
      <w:pPr>
        <w:pStyle w:val="Corpodetexto"/>
        <w:spacing w:before="240" w:after="240"/>
        <w:ind w:left="102" w:right="112" w:firstLine="1701"/>
        <w:jc w:val="both"/>
      </w:pPr>
      <w:r>
        <w:t>“Art. 3-A. A Diretoria de Protocolo poderá recepcionar documentos</w:t>
      </w:r>
      <w:r>
        <w:rPr>
          <w:spacing w:val="1"/>
        </w:rPr>
        <w:t xml:space="preserve"> </w:t>
      </w:r>
      <w:r>
        <w:t xml:space="preserve">digitais, encaminhados por mídias físicas ou através de </w:t>
      </w:r>
      <w:r w:rsidRPr="005C49B1">
        <w:rPr>
          <w:i/>
          <w:iCs/>
        </w:rPr>
        <w:t>links</w:t>
      </w:r>
      <w:r>
        <w:t xml:space="preserve"> de serviços de nuvem,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Judiciário,</w:t>
      </w:r>
      <w:r>
        <w:rPr>
          <w:spacing w:val="1"/>
        </w:rPr>
        <w:t xml:space="preserve"> </w:t>
      </w:r>
      <w:r>
        <w:t>obedecendo</w:t>
      </w:r>
      <w:r>
        <w:rPr>
          <w:spacing w:val="66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características:</w:t>
      </w:r>
    </w:p>
    <w:p w14:paraId="3E7876C0" w14:textId="77777777" w:rsidR="002F4533" w:rsidRDefault="005D08EA">
      <w:pPr>
        <w:pStyle w:val="PargrafodaLista"/>
        <w:numPr>
          <w:ilvl w:val="0"/>
          <w:numId w:val="1"/>
        </w:numPr>
        <w:tabs>
          <w:tab w:val="left" w:pos="1938"/>
        </w:tabs>
        <w:spacing w:before="21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PDF;</w:t>
      </w:r>
    </w:p>
    <w:p w14:paraId="2E708AED" w14:textId="77777777" w:rsidR="002F4533" w:rsidRDefault="005D08EA">
      <w:pPr>
        <w:pStyle w:val="PargrafodaLista"/>
        <w:numPr>
          <w:ilvl w:val="0"/>
          <w:numId w:val="1"/>
        </w:numPr>
        <w:tabs>
          <w:tab w:val="left" w:pos="2006"/>
        </w:tabs>
        <w:spacing w:line="343" w:lineRule="auto"/>
        <w:ind w:left="1803" w:right="1404" w:firstLine="0"/>
        <w:rPr>
          <w:sz w:val="24"/>
        </w:rPr>
      </w:pPr>
      <w:r>
        <w:rPr>
          <w:sz w:val="24"/>
        </w:rPr>
        <w:t>– Em formatos audiovisuais (imagem, áudio ou vídeo);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III – Em formatos </w:t>
      </w:r>
      <w:r w:rsidRPr="005C49B1">
        <w:rPr>
          <w:i/>
          <w:iCs/>
          <w:sz w:val="24"/>
        </w:rPr>
        <w:t>office</w:t>
      </w:r>
      <w:r>
        <w:rPr>
          <w:sz w:val="24"/>
        </w:rPr>
        <w:t xml:space="preserve"> (texto, planilhas, apresentações);</w:t>
      </w:r>
      <w:r>
        <w:rPr>
          <w:spacing w:val="-64"/>
          <w:sz w:val="24"/>
        </w:rPr>
        <w:t xml:space="preserve"> </w:t>
      </w:r>
      <w:r>
        <w:rPr>
          <w:sz w:val="24"/>
        </w:rPr>
        <w:t>IV –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formatos</w:t>
      </w:r>
      <w:r>
        <w:rPr>
          <w:spacing w:val="-3"/>
          <w:sz w:val="24"/>
        </w:rPr>
        <w:t xml:space="preserve"> </w:t>
      </w:r>
      <w:r>
        <w:rPr>
          <w:sz w:val="24"/>
        </w:rPr>
        <w:t>CAD;</w:t>
      </w:r>
    </w:p>
    <w:p w14:paraId="2E8E8482" w14:textId="77777777" w:rsidR="002F4533" w:rsidRDefault="005D08EA">
      <w:pPr>
        <w:pStyle w:val="Corpodetexto"/>
        <w:spacing w:before="4"/>
        <w:ind w:left="1803"/>
      </w:pPr>
      <w:r>
        <w:t>V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formatos</w:t>
      </w:r>
      <w:r>
        <w:rPr>
          <w:spacing w:val="-2"/>
        </w:rPr>
        <w:t xml:space="preserve"> </w:t>
      </w:r>
      <w:r>
        <w:t>compactados</w:t>
      </w:r>
      <w:r>
        <w:rPr>
          <w:spacing w:val="-2"/>
        </w:rPr>
        <w:t xml:space="preserve"> </w:t>
      </w:r>
      <w:r>
        <w:t>(zip,</w:t>
      </w:r>
      <w:r>
        <w:rPr>
          <w:spacing w:val="-2"/>
        </w:rPr>
        <w:t xml:space="preserve"> </w:t>
      </w:r>
      <w:r>
        <w:t>rar,</w:t>
      </w:r>
      <w:r>
        <w:rPr>
          <w:spacing w:val="-2"/>
        </w:rPr>
        <w:t xml:space="preserve"> </w:t>
      </w:r>
      <w:r>
        <w:t>7z).</w:t>
      </w:r>
    </w:p>
    <w:p w14:paraId="2C7E43F9" w14:textId="77777777" w:rsidR="002F4533" w:rsidRDefault="002F4533">
      <w:pPr>
        <w:sectPr w:rsidR="002F4533">
          <w:headerReference w:type="default" r:id="rId7"/>
          <w:footerReference w:type="default" r:id="rId8"/>
          <w:type w:val="continuous"/>
          <w:pgSz w:w="11910" w:h="16840"/>
          <w:pgMar w:top="1660" w:right="1020" w:bottom="960" w:left="1600" w:header="602" w:footer="780" w:gutter="0"/>
          <w:pgNumType w:start="1"/>
          <w:cols w:space="720"/>
        </w:sectPr>
      </w:pPr>
    </w:p>
    <w:p w14:paraId="03026BA5" w14:textId="77777777" w:rsidR="002F4533" w:rsidRDefault="002F4533">
      <w:pPr>
        <w:pStyle w:val="Corpodetexto"/>
        <w:spacing w:before="2"/>
        <w:rPr>
          <w:sz w:val="18"/>
        </w:rPr>
      </w:pPr>
    </w:p>
    <w:p w14:paraId="0EE857A9" w14:textId="77777777" w:rsidR="002F4533" w:rsidRDefault="005D08EA">
      <w:pPr>
        <w:pStyle w:val="Corpodetexto"/>
        <w:spacing w:before="93"/>
        <w:ind w:left="102" w:right="115" w:firstLine="1701"/>
        <w:jc w:val="both"/>
      </w:pPr>
      <w:r>
        <w:t xml:space="preserve">§ 1º Todos os arquivos recebidos devem estar livres de </w:t>
      </w:r>
      <w:r w:rsidRPr="005C49B1">
        <w:rPr>
          <w:i/>
          <w:iCs/>
        </w:rPr>
        <w:t>malwares</w:t>
      </w:r>
      <w:r>
        <w:t xml:space="preserve"> ou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ameaças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comprometer</w:t>
      </w:r>
      <w:r>
        <w:rPr>
          <w:spacing w:val="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confidencialidade,</w:t>
      </w:r>
      <w:r>
        <w:rPr>
          <w:spacing w:val="1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e integridade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infraestrutura</w:t>
      </w:r>
      <w:r>
        <w:rPr>
          <w:spacing w:val="-4"/>
        </w:rPr>
        <w:t xml:space="preserve"> </w:t>
      </w:r>
      <w:r>
        <w:t>e dos</w:t>
      </w:r>
      <w:r>
        <w:rPr>
          <w:spacing w:val="4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TCE-PR.</w:t>
      </w:r>
    </w:p>
    <w:p w14:paraId="0277A327" w14:textId="77777777" w:rsidR="002F4533" w:rsidRDefault="002F4533">
      <w:pPr>
        <w:pStyle w:val="Corpodetexto"/>
        <w:rPr>
          <w:sz w:val="26"/>
        </w:rPr>
      </w:pPr>
    </w:p>
    <w:p w14:paraId="42BAAE7D" w14:textId="77777777" w:rsidR="002F4533" w:rsidRDefault="005D08EA">
      <w:pPr>
        <w:pStyle w:val="Corpodetexto"/>
        <w:spacing w:before="217"/>
        <w:ind w:left="102" w:right="118" w:firstLine="1701"/>
        <w:jc w:val="both"/>
      </w:pPr>
      <w:r>
        <w:t>§</w:t>
      </w:r>
      <w:r>
        <w:rPr>
          <w:spacing w:val="36"/>
        </w:rPr>
        <w:t xml:space="preserve"> </w:t>
      </w:r>
      <w:r>
        <w:t>2º</w:t>
      </w:r>
      <w:r>
        <w:rPr>
          <w:spacing w:val="34"/>
        </w:rPr>
        <w:t xml:space="preserve"> </w:t>
      </w:r>
      <w:r>
        <w:t>Documentos</w:t>
      </w:r>
      <w:r>
        <w:rPr>
          <w:spacing w:val="33"/>
        </w:rPr>
        <w:t xml:space="preserve"> </w:t>
      </w:r>
      <w:r>
        <w:t>digitais</w:t>
      </w:r>
      <w:r>
        <w:rPr>
          <w:spacing w:val="35"/>
        </w:rPr>
        <w:t xml:space="preserve"> </w:t>
      </w:r>
      <w:r>
        <w:t>recepcionados,</w:t>
      </w:r>
      <w:r>
        <w:rPr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atendam</w:t>
      </w:r>
      <w:r>
        <w:rPr>
          <w:spacing w:val="35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art.</w:t>
      </w:r>
      <w:r>
        <w:rPr>
          <w:spacing w:val="-64"/>
        </w:rPr>
        <w:t xml:space="preserve"> </w:t>
      </w:r>
      <w:r>
        <w:t xml:space="preserve">2º, serão disponibilizados em peça processual que contenha </w:t>
      </w:r>
      <w:r w:rsidRPr="005C49B1">
        <w:rPr>
          <w:i/>
          <w:iCs/>
        </w:rPr>
        <w:t>links</w:t>
      </w:r>
      <w:r>
        <w:t xml:space="preserve"> que possibilitem</w:t>
      </w:r>
      <w:r>
        <w:rPr>
          <w:spacing w:val="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visualização ou</w:t>
      </w:r>
      <w:r>
        <w:rPr>
          <w:spacing w:val="-2"/>
        </w:rPr>
        <w:t xml:space="preserve"> </w:t>
      </w:r>
      <w:r w:rsidRPr="005C49B1">
        <w:rPr>
          <w:i/>
          <w:iCs/>
        </w:rPr>
        <w:t>download</w:t>
      </w:r>
      <w:r>
        <w:t>.</w:t>
      </w:r>
    </w:p>
    <w:p w14:paraId="0EC4C868" w14:textId="77777777" w:rsidR="002F4533" w:rsidRDefault="002F4533">
      <w:pPr>
        <w:pStyle w:val="Corpodetexto"/>
        <w:rPr>
          <w:sz w:val="20"/>
        </w:rPr>
      </w:pPr>
    </w:p>
    <w:p w14:paraId="2E4903D7" w14:textId="77777777" w:rsidR="002F4533" w:rsidRDefault="002F4533">
      <w:pPr>
        <w:pStyle w:val="Corpodetexto"/>
        <w:spacing w:before="9"/>
        <w:rPr>
          <w:sz w:val="16"/>
        </w:rPr>
      </w:pPr>
    </w:p>
    <w:p w14:paraId="42252293" w14:textId="77777777" w:rsidR="002F4533" w:rsidRDefault="005D08EA">
      <w:pPr>
        <w:pStyle w:val="Corpodetexto"/>
        <w:spacing w:before="93"/>
        <w:ind w:left="180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4º</w:t>
      </w:r>
      <w:r>
        <w:rPr>
          <w:rFonts w:ascii="Arial" w:hAnsi="Arial"/>
          <w:b/>
          <w:spacing w:val="52"/>
        </w:rPr>
        <w:t xml:space="preserve"> </w:t>
      </w:r>
      <w:r>
        <w:t>Esta</w:t>
      </w:r>
      <w:r>
        <w:rPr>
          <w:spacing w:val="51"/>
        </w:rPr>
        <w:t xml:space="preserve"> </w:t>
      </w:r>
      <w:r>
        <w:t>Instrução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entra</w:t>
      </w:r>
      <w:r>
        <w:rPr>
          <w:spacing w:val="48"/>
        </w:rPr>
        <w:t xml:space="preserve"> </w:t>
      </w:r>
      <w:r>
        <w:t>em</w:t>
      </w:r>
      <w:r>
        <w:rPr>
          <w:spacing w:val="49"/>
        </w:rPr>
        <w:t xml:space="preserve"> </w:t>
      </w:r>
      <w:r>
        <w:t>vigor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sua</w:t>
      </w:r>
    </w:p>
    <w:p w14:paraId="25AC4895" w14:textId="77777777" w:rsidR="002F4533" w:rsidRDefault="005D08EA">
      <w:pPr>
        <w:pStyle w:val="Corpodetexto"/>
        <w:ind w:left="102"/>
      </w:pPr>
      <w:r>
        <w:t>publicação.</w:t>
      </w:r>
    </w:p>
    <w:p w14:paraId="5D69342C" w14:textId="77777777" w:rsidR="002F4533" w:rsidRDefault="002F4533">
      <w:pPr>
        <w:pStyle w:val="Corpodetexto"/>
        <w:rPr>
          <w:sz w:val="20"/>
        </w:rPr>
      </w:pPr>
    </w:p>
    <w:p w14:paraId="28037718" w14:textId="77777777" w:rsidR="002F4533" w:rsidRDefault="002F4533">
      <w:pPr>
        <w:pStyle w:val="Corpodetexto"/>
        <w:spacing w:before="2"/>
        <w:rPr>
          <w:sz w:val="20"/>
        </w:rPr>
      </w:pPr>
    </w:p>
    <w:p w14:paraId="27FC97E8" w14:textId="77777777" w:rsidR="002F4533" w:rsidRDefault="005D08EA">
      <w:pPr>
        <w:pStyle w:val="Corpodetexto"/>
        <w:spacing w:before="93"/>
        <w:ind w:left="2234" w:right="2238"/>
        <w:jc w:val="center"/>
      </w:pPr>
      <w:r>
        <w:t>Curitiba,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14:paraId="205C5E00" w14:textId="77777777" w:rsidR="002F4533" w:rsidRDefault="002F4533">
      <w:pPr>
        <w:pStyle w:val="Corpodetexto"/>
        <w:rPr>
          <w:sz w:val="26"/>
        </w:rPr>
      </w:pPr>
    </w:p>
    <w:p w14:paraId="128EDAC1" w14:textId="77777777" w:rsidR="002F4533" w:rsidRDefault="002F4533">
      <w:pPr>
        <w:pStyle w:val="Corpodetexto"/>
        <w:rPr>
          <w:sz w:val="26"/>
        </w:rPr>
      </w:pPr>
    </w:p>
    <w:p w14:paraId="0D6ACCCC" w14:textId="77777777" w:rsidR="002F4533" w:rsidRDefault="002F4533">
      <w:pPr>
        <w:pStyle w:val="Corpodetexto"/>
        <w:rPr>
          <w:sz w:val="26"/>
        </w:rPr>
      </w:pPr>
    </w:p>
    <w:p w14:paraId="553F67CE" w14:textId="77777777" w:rsidR="002F4533" w:rsidRDefault="005D08EA">
      <w:pPr>
        <w:pStyle w:val="Ttulo2"/>
        <w:spacing w:before="233"/>
        <w:ind w:left="2091" w:right="2102"/>
        <w:jc w:val="center"/>
      </w:pPr>
      <w:r>
        <w:t>FERNANDO</w:t>
      </w:r>
      <w:r>
        <w:rPr>
          <w:spacing w:val="-1"/>
        </w:rPr>
        <w:t xml:space="preserve"> </w:t>
      </w:r>
      <w:r>
        <w:t>AUGUSTO</w:t>
      </w:r>
      <w:r>
        <w:rPr>
          <w:spacing w:val="-4"/>
        </w:rPr>
        <w:t xml:space="preserve"> </w:t>
      </w:r>
      <w:r>
        <w:t>MELLO</w:t>
      </w:r>
      <w:r>
        <w:rPr>
          <w:spacing w:val="-5"/>
        </w:rPr>
        <w:t xml:space="preserve"> </w:t>
      </w:r>
      <w:r>
        <w:t>GUIMARÃES</w:t>
      </w:r>
    </w:p>
    <w:p w14:paraId="7C7E1E6D" w14:textId="77777777" w:rsidR="002F4533" w:rsidRDefault="005D08EA">
      <w:pPr>
        <w:pStyle w:val="Corpodetexto"/>
        <w:spacing w:before="120"/>
        <w:ind w:left="2091" w:right="2102"/>
        <w:jc w:val="center"/>
      </w:pPr>
      <w:r>
        <w:t>Presidente</w:t>
      </w:r>
    </w:p>
    <w:sectPr w:rsidR="002F4533">
      <w:pgSz w:w="11910" w:h="16840"/>
      <w:pgMar w:top="1660" w:right="1020" w:bottom="960" w:left="1600" w:header="602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86934" w14:textId="77777777" w:rsidR="005D08EA" w:rsidRDefault="005D08EA">
      <w:r>
        <w:separator/>
      </w:r>
    </w:p>
  </w:endnote>
  <w:endnote w:type="continuationSeparator" w:id="0">
    <w:p w14:paraId="5B83A694" w14:textId="77777777" w:rsidR="005D08EA" w:rsidRDefault="005D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92D0D" w14:textId="5B90F034" w:rsidR="002F4533" w:rsidRDefault="005D0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358A13DA" wp14:editId="65E69FE5">
              <wp:simplePos x="0" y="0"/>
              <wp:positionH relativeFrom="page">
                <wp:posOffset>6726555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6470916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7F9B1" w14:textId="77777777" w:rsidR="002F4533" w:rsidRDefault="005D08EA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A13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65pt;margin-top:791.9pt;width:12pt;height:15.3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" filled="f" stroked="f">
              <v:textbox inset="0,0,0,0">
                <w:txbxContent>
                  <w:p w14:paraId="40D7F9B1" w14:textId="77777777" w:rsidR="002F4533" w:rsidRDefault="005D08EA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0D2869CA" wp14:editId="0C3B70CD">
              <wp:simplePos x="0" y="0"/>
              <wp:positionH relativeFrom="page">
                <wp:posOffset>442595</wp:posOffset>
              </wp:positionH>
              <wp:positionV relativeFrom="page">
                <wp:posOffset>10308590</wp:posOffset>
              </wp:positionV>
              <wp:extent cx="6675120" cy="278765"/>
              <wp:effectExtent l="0" t="0" r="0" b="0"/>
              <wp:wrapNone/>
              <wp:docPr id="18166554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1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0BE24" w14:textId="77777777" w:rsidR="002F4533" w:rsidRDefault="005D08EA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F7F7F"/>
                              <w:sz w:val="16"/>
                            </w:rPr>
                            <w:t>DOCUMENTO E ASSINATURA(S) DIGITAIS</w:t>
                          </w:r>
                        </w:p>
                        <w:p w14:paraId="2CCB607E" w14:textId="77777777" w:rsidR="002F4533" w:rsidRDefault="005D08EA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AUTENTICIDADE E ORIGINAL DISPONÍVEIS NO ENDEREÇO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7F7F7F"/>
                                <w:sz w:val="16"/>
                              </w:rPr>
                              <w:t>WWW.TCE.PR.GOV.BR,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7F7F7F"/>
                              <w:sz w:val="16"/>
                            </w:rPr>
                            <w:t xml:space="preserve"> MEDIANTE IDENTIFICADOR ZLYU.YI1A.EBFC.HK4W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2869CA" id="Text Box 1" o:spid="_x0000_s1028" type="#_x0000_t202" style="position:absolute;margin-left:34.85pt;margin-top:811.7pt;width:525.6pt;height:21.9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" filled="f" stroked="f">
              <v:textbox inset="0,0,0,0">
                <w:txbxContent>
                  <w:p w14:paraId="7640BE24" w14:textId="77777777" w:rsidR="002F4533" w:rsidRDefault="005D08EA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F7F7F"/>
                        <w:sz w:val="16"/>
                      </w:rPr>
                      <w:t>DOCUMENTO E ASSINATURA(S) DIGITAIS</w:t>
                    </w:r>
                  </w:p>
                  <w:p w14:paraId="2CCB607E" w14:textId="77777777" w:rsidR="002F4533" w:rsidRDefault="005D08EA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AUTENTICIDADE E ORIGINAL DISPONÍVEIS NO ENDEREÇO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7F7F7F"/>
                          <w:sz w:val="16"/>
                        </w:rPr>
                        <w:t>WWW.TCE.PR.GOV.BR,</w:t>
                      </w:r>
                    </w:hyperlink>
                    <w:r>
                      <w:rPr>
                        <w:rFonts w:ascii="Arial" w:hAnsi="Arial"/>
                        <w:b/>
                        <w:color w:val="7F7F7F"/>
                        <w:sz w:val="16"/>
                      </w:rPr>
                      <w:t xml:space="preserve"> MEDIANTE IDENTIFICADOR ZLYU.YI1A.EBFC.HK4W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545D" w14:textId="77777777" w:rsidR="005D08EA" w:rsidRDefault="005D08EA">
      <w:r>
        <w:separator/>
      </w:r>
    </w:p>
  </w:footnote>
  <w:footnote w:type="continuationSeparator" w:id="0">
    <w:p w14:paraId="37CF261B" w14:textId="77777777" w:rsidR="005D08EA" w:rsidRDefault="005D08EA">
      <w:r>
        <w:continuationSeparator/>
      </w:r>
    </w:p>
  </w:footnote>
  <w:footnote w:id="1">
    <w:p w14:paraId="6ED0C977" w14:textId="77777777" w:rsidR="005C49B1" w:rsidRPr="004E670A" w:rsidRDefault="005C49B1" w:rsidP="005C49B1">
      <w:pPr>
        <w:pStyle w:val="Textodenotaderodap"/>
        <w:rPr>
          <w:rFonts w:ascii="Arial" w:hAnsi="Arial" w:cs="Arial"/>
        </w:rPr>
      </w:pPr>
      <w:r w:rsidRPr="004E670A">
        <w:rPr>
          <w:rStyle w:val="Forte"/>
          <w:rFonts w:ascii="Arial" w:hAnsi="Arial" w:cs="Arial"/>
        </w:rPr>
        <w:sym w:font="Symbol" w:char="F02A"/>
      </w:r>
      <w:r w:rsidRPr="004E670A">
        <w:rPr>
          <w:rFonts w:ascii="Arial" w:hAnsi="Arial" w:cs="Arial"/>
        </w:rPr>
        <w:t xml:space="preserve"> </w:t>
      </w:r>
      <w:bookmarkStart w:id="0" w:name="_Hlk9321825"/>
      <w:r w:rsidRPr="004E670A">
        <w:rPr>
          <w:rFonts w:ascii="Arial" w:hAnsi="Arial" w:cs="Arial"/>
          <w:b/>
        </w:rPr>
        <w:t>Notas da Biblioteca:</w:t>
      </w:r>
    </w:p>
    <w:p w14:paraId="5ACDBDCF" w14:textId="5772EC8B" w:rsidR="005C49B1" w:rsidRPr="004E670A" w:rsidRDefault="005C49B1" w:rsidP="004E670A">
      <w:pPr>
        <w:pStyle w:val="Textodenotaderodap"/>
        <w:numPr>
          <w:ilvl w:val="0"/>
          <w:numId w:val="2"/>
        </w:numPr>
        <w:overflowPunct w:val="0"/>
        <w:autoSpaceDE w:val="0"/>
        <w:autoSpaceDN w:val="0"/>
        <w:adjustRightInd w:val="0"/>
        <w:ind w:left="284" w:firstLine="0"/>
        <w:rPr>
          <w:rFonts w:ascii="Arial" w:hAnsi="Arial" w:cs="Arial"/>
        </w:rPr>
      </w:pPr>
      <w:r w:rsidRPr="004E670A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E40466" w:rsidRPr="004E670A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E40466" w:rsidRPr="004E670A">
          <w:rPr>
            <w:rStyle w:val="Hyperlink"/>
            <w:rFonts w:ascii="Arial" w:hAnsi="Arial" w:cs="Arial"/>
          </w:rPr>
          <w:t>, Curitiba, PR, n. 3.202, 6 maio 2024, p. 33.</w:t>
        </w:r>
      </w:hyperlink>
    </w:p>
    <w:bookmarkEnd w:id="0"/>
    <w:p w14:paraId="2EBCF434" w14:textId="58DE7C0C" w:rsidR="005C49B1" w:rsidRDefault="00E40466" w:rsidP="004E670A">
      <w:pPr>
        <w:pStyle w:val="Textodenotaderodap"/>
        <w:numPr>
          <w:ilvl w:val="0"/>
          <w:numId w:val="2"/>
        </w:numPr>
      </w:pPr>
      <w:r w:rsidRPr="004E670A">
        <w:rPr>
          <w:rFonts w:ascii="Arial" w:hAnsi="Arial" w:cs="Arial"/>
        </w:rPr>
        <w:t>Altera:</w:t>
      </w:r>
      <w:r w:rsidRPr="004E670A">
        <w:rPr>
          <w:rFonts w:ascii="Arial" w:hAnsi="Arial" w:cs="Arial"/>
        </w:rPr>
        <w:t xml:space="preserve"> </w:t>
      </w:r>
      <w:hyperlink r:id="rId2" w:history="1">
        <w:r w:rsidRPr="004E670A">
          <w:rPr>
            <w:rStyle w:val="Hyperlink"/>
            <w:rFonts w:ascii="Arial" w:hAnsi="Arial" w:cs="Arial"/>
          </w:rPr>
          <w:t>Instrução de Serviço nº 27</w:t>
        </w:r>
        <w:r w:rsidRPr="004E670A">
          <w:rPr>
            <w:rStyle w:val="Hyperlink"/>
            <w:rFonts w:ascii="Arial" w:hAnsi="Arial" w:cs="Arial"/>
          </w:rPr>
          <w:t xml:space="preserve">, de 3 de outubro de </w:t>
        </w:r>
        <w:r w:rsidRPr="004E670A">
          <w:rPr>
            <w:rStyle w:val="Hyperlink"/>
            <w:rFonts w:ascii="Arial" w:hAnsi="Arial" w:cs="Arial"/>
          </w:rPr>
          <w:t>2011</w:t>
        </w:r>
      </w:hyperlink>
      <w:r w:rsidRPr="004E670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6D004" w14:textId="165EA692" w:rsidR="002F4533" w:rsidRDefault="005D08E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0224" behindDoc="1" locked="0" layoutInCell="1" allowOverlap="1" wp14:anchorId="142276FC" wp14:editId="093B56E6">
          <wp:simplePos x="0" y="0"/>
          <wp:positionH relativeFrom="page">
            <wp:posOffset>1125160</wp:posOffset>
          </wp:positionH>
          <wp:positionV relativeFrom="page">
            <wp:posOffset>382244</wp:posOffset>
          </wp:positionV>
          <wp:extent cx="558462" cy="683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462" cy="683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4481759E" wp14:editId="76A44100">
              <wp:simplePos x="0" y="0"/>
              <wp:positionH relativeFrom="page">
                <wp:posOffset>2188210</wp:posOffset>
              </wp:positionH>
              <wp:positionV relativeFrom="page">
                <wp:posOffset>516255</wp:posOffset>
              </wp:positionV>
              <wp:extent cx="4261485" cy="224790"/>
              <wp:effectExtent l="0" t="0" r="0" b="0"/>
              <wp:wrapNone/>
              <wp:docPr id="6470750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14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F2AD2" w14:textId="77777777" w:rsidR="002F4533" w:rsidRDefault="005D08EA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TRIBUNAL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CONTAS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8175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2.3pt;margin-top:40.65pt;width:335.55pt;height:17.7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" filled="f" stroked="f">
              <v:textbox inset="0,0,0,0">
                <w:txbxContent>
                  <w:p w14:paraId="626F2AD2" w14:textId="77777777" w:rsidR="002F4533" w:rsidRDefault="005D08EA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TRIBUNAL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CONTAS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826F9"/>
    <w:multiLevelType w:val="hybridMultilevel"/>
    <w:tmpl w:val="E6B099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B7CE6"/>
    <w:multiLevelType w:val="hybridMultilevel"/>
    <w:tmpl w:val="B06CD33A"/>
    <w:lvl w:ilvl="0" w:tplc="F9CA63D0">
      <w:start w:val="1"/>
      <w:numFmt w:val="upperRoman"/>
      <w:lvlText w:val="%1"/>
      <w:lvlJc w:val="left"/>
      <w:pPr>
        <w:ind w:left="193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9D27E60">
      <w:numFmt w:val="bullet"/>
      <w:lvlText w:val="•"/>
      <w:lvlJc w:val="left"/>
      <w:pPr>
        <w:ind w:left="2674" w:hanging="135"/>
      </w:pPr>
      <w:rPr>
        <w:rFonts w:hint="default"/>
        <w:lang w:val="pt-PT" w:eastAsia="en-US" w:bidi="ar-SA"/>
      </w:rPr>
    </w:lvl>
    <w:lvl w:ilvl="2" w:tplc="9DA2E98E">
      <w:numFmt w:val="bullet"/>
      <w:lvlText w:val="•"/>
      <w:lvlJc w:val="left"/>
      <w:pPr>
        <w:ind w:left="3409" w:hanging="135"/>
      </w:pPr>
      <w:rPr>
        <w:rFonts w:hint="default"/>
        <w:lang w:val="pt-PT" w:eastAsia="en-US" w:bidi="ar-SA"/>
      </w:rPr>
    </w:lvl>
    <w:lvl w:ilvl="3" w:tplc="B3A8CAF8">
      <w:numFmt w:val="bullet"/>
      <w:lvlText w:val="•"/>
      <w:lvlJc w:val="left"/>
      <w:pPr>
        <w:ind w:left="4143" w:hanging="135"/>
      </w:pPr>
      <w:rPr>
        <w:rFonts w:hint="default"/>
        <w:lang w:val="pt-PT" w:eastAsia="en-US" w:bidi="ar-SA"/>
      </w:rPr>
    </w:lvl>
    <w:lvl w:ilvl="4" w:tplc="3E243D00">
      <w:numFmt w:val="bullet"/>
      <w:lvlText w:val="•"/>
      <w:lvlJc w:val="left"/>
      <w:pPr>
        <w:ind w:left="4878" w:hanging="135"/>
      </w:pPr>
      <w:rPr>
        <w:rFonts w:hint="default"/>
        <w:lang w:val="pt-PT" w:eastAsia="en-US" w:bidi="ar-SA"/>
      </w:rPr>
    </w:lvl>
    <w:lvl w:ilvl="5" w:tplc="A7B2C444">
      <w:numFmt w:val="bullet"/>
      <w:lvlText w:val="•"/>
      <w:lvlJc w:val="left"/>
      <w:pPr>
        <w:ind w:left="5613" w:hanging="135"/>
      </w:pPr>
      <w:rPr>
        <w:rFonts w:hint="default"/>
        <w:lang w:val="pt-PT" w:eastAsia="en-US" w:bidi="ar-SA"/>
      </w:rPr>
    </w:lvl>
    <w:lvl w:ilvl="6" w:tplc="EC60A080">
      <w:numFmt w:val="bullet"/>
      <w:lvlText w:val="•"/>
      <w:lvlJc w:val="left"/>
      <w:pPr>
        <w:ind w:left="6347" w:hanging="135"/>
      </w:pPr>
      <w:rPr>
        <w:rFonts w:hint="default"/>
        <w:lang w:val="pt-PT" w:eastAsia="en-US" w:bidi="ar-SA"/>
      </w:rPr>
    </w:lvl>
    <w:lvl w:ilvl="7" w:tplc="DE7E027A">
      <w:numFmt w:val="bullet"/>
      <w:lvlText w:val="•"/>
      <w:lvlJc w:val="left"/>
      <w:pPr>
        <w:ind w:left="7082" w:hanging="135"/>
      </w:pPr>
      <w:rPr>
        <w:rFonts w:hint="default"/>
        <w:lang w:val="pt-PT" w:eastAsia="en-US" w:bidi="ar-SA"/>
      </w:rPr>
    </w:lvl>
    <w:lvl w:ilvl="8" w:tplc="734CA984">
      <w:numFmt w:val="bullet"/>
      <w:lvlText w:val="•"/>
      <w:lvlJc w:val="left"/>
      <w:pPr>
        <w:ind w:left="7817" w:hanging="135"/>
      </w:pPr>
      <w:rPr>
        <w:rFonts w:hint="default"/>
        <w:lang w:val="pt-PT" w:eastAsia="en-US" w:bidi="ar-SA"/>
      </w:rPr>
    </w:lvl>
  </w:abstractNum>
  <w:num w:numId="1" w16cid:durableId="1467359524">
    <w:abstractNumId w:val="2"/>
  </w:num>
  <w:num w:numId="2" w16cid:durableId="2041976395">
    <w:abstractNumId w:val="1"/>
  </w:num>
  <w:num w:numId="3" w16cid:durableId="12109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33"/>
    <w:rsid w:val="002F4533"/>
    <w:rsid w:val="004E670A"/>
    <w:rsid w:val="005C49B1"/>
    <w:rsid w:val="005D08EA"/>
    <w:rsid w:val="00E4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4078C"/>
  <w15:docId w15:val="{A6486B38-744B-49FA-80AE-B867A6C6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80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803" w:hanging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5C49B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5C49B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5C49B1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5C49B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C49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5C4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E.PR.GOV.BR/" TargetMode="External"/><Relationship Id="rId1" Type="http://schemas.openxmlformats.org/officeDocument/2006/relationships/hyperlink" Target="http://WWW.TCE.PR.GOV.BR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de-servico-n-27-de-3-de-outubro-de-2011/1294/area/249" TargetMode="External"/><Relationship Id="rId1" Type="http://schemas.openxmlformats.org/officeDocument/2006/relationships/hyperlink" Target="https://www1.tce.pr.gov.br/conteudo/diario-eletronico-3202-2024-de-06-de-maio-de-2024/354347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Alice Soria Garcia</cp:lastModifiedBy>
  <cp:revision>2</cp:revision>
  <dcterms:created xsi:type="dcterms:W3CDTF">2024-05-06T13:02:00Z</dcterms:created>
  <dcterms:modified xsi:type="dcterms:W3CDTF">2024-05-06T13:02:00Z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2024-05-06T00:00:00Z</vt:filetime>
  </property>
</Properties>
</file>