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517" w:rsidRDefault="00C11517" w:rsidP="0049124B">
      <w:pPr>
        <w:jc w:val="center"/>
        <w:rPr>
          <w:b/>
          <w:sz w:val="28"/>
          <w:szCs w:val="28"/>
        </w:rPr>
      </w:pPr>
      <w:r w:rsidRPr="00276230">
        <w:rPr>
          <w:b/>
          <w:bCs/>
          <w:sz w:val="28"/>
          <w:szCs w:val="28"/>
        </w:rPr>
        <w:t xml:space="preserve">INSTRUÇÃO DE SERVIÇO Nº </w:t>
      </w:r>
      <w:r w:rsidR="00A56FCF" w:rsidRPr="00276230">
        <w:rPr>
          <w:b/>
          <w:sz w:val="28"/>
          <w:szCs w:val="28"/>
        </w:rPr>
        <w:t>23/</w:t>
      </w:r>
      <w:r w:rsidR="00276230">
        <w:rPr>
          <w:b/>
          <w:sz w:val="28"/>
          <w:szCs w:val="28"/>
        </w:rPr>
        <w:t>20</w:t>
      </w:r>
      <w:r w:rsidR="00A56FCF" w:rsidRPr="00276230">
        <w:rPr>
          <w:b/>
          <w:sz w:val="28"/>
          <w:szCs w:val="28"/>
        </w:rPr>
        <w:t>11</w:t>
      </w:r>
      <w:r w:rsidR="0000313D" w:rsidRPr="0000313D">
        <w:rPr>
          <w:rStyle w:val="Refdenotaderodap"/>
          <w:b/>
          <w:sz w:val="28"/>
          <w:szCs w:val="28"/>
        </w:rPr>
        <w:footnoteReference w:customMarkFollows="1" w:id="1"/>
        <w:sym w:font="Symbol" w:char="F02A"/>
      </w:r>
    </w:p>
    <w:p w:rsidR="00276230" w:rsidRDefault="00276230" w:rsidP="0049124B">
      <w:pPr>
        <w:jc w:val="center"/>
        <w:rPr>
          <w:b/>
          <w:bCs/>
          <w:sz w:val="28"/>
          <w:szCs w:val="28"/>
        </w:rPr>
      </w:pPr>
    </w:p>
    <w:p w:rsidR="00695D66" w:rsidRPr="00276230" w:rsidRDefault="00695D66" w:rsidP="00276230">
      <w:pPr>
        <w:ind w:left="4536" w:right="57"/>
        <w:jc w:val="both"/>
        <w:rPr>
          <w:i/>
          <w:sz w:val="22"/>
          <w:szCs w:val="22"/>
        </w:rPr>
      </w:pPr>
      <w:r w:rsidRPr="00276230">
        <w:rPr>
          <w:i/>
          <w:sz w:val="22"/>
          <w:szCs w:val="22"/>
        </w:rPr>
        <w:t>Dispõe sobre a delegação de</w:t>
      </w:r>
      <w:r w:rsidR="001F3EA9" w:rsidRPr="00276230">
        <w:rPr>
          <w:i/>
          <w:sz w:val="22"/>
          <w:szCs w:val="22"/>
        </w:rPr>
        <w:t xml:space="preserve"> despachos de mero expediente de que trat</w:t>
      </w:r>
      <w:r w:rsidR="0049124B" w:rsidRPr="00276230">
        <w:rPr>
          <w:i/>
          <w:sz w:val="22"/>
          <w:szCs w:val="22"/>
        </w:rPr>
        <w:t xml:space="preserve">a o art. 32, §1º, do Regimento </w:t>
      </w:r>
      <w:r w:rsidR="001F3EA9" w:rsidRPr="00276230">
        <w:rPr>
          <w:i/>
          <w:sz w:val="22"/>
          <w:szCs w:val="22"/>
        </w:rPr>
        <w:t xml:space="preserve">Interno </w:t>
      </w:r>
      <w:r w:rsidRPr="00276230">
        <w:rPr>
          <w:i/>
          <w:sz w:val="22"/>
          <w:szCs w:val="22"/>
        </w:rPr>
        <w:t>deste Tribunal.</w:t>
      </w:r>
      <w:r w:rsidR="0049124B" w:rsidRPr="00276230">
        <w:rPr>
          <w:rStyle w:val="Refdenotaderodap"/>
          <w:i/>
          <w:sz w:val="22"/>
          <w:szCs w:val="22"/>
        </w:rPr>
        <w:footnoteReference w:id="2"/>
      </w:r>
    </w:p>
    <w:p w:rsidR="00695D66" w:rsidRPr="00276230" w:rsidRDefault="00695D66" w:rsidP="006E3684">
      <w:pPr>
        <w:spacing w:line="360" w:lineRule="auto"/>
        <w:ind w:right="57"/>
        <w:jc w:val="both"/>
      </w:pPr>
    </w:p>
    <w:p w:rsidR="00695D66" w:rsidRPr="00B50011" w:rsidRDefault="00695D66" w:rsidP="00B50011">
      <w:pPr>
        <w:spacing w:before="120"/>
        <w:ind w:right="57" w:firstLine="1276"/>
        <w:jc w:val="both"/>
        <w:rPr>
          <w:sz w:val="24"/>
          <w:szCs w:val="24"/>
        </w:rPr>
      </w:pPr>
      <w:r w:rsidRPr="00B50011">
        <w:rPr>
          <w:sz w:val="24"/>
          <w:szCs w:val="24"/>
        </w:rPr>
        <w:t xml:space="preserve">O </w:t>
      </w:r>
      <w:r w:rsidRPr="00B50011">
        <w:rPr>
          <w:b/>
          <w:smallCaps/>
          <w:sz w:val="24"/>
          <w:szCs w:val="24"/>
        </w:rPr>
        <w:t>AUDITOR THIAGO BARBOSA CORDEIRO</w:t>
      </w:r>
      <w:r w:rsidRPr="00B50011">
        <w:rPr>
          <w:sz w:val="24"/>
          <w:szCs w:val="24"/>
        </w:rPr>
        <w:t xml:space="preserve">, no uso das atribuições que lhe são conferidas </w:t>
      </w:r>
      <w:r w:rsidR="001F3EA9" w:rsidRPr="00B50011">
        <w:rPr>
          <w:sz w:val="24"/>
          <w:szCs w:val="24"/>
        </w:rPr>
        <w:t>pel</w:t>
      </w:r>
      <w:r w:rsidRPr="00B50011">
        <w:rPr>
          <w:sz w:val="24"/>
          <w:szCs w:val="24"/>
        </w:rPr>
        <w:t xml:space="preserve">o art. 32, §1º, do Regimento Interno deste Tribunal, </w:t>
      </w:r>
      <w:r w:rsidR="001F3EA9" w:rsidRPr="00B50011">
        <w:rPr>
          <w:sz w:val="24"/>
          <w:szCs w:val="24"/>
        </w:rPr>
        <w:t>determina</w:t>
      </w:r>
      <w:r w:rsidRPr="00B50011">
        <w:rPr>
          <w:sz w:val="24"/>
          <w:szCs w:val="24"/>
        </w:rPr>
        <w:t>:</w:t>
      </w:r>
    </w:p>
    <w:p w:rsidR="00695D66" w:rsidRPr="00B50011" w:rsidRDefault="00695D66" w:rsidP="00276230">
      <w:pPr>
        <w:spacing w:before="120"/>
        <w:ind w:right="57" w:firstLine="1276"/>
        <w:jc w:val="both"/>
        <w:rPr>
          <w:sz w:val="24"/>
          <w:szCs w:val="24"/>
        </w:rPr>
      </w:pPr>
      <w:r w:rsidRPr="00B50011">
        <w:rPr>
          <w:b/>
          <w:sz w:val="24"/>
          <w:szCs w:val="24"/>
        </w:rPr>
        <w:t>Art. 1º</w:t>
      </w:r>
      <w:r w:rsidRPr="00B50011">
        <w:rPr>
          <w:sz w:val="24"/>
          <w:szCs w:val="24"/>
        </w:rPr>
        <w:t xml:space="preserve"> - Ficam delegados aos servidores deste Gabinete, ANTÔNIO PAULO LEMOS, matrícula nº 50.391-6, MARCIA GALEAZZI CAXAMBU, matrícula nº 51.321-0 e MARÍLIA ZAMONER, matrícula nº 51.459-4, os despachos de mero expediente, em processos de minha relatoria</w:t>
      </w:r>
      <w:r w:rsidR="0063471A" w:rsidRPr="00B50011">
        <w:rPr>
          <w:sz w:val="24"/>
          <w:szCs w:val="24"/>
        </w:rPr>
        <w:t>, nas seguintes hipóteses</w:t>
      </w:r>
      <w:r w:rsidRPr="00B50011">
        <w:rPr>
          <w:sz w:val="24"/>
          <w:szCs w:val="24"/>
        </w:rPr>
        <w:t>:</w:t>
      </w:r>
    </w:p>
    <w:p w:rsidR="001F3EA9" w:rsidRPr="00B50011" w:rsidRDefault="00695D66" w:rsidP="00276230">
      <w:pPr>
        <w:spacing w:before="120"/>
        <w:ind w:left="1260" w:right="57"/>
        <w:jc w:val="both"/>
        <w:rPr>
          <w:sz w:val="24"/>
          <w:szCs w:val="24"/>
        </w:rPr>
      </w:pPr>
      <w:r w:rsidRPr="00B50011">
        <w:rPr>
          <w:sz w:val="24"/>
          <w:szCs w:val="24"/>
        </w:rPr>
        <w:t xml:space="preserve">I – </w:t>
      </w:r>
      <w:proofErr w:type="gramStart"/>
      <w:r w:rsidR="001F3EA9" w:rsidRPr="00B50011">
        <w:rPr>
          <w:sz w:val="24"/>
          <w:szCs w:val="24"/>
        </w:rPr>
        <w:t>autorização e determinação</w:t>
      </w:r>
      <w:proofErr w:type="gramEnd"/>
      <w:r w:rsidR="001F3EA9" w:rsidRPr="00B50011">
        <w:rPr>
          <w:sz w:val="24"/>
          <w:szCs w:val="24"/>
        </w:rPr>
        <w:t xml:space="preserve"> de citações e intimações, nas modali</w:t>
      </w:r>
      <w:r w:rsidR="004E0DDE" w:rsidRPr="00B50011">
        <w:rPr>
          <w:sz w:val="24"/>
          <w:szCs w:val="24"/>
        </w:rPr>
        <w:t>dades previstas no Capítulo XIV</w:t>
      </w:r>
      <w:r w:rsidR="001F3EA9" w:rsidRPr="00B50011">
        <w:rPr>
          <w:sz w:val="24"/>
          <w:szCs w:val="24"/>
        </w:rPr>
        <w:t xml:space="preserve"> do Regimento Interno deste Tribunal, salvo o disposto na parte final do §2º, do art. 32, do referido diploma legal;</w:t>
      </w:r>
    </w:p>
    <w:p w:rsidR="001F3EA9" w:rsidRPr="00B50011" w:rsidRDefault="001F3EA9" w:rsidP="00276230">
      <w:pPr>
        <w:spacing w:before="120"/>
        <w:ind w:left="1260" w:right="57"/>
        <w:jc w:val="both"/>
        <w:rPr>
          <w:sz w:val="24"/>
          <w:szCs w:val="24"/>
        </w:rPr>
      </w:pPr>
      <w:r w:rsidRPr="00B50011">
        <w:rPr>
          <w:sz w:val="24"/>
          <w:szCs w:val="24"/>
        </w:rPr>
        <w:t xml:space="preserve">II – </w:t>
      </w:r>
      <w:proofErr w:type="gramStart"/>
      <w:r w:rsidRPr="00B50011">
        <w:rPr>
          <w:sz w:val="24"/>
          <w:szCs w:val="24"/>
        </w:rPr>
        <w:t>autorização e determinação</w:t>
      </w:r>
      <w:proofErr w:type="gramEnd"/>
      <w:r w:rsidRPr="00B50011">
        <w:rPr>
          <w:sz w:val="24"/>
          <w:szCs w:val="24"/>
        </w:rPr>
        <w:t xml:space="preserve"> de diligência</w:t>
      </w:r>
      <w:r w:rsidR="00100A02" w:rsidRPr="00B50011">
        <w:rPr>
          <w:sz w:val="24"/>
          <w:szCs w:val="24"/>
        </w:rPr>
        <w:t>s</w:t>
      </w:r>
      <w:r w:rsidRPr="00B50011">
        <w:rPr>
          <w:sz w:val="24"/>
          <w:szCs w:val="24"/>
        </w:rPr>
        <w:t xml:space="preserve"> internas e externas, </w:t>
      </w:r>
      <w:r w:rsidR="009E7647" w:rsidRPr="00B50011">
        <w:rPr>
          <w:sz w:val="24"/>
          <w:szCs w:val="24"/>
        </w:rPr>
        <w:t>bem como</w:t>
      </w:r>
      <w:r w:rsidRPr="00B50011">
        <w:rPr>
          <w:sz w:val="24"/>
          <w:szCs w:val="24"/>
        </w:rPr>
        <w:t xml:space="preserve"> o encaminhamento de processos para a manifestação do Ministério Público de Contas</w:t>
      </w:r>
      <w:r w:rsidR="00100A02" w:rsidRPr="00B50011">
        <w:rPr>
          <w:sz w:val="24"/>
          <w:szCs w:val="24"/>
        </w:rPr>
        <w:t>;</w:t>
      </w:r>
      <w:r w:rsidRPr="00B50011">
        <w:rPr>
          <w:sz w:val="24"/>
          <w:szCs w:val="24"/>
        </w:rPr>
        <w:t xml:space="preserve"> </w:t>
      </w:r>
    </w:p>
    <w:p w:rsidR="00100A02" w:rsidRPr="00B50011" w:rsidRDefault="00100A02" w:rsidP="00276230">
      <w:pPr>
        <w:spacing w:before="120"/>
        <w:ind w:left="1260" w:right="57"/>
        <w:jc w:val="both"/>
        <w:rPr>
          <w:sz w:val="24"/>
          <w:szCs w:val="24"/>
        </w:rPr>
      </w:pPr>
      <w:r w:rsidRPr="00B50011">
        <w:rPr>
          <w:sz w:val="24"/>
          <w:szCs w:val="24"/>
        </w:rPr>
        <w:t>I</w:t>
      </w:r>
      <w:r w:rsidR="00695D66" w:rsidRPr="00B50011">
        <w:rPr>
          <w:sz w:val="24"/>
          <w:szCs w:val="24"/>
        </w:rPr>
        <w:t xml:space="preserve">II – </w:t>
      </w:r>
      <w:r w:rsidRPr="00B50011">
        <w:rPr>
          <w:sz w:val="24"/>
          <w:szCs w:val="24"/>
        </w:rPr>
        <w:t xml:space="preserve">autorização e determinação de providências atinentes à correção da autuação de processos, nos casos de redistribuição de feitos, correção de nomes de partes, interessados e advogados, inclusão e exclusão de nomes de advogados, </w:t>
      </w:r>
      <w:r w:rsidR="008A58DE" w:rsidRPr="00B50011">
        <w:rPr>
          <w:sz w:val="24"/>
          <w:szCs w:val="24"/>
        </w:rPr>
        <w:t>com exceção da</w:t>
      </w:r>
      <w:r w:rsidR="004E0DDE" w:rsidRPr="00B50011">
        <w:rPr>
          <w:sz w:val="24"/>
          <w:szCs w:val="24"/>
        </w:rPr>
        <w:t xml:space="preserve"> </w:t>
      </w:r>
      <w:r w:rsidRPr="00B50011">
        <w:rPr>
          <w:sz w:val="24"/>
          <w:szCs w:val="24"/>
        </w:rPr>
        <w:t xml:space="preserve">inclusão de partes e interessados, </w:t>
      </w:r>
      <w:r w:rsidR="004E0DDE" w:rsidRPr="00B50011">
        <w:rPr>
          <w:sz w:val="24"/>
          <w:szCs w:val="24"/>
        </w:rPr>
        <w:t>tendo em vista</w:t>
      </w:r>
      <w:r w:rsidRPr="00B50011">
        <w:rPr>
          <w:sz w:val="24"/>
          <w:szCs w:val="24"/>
        </w:rPr>
        <w:t xml:space="preserve"> o art. 347, §5º, do Regimento Interno deste Tribunal;</w:t>
      </w:r>
    </w:p>
    <w:p w:rsidR="00100A02" w:rsidRPr="00B50011" w:rsidRDefault="00100A02" w:rsidP="00276230">
      <w:pPr>
        <w:spacing w:before="120"/>
        <w:ind w:left="1260" w:right="57"/>
        <w:jc w:val="both"/>
        <w:rPr>
          <w:sz w:val="24"/>
          <w:szCs w:val="24"/>
        </w:rPr>
      </w:pPr>
      <w:r w:rsidRPr="00B50011">
        <w:rPr>
          <w:sz w:val="24"/>
          <w:szCs w:val="24"/>
        </w:rPr>
        <w:t xml:space="preserve">IV – </w:t>
      </w:r>
      <w:proofErr w:type="gramStart"/>
      <w:r w:rsidRPr="00B50011">
        <w:rPr>
          <w:sz w:val="24"/>
          <w:szCs w:val="24"/>
        </w:rPr>
        <w:t>deferimento</w:t>
      </w:r>
      <w:proofErr w:type="gramEnd"/>
      <w:r w:rsidRPr="00B50011">
        <w:rPr>
          <w:sz w:val="24"/>
          <w:szCs w:val="24"/>
        </w:rPr>
        <w:t xml:space="preserve"> de requer</w:t>
      </w:r>
      <w:r w:rsidR="008A58DE" w:rsidRPr="00B50011">
        <w:rPr>
          <w:sz w:val="24"/>
          <w:szCs w:val="24"/>
        </w:rPr>
        <w:t>imentos de prorrogação de prazo</w:t>
      </w:r>
      <w:r w:rsidRPr="00B50011">
        <w:rPr>
          <w:sz w:val="24"/>
          <w:szCs w:val="24"/>
        </w:rPr>
        <w:t xml:space="preserve"> para exercício do contraditório e da ampla defesa e </w:t>
      </w:r>
      <w:r w:rsidR="004E0DDE" w:rsidRPr="00B50011">
        <w:rPr>
          <w:sz w:val="24"/>
          <w:szCs w:val="24"/>
        </w:rPr>
        <w:t>para cumprimento de diligências</w:t>
      </w:r>
      <w:r w:rsidR="008A58DE" w:rsidRPr="00B50011">
        <w:rPr>
          <w:sz w:val="24"/>
          <w:szCs w:val="24"/>
        </w:rPr>
        <w:t>,</w:t>
      </w:r>
      <w:r w:rsidR="004E0DDE" w:rsidRPr="00B50011">
        <w:rPr>
          <w:sz w:val="24"/>
          <w:szCs w:val="24"/>
        </w:rPr>
        <w:t xml:space="preserve"> e concessão de novo prazo para o</w:t>
      </w:r>
      <w:r w:rsidR="008A58DE" w:rsidRPr="00B50011">
        <w:rPr>
          <w:sz w:val="24"/>
          <w:szCs w:val="24"/>
        </w:rPr>
        <w:t>s</w:t>
      </w:r>
      <w:r w:rsidR="004E0DDE" w:rsidRPr="00B50011">
        <w:rPr>
          <w:sz w:val="24"/>
          <w:szCs w:val="24"/>
        </w:rPr>
        <w:t xml:space="preserve"> mesmo</w:t>
      </w:r>
      <w:r w:rsidR="008A58DE" w:rsidRPr="00B50011">
        <w:rPr>
          <w:sz w:val="24"/>
          <w:szCs w:val="24"/>
        </w:rPr>
        <w:t>s</w:t>
      </w:r>
      <w:r w:rsidR="004E0DDE" w:rsidRPr="00B50011">
        <w:rPr>
          <w:sz w:val="24"/>
          <w:szCs w:val="24"/>
        </w:rPr>
        <w:t xml:space="preserve"> fi</w:t>
      </w:r>
      <w:r w:rsidR="008A58DE" w:rsidRPr="00B50011">
        <w:rPr>
          <w:sz w:val="24"/>
          <w:szCs w:val="24"/>
        </w:rPr>
        <w:t>ns</w:t>
      </w:r>
      <w:r w:rsidR="004E0DDE" w:rsidRPr="00B50011">
        <w:rPr>
          <w:sz w:val="24"/>
          <w:szCs w:val="24"/>
        </w:rPr>
        <w:t>;</w:t>
      </w:r>
    </w:p>
    <w:p w:rsidR="00100A02" w:rsidRPr="00B50011" w:rsidRDefault="00100A02" w:rsidP="00276230">
      <w:pPr>
        <w:spacing w:before="120"/>
        <w:ind w:left="1260" w:right="57"/>
        <w:jc w:val="both"/>
        <w:rPr>
          <w:sz w:val="24"/>
          <w:szCs w:val="24"/>
        </w:rPr>
      </w:pPr>
      <w:r w:rsidRPr="00B50011">
        <w:rPr>
          <w:sz w:val="24"/>
          <w:szCs w:val="24"/>
        </w:rPr>
        <w:t xml:space="preserve">V – </w:t>
      </w:r>
      <w:proofErr w:type="gramStart"/>
      <w:r w:rsidRPr="00B50011">
        <w:rPr>
          <w:sz w:val="24"/>
          <w:szCs w:val="24"/>
        </w:rPr>
        <w:t>conhecimento</w:t>
      </w:r>
      <w:proofErr w:type="gramEnd"/>
      <w:r w:rsidRPr="00B50011">
        <w:rPr>
          <w:sz w:val="24"/>
          <w:szCs w:val="24"/>
        </w:rPr>
        <w:t xml:space="preserve"> de alegações de defesa, de documentos novos e de provas apresentadas nos termos previstos no Capítulo VII, do Regimento Interno deste Tribunal;</w:t>
      </w:r>
    </w:p>
    <w:p w:rsidR="00ED7655" w:rsidRPr="00B50011" w:rsidRDefault="00ED7655" w:rsidP="00276230">
      <w:pPr>
        <w:spacing w:before="120"/>
        <w:ind w:left="1260" w:right="57"/>
        <w:jc w:val="both"/>
        <w:rPr>
          <w:sz w:val="24"/>
          <w:szCs w:val="24"/>
        </w:rPr>
      </w:pPr>
      <w:r w:rsidRPr="00B50011">
        <w:rPr>
          <w:sz w:val="24"/>
          <w:szCs w:val="24"/>
        </w:rPr>
        <w:t xml:space="preserve">VI – </w:t>
      </w:r>
      <w:proofErr w:type="gramStart"/>
      <w:r w:rsidRPr="00B50011">
        <w:rPr>
          <w:sz w:val="24"/>
          <w:szCs w:val="24"/>
        </w:rPr>
        <w:t>autorização e determinação</w:t>
      </w:r>
      <w:proofErr w:type="gramEnd"/>
      <w:r w:rsidRPr="00B50011">
        <w:rPr>
          <w:sz w:val="24"/>
          <w:szCs w:val="24"/>
        </w:rPr>
        <w:t xml:space="preserve"> de reunião, juntada, apensamento e </w:t>
      </w:r>
      <w:proofErr w:type="spellStart"/>
      <w:r w:rsidRPr="00B50011">
        <w:rPr>
          <w:sz w:val="24"/>
          <w:szCs w:val="24"/>
        </w:rPr>
        <w:t>desapensamento</w:t>
      </w:r>
      <w:proofErr w:type="spellEnd"/>
      <w:r w:rsidRPr="00B50011">
        <w:rPr>
          <w:sz w:val="24"/>
          <w:szCs w:val="24"/>
        </w:rPr>
        <w:t xml:space="preserve"> de processos;</w:t>
      </w:r>
    </w:p>
    <w:p w:rsidR="00ED7655" w:rsidRPr="00B50011" w:rsidRDefault="00ED7655" w:rsidP="00276230">
      <w:pPr>
        <w:spacing w:before="120"/>
        <w:ind w:left="1260" w:right="57"/>
        <w:jc w:val="both"/>
        <w:rPr>
          <w:sz w:val="24"/>
          <w:szCs w:val="24"/>
        </w:rPr>
      </w:pPr>
      <w:r w:rsidRPr="00B50011">
        <w:rPr>
          <w:sz w:val="24"/>
          <w:szCs w:val="24"/>
        </w:rPr>
        <w:lastRenderedPageBreak/>
        <w:t>VII – deferimento de pedidos de vistas e de cópias, nos termos regimentais;</w:t>
      </w:r>
    </w:p>
    <w:p w:rsidR="00ED7655" w:rsidRPr="00B50011" w:rsidRDefault="00ED7655" w:rsidP="00276230">
      <w:pPr>
        <w:spacing w:before="120"/>
        <w:ind w:left="1260" w:right="57"/>
        <w:jc w:val="both"/>
        <w:rPr>
          <w:sz w:val="24"/>
          <w:szCs w:val="24"/>
        </w:rPr>
      </w:pPr>
      <w:r w:rsidRPr="00B50011">
        <w:rPr>
          <w:sz w:val="24"/>
          <w:szCs w:val="24"/>
        </w:rPr>
        <w:t xml:space="preserve">VIII - autorização e determinação de encerramento e arquivamento de processos </w:t>
      </w:r>
      <w:r w:rsidR="004E0DDE" w:rsidRPr="00B50011">
        <w:rPr>
          <w:sz w:val="24"/>
          <w:szCs w:val="24"/>
        </w:rPr>
        <w:t>apreciados</w:t>
      </w:r>
      <w:r w:rsidRPr="00B50011">
        <w:rPr>
          <w:sz w:val="24"/>
          <w:szCs w:val="24"/>
        </w:rPr>
        <w:t xml:space="preserve"> por meio de Decisão Definitiva Monocrática.</w:t>
      </w:r>
    </w:p>
    <w:p w:rsidR="00ED7655" w:rsidRPr="00B50011" w:rsidRDefault="00ED7655" w:rsidP="00276230">
      <w:pPr>
        <w:spacing w:before="120"/>
        <w:ind w:right="57" w:firstLine="1276"/>
        <w:jc w:val="both"/>
        <w:rPr>
          <w:sz w:val="24"/>
          <w:szCs w:val="24"/>
        </w:rPr>
      </w:pPr>
      <w:r w:rsidRPr="00B50011">
        <w:rPr>
          <w:b/>
          <w:sz w:val="24"/>
          <w:szCs w:val="24"/>
        </w:rPr>
        <w:t>Art. 2º</w:t>
      </w:r>
      <w:r w:rsidRPr="00B50011">
        <w:rPr>
          <w:sz w:val="24"/>
          <w:szCs w:val="24"/>
        </w:rPr>
        <w:t xml:space="preserve"> - Fica revogada a Instrução de Serviço nº </w:t>
      </w:r>
      <w:r w:rsidR="0049124B" w:rsidRPr="00B50011">
        <w:rPr>
          <w:sz w:val="24"/>
          <w:szCs w:val="24"/>
        </w:rPr>
        <w:t>001/2007, do Gabine</w:t>
      </w:r>
      <w:r w:rsidR="006E3684" w:rsidRPr="00B50011">
        <w:rPr>
          <w:sz w:val="24"/>
          <w:szCs w:val="24"/>
        </w:rPr>
        <w:t xml:space="preserve">te deste Auditor, que delegou aos dirigentes das unidades administrativas os </w:t>
      </w:r>
      <w:r w:rsidR="0049124B" w:rsidRPr="00B50011">
        <w:rPr>
          <w:sz w:val="24"/>
          <w:szCs w:val="24"/>
        </w:rPr>
        <w:t>atos dispostos no §3º</w:t>
      </w:r>
      <w:r w:rsidR="006E3684" w:rsidRPr="00B50011">
        <w:rPr>
          <w:rStyle w:val="Refdenotaderodap"/>
          <w:sz w:val="24"/>
          <w:szCs w:val="24"/>
        </w:rPr>
        <w:footnoteReference w:id="3"/>
      </w:r>
      <w:r w:rsidR="0049124B" w:rsidRPr="00B50011">
        <w:rPr>
          <w:sz w:val="24"/>
          <w:szCs w:val="24"/>
        </w:rPr>
        <w:t>, do art. 352, do Regimento Interno</w:t>
      </w:r>
      <w:r w:rsidR="006E3684" w:rsidRPr="00B50011">
        <w:rPr>
          <w:sz w:val="24"/>
          <w:szCs w:val="24"/>
        </w:rPr>
        <w:t xml:space="preserve"> deste Tribunal</w:t>
      </w:r>
      <w:r w:rsidR="0049124B" w:rsidRPr="00B50011">
        <w:rPr>
          <w:sz w:val="24"/>
          <w:szCs w:val="24"/>
        </w:rPr>
        <w:t>.</w:t>
      </w:r>
    </w:p>
    <w:p w:rsidR="004E0DDE" w:rsidRPr="00B50011" w:rsidRDefault="004E0DDE" w:rsidP="00276230">
      <w:pPr>
        <w:spacing w:before="120"/>
        <w:ind w:right="57" w:firstLine="1276"/>
        <w:jc w:val="both"/>
        <w:rPr>
          <w:sz w:val="24"/>
          <w:szCs w:val="24"/>
        </w:rPr>
      </w:pPr>
      <w:r w:rsidRPr="00B50011">
        <w:rPr>
          <w:b/>
          <w:sz w:val="24"/>
          <w:szCs w:val="24"/>
        </w:rPr>
        <w:t>Art. 3º</w:t>
      </w:r>
      <w:r w:rsidRPr="00B50011">
        <w:rPr>
          <w:sz w:val="24"/>
          <w:szCs w:val="24"/>
        </w:rPr>
        <w:t xml:space="preserve"> - Esta Instrução de Serviço entrará em vigor na data de sua publicação.</w:t>
      </w:r>
    </w:p>
    <w:p w:rsidR="004E0DDE" w:rsidRPr="00B50011" w:rsidRDefault="004E0DDE" w:rsidP="00276230">
      <w:pPr>
        <w:spacing w:before="120"/>
        <w:ind w:right="57" w:firstLine="1276"/>
        <w:jc w:val="both"/>
        <w:rPr>
          <w:sz w:val="24"/>
          <w:szCs w:val="24"/>
        </w:rPr>
      </w:pPr>
    </w:p>
    <w:p w:rsidR="0030197B" w:rsidRPr="00B50011" w:rsidRDefault="0030197B" w:rsidP="00276230">
      <w:pPr>
        <w:spacing w:before="120"/>
        <w:ind w:right="57"/>
        <w:jc w:val="center"/>
        <w:rPr>
          <w:sz w:val="24"/>
          <w:szCs w:val="24"/>
        </w:rPr>
      </w:pPr>
    </w:p>
    <w:p w:rsidR="006E3684" w:rsidRPr="00B50011" w:rsidRDefault="006E3684" w:rsidP="00276230">
      <w:pPr>
        <w:spacing w:before="120"/>
        <w:ind w:right="57"/>
        <w:jc w:val="center"/>
        <w:rPr>
          <w:sz w:val="24"/>
          <w:szCs w:val="24"/>
        </w:rPr>
      </w:pPr>
      <w:bookmarkStart w:id="0" w:name="_GoBack"/>
      <w:bookmarkEnd w:id="0"/>
    </w:p>
    <w:p w:rsidR="00695D66" w:rsidRPr="00B50011" w:rsidRDefault="00695D66" w:rsidP="00276230">
      <w:pPr>
        <w:spacing w:before="120"/>
        <w:ind w:right="57"/>
        <w:jc w:val="center"/>
        <w:rPr>
          <w:sz w:val="24"/>
          <w:szCs w:val="24"/>
        </w:rPr>
      </w:pPr>
      <w:r w:rsidRPr="00B50011">
        <w:rPr>
          <w:sz w:val="24"/>
          <w:szCs w:val="24"/>
        </w:rPr>
        <w:t xml:space="preserve">Curitiba, </w:t>
      </w:r>
      <w:r w:rsidR="0049124B" w:rsidRPr="00B50011">
        <w:rPr>
          <w:sz w:val="24"/>
          <w:szCs w:val="24"/>
        </w:rPr>
        <w:t>01</w:t>
      </w:r>
      <w:r w:rsidRPr="00B50011">
        <w:rPr>
          <w:sz w:val="24"/>
          <w:szCs w:val="24"/>
        </w:rPr>
        <w:t xml:space="preserve"> de </w:t>
      </w:r>
      <w:r w:rsidR="0049124B" w:rsidRPr="00B50011">
        <w:rPr>
          <w:sz w:val="24"/>
          <w:szCs w:val="24"/>
        </w:rPr>
        <w:t>jul</w:t>
      </w:r>
      <w:r w:rsidR="0030197B" w:rsidRPr="00B50011">
        <w:rPr>
          <w:sz w:val="24"/>
          <w:szCs w:val="24"/>
        </w:rPr>
        <w:t>ho</w:t>
      </w:r>
      <w:r w:rsidRPr="00B50011">
        <w:rPr>
          <w:sz w:val="24"/>
          <w:szCs w:val="24"/>
        </w:rPr>
        <w:t xml:space="preserve"> de 2011.</w:t>
      </w:r>
    </w:p>
    <w:p w:rsidR="00695D66" w:rsidRPr="00B50011" w:rsidRDefault="00695D66" w:rsidP="00276230">
      <w:pPr>
        <w:spacing w:before="120"/>
        <w:ind w:right="57"/>
        <w:jc w:val="center"/>
        <w:rPr>
          <w:sz w:val="24"/>
          <w:szCs w:val="24"/>
        </w:rPr>
      </w:pPr>
    </w:p>
    <w:p w:rsidR="00CF3B52" w:rsidRPr="00B50011" w:rsidRDefault="00CF3B52" w:rsidP="00276230">
      <w:pPr>
        <w:spacing w:before="120"/>
        <w:ind w:right="57"/>
        <w:jc w:val="center"/>
        <w:rPr>
          <w:sz w:val="24"/>
          <w:szCs w:val="24"/>
        </w:rPr>
      </w:pPr>
    </w:p>
    <w:p w:rsidR="00CF3B52" w:rsidRPr="00B50011" w:rsidRDefault="00CF3B52" w:rsidP="00276230">
      <w:pPr>
        <w:spacing w:before="120"/>
        <w:ind w:right="57"/>
        <w:jc w:val="center"/>
        <w:rPr>
          <w:sz w:val="24"/>
          <w:szCs w:val="24"/>
        </w:rPr>
      </w:pPr>
    </w:p>
    <w:p w:rsidR="00695D66" w:rsidRPr="00B50011" w:rsidRDefault="0030197B" w:rsidP="00276230">
      <w:pPr>
        <w:spacing w:before="120"/>
        <w:ind w:right="57"/>
        <w:jc w:val="center"/>
        <w:rPr>
          <w:b/>
          <w:smallCaps/>
          <w:sz w:val="24"/>
          <w:szCs w:val="24"/>
        </w:rPr>
      </w:pPr>
      <w:r w:rsidRPr="00B50011">
        <w:rPr>
          <w:b/>
          <w:smallCaps/>
          <w:sz w:val="24"/>
          <w:szCs w:val="24"/>
        </w:rPr>
        <w:t>THIAGO BARBOSA CORDEIRO</w:t>
      </w:r>
    </w:p>
    <w:p w:rsidR="001B0BF5" w:rsidRPr="00B50011" w:rsidRDefault="0030197B" w:rsidP="00276230">
      <w:pPr>
        <w:spacing w:before="120"/>
        <w:ind w:right="57"/>
        <w:jc w:val="center"/>
        <w:rPr>
          <w:sz w:val="24"/>
          <w:szCs w:val="24"/>
        </w:rPr>
      </w:pPr>
      <w:r w:rsidRPr="00B50011">
        <w:rPr>
          <w:smallCaps/>
          <w:sz w:val="24"/>
          <w:szCs w:val="24"/>
        </w:rPr>
        <w:t>Auditor</w:t>
      </w:r>
    </w:p>
    <w:sectPr w:rsidR="001B0BF5" w:rsidRPr="00B50011" w:rsidSect="00554EF5">
      <w:headerReference w:type="default" r:id="rId8"/>
      <w:footerReference w:type="even" r:id="rId9"/>
      <w:footerReference w:type="default" r:id="rId10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505" w:rsidRDefault="00AD4505">
      <w:r>
        <w:separator/>
      </w:r>
    </w:p>
  </w:endnote>
  <w:endnote w:type="continuationSeparator" w:id="0">
    <w:p w:rsidR="00AD4505" w:rsidRDefault="00AD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24B" w:rsidRDefault="0049124B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124B" w:rsidRDefault="0049124B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24B" w:rsidRDefault="0049124B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505" w:rsidRDefault="00AD4505">
      <w:r>
        <w:separator/>
      </w:r>
    </w:p>
  </w:footnote>
  <w:footnote w:type="continuationSeparator" w:id="0">
    <w:p w:rsidR="00AD4505" w:rsidRDefault="00AD4505">
      <w:r>
        <w:continuationSeparator/>
      </w:r>
    </w:p>
  </w:footnote>
  <w:footnote w:id="1">
    <w:p w:rsidR="0000313D" w:rsidRDefault="0000313D" w:rsidP="00276230">
      <w:pPr>
        <w:pStyle w:val="NormalWeb"/>
        <w:spacing w:before="0" w:beforeAutospacing="0" w:after="0" w:line="240" w:lineRule="auto"/>
        <w:ind w:left="142" w:hanging="142"/>
        <w:textAlignment w:val="top"/>
        <w:rPr>
          <w:b/>
        </w:rPr>
      </w:pPr>
      <w:r w:rsidRPr="0000313D">
        <w:rPr>
          <w:rStyle w:val="Refdenotaderodap"/>
        </w:rPr>
        <w:sym w:font="Symbol" w:char="F02A"/>
      </w:r>
      <w:r w:rsidRPr="00276230">
        <w:t xml:space="preserve"> </w:t>
      </w:r>
      <w:r w:rsidRPr="00276230">
        <w:rPr>
          <w:b/>
        </w:rPr>
        <w:t>Nota</w:t>
      </w:r>
      <w:r w:rsidR="001115F7">
        <w:rPr>
          <w:b/>
        </w:rPr>
        <w:t>s</w:t>
      </w:r>
      <w:r w:rsidRPr="00276230">
        <w:rPr>
          <w:b/>
        </w:rPr>
        <w:t xml:space="preserve"> da Biblioteca:</w:t>
      </w:r>
    </w:p>
    <w:p w:rsidR="0000313D" w:rsidRDefault="0000313D" w:rsidP="0000313D">
      <w:pPr>
        <w:pStyle w:val="NormalWeb"/>
        <w:numPr>
          <w:ilvl w:val="0"/>
          <w:numId w:val="2"/>
        </w:numPr>
        <w:spacing w:before="0" w:beforeAutospacing="0" w:after="0" w:line="240" w:lineRule="auto"/>
        <w:ind w:left="426" w:hanging="284"/>
        <w:textAlignment w:val="top"/>
      </w:pPr>
      <w:r>
        <w:t>E</w:t>
      </w:r>
      <w:r w:rsidRPr="00276230">
        <w:t xml:space="preserve">ste texto não substitui o publicado no periódico: </w:t>
      </w:r>
      <w:hyperlink r:id="rId1" w:history="1">
        <w:r w:rsidRPr="00276230">
          <w:rPr>
            <w:rStyle w:val="Hyperlink"/>
          </w:rPr>
          <w:t>Atos Oficiais do Tribunal de Contas do Estado do Paraná, Curitiba, PR, n. 307, 8 jul. 2011, p. 123</w:t>
        </w:r>
      </w:hyperlink>
      <w:r w:rsidRPr="00276230">
        <w:t>.</w:t>
      </w:r>
    </w:p>
    <w:p w:rsidR="001115F7" w:rsidRPr="001115F7" w:rsidRDefault="001115F7" w:rsidP="0000313D">
      <w:pPr>
        <w:pStyle w:val="NormalWeb"/>
        <w:numPr>
          <w:ilvl w:val="0"/>
          <w:numId w:val="2"/>
        </w:numPr>
        <w:spacing w:before="0" w:beforeAutospacing="0" w:after="0" w:line="240" w:lineRule="auto"/>
        <w:ind w:left="426" w:hanging="284"/>
        <w:textAlignment w:val="top"/>
        <w:rPr>
          <w:rStyle w:val="Hyperlink"/>
          <w:color w:val="auto"/>
          <w:u w:val="none"/>
        </w:rPr>
      </w:pPr>
      <w:r w:rsidRPr="0000313D">
        <w:rPr>
          <w:rStyle w:val="Forte"/>
          <w:color w:val="FF0000"/>
        </w:rPr>
        <w:t>Revogada</w:t>
      </w:r>
      <w:r w:rsidRPr="0000313D">
        <w:t xml:space="preserve"> por: </w:t>
      </w:r>
      <w:hyperlink r:id="rId2" w:history="1">
        <w:r w:rsidRPr="0000313D">
          <w:rPr>
            <w:rStyle w:val="Hyperlink"/>
          </w:rPr>
          <w:t>Instrução de Serviço n. 52, de 26 de abril de 2013</w:t>
        </w:r>
      </w:hyperlink>
    </w:p>
    <w:p w:rsidR="0000313D" w:rsidRPr="00276230" w:rsidRDefault="0000313D" w:rsidP="00276230">
      <w:pPr>
        <w:pStyle w:val="NormalWeb"/>
        <w:spacing w:before="0" w:beforeAutospacing="0" w:after="0" w:line="240" w:lineRule="auto"/>
        <w:ind w:left="142" w:hanging="142"/>
        <w:textAlignment w:val="top"/>
      </w:pPr>
    </w:p>
  </w:footnote>
  <w:footnote w:id="2">
    <w:p w:rsidR="0049124B" w:rsidRPr="00276230" w:rsidRDefault="0049124B" w:rsidP="00276230">
      <w:pPr>
        <w:pStyle w:val="Numera10"/>
        <w:numPr>
          <w:ilvl w:val="0"/>
          <w:numId w:val="0"/>
        </w:numPr>
        <w:spacing w:before="0" w:after="0"/>
      </w:pPr>
      <w:r w:rsidRPr="00276230">
        <w:rPr>
          <w:rStyle w:val="Refdenotaderodap"/>
        </w:rPr>
        <w:footnoteRef/>
      </w:r>
      <w:r w:rsidRPr="00276230">
        <w:t xml:space="preserve"> Art. 32. Como Relator, compete ao Conselheiro:</w:t>
      </w:r>
    </w:p>
    <w:p w:rsidR="0049124B" w:rsidRPr="00276230" w:rsidRDefault="0049124B" w:rsidP="00276230">
      <w:pPr>
        <w:pStyle w:val="Numera10"/>
        <w:numPr>
          <w:ilvl w:val="0"/>
          <w:numId w:val="0"/>
        </w:numPr>
        <w:spacing w:before="0" w:after="0"/>
        <w:ind w:left="142"/>
      </w:pPr>
      <w:r w:rsidRPr="00276230">
        <w:t>(...)</w:t>
      </w:r>
    </w:p>
    <w:p w:rsidR="0049124B" w:rsidRPr="00276230" w:rsidRDefault="0049124B" w:rsidP="00276230">
      <w:pPr>
        <w:pStyle w:val="Numera10"/>
        <w:numPr>
          <w:ilvl w:val="0"/>
          <w:numId w:val="0"/>
        </w:numPr>
        <w:spacing w:before="0" w:after="0"/>
        <w:ind w:left="142"/>
        <w:rPr>
          <w:rFonts w:ascii="Times New Roman" w:hAnsi="Times New Roman" w:cs="Times New Roman"/>
        </w:rPr>
      </w:pPr>
      <w:r w:rsidRPr="00276230">
        <w:t>§ 1º Os despachos de mero expediente poderão ser delegados, por ato do Relator, ao Gabinete do Conselheiro ou do Auditor, por ato próprio, em que serão especificadas as hipóteses de delegação e o se</w:t>
      </w:r>
      <w:r w:rsidR="000A3333" w:rsidRPr="00276230">
        <w:t>rvidor autorizado a exará-los.</w:t>
      </w:r>
      <w:r w:rsidR="000A3333" w:rsidRPr="00276230">
        <w:rPr>
          <w:rFonts w:ascii="Times New Roman" w:hAnsi="Times New Roman" w:cs="Times New Roman"/>
        </w:rPr>
        <w:t xml:space="preserve"> </w:t>
      </w:r>
    </w:p>
  </w:footnote>
  <w:footnote w:id="3">
    <w:p w:rsidR="006E3684" w:rsidRPr="00276230" w:rsidRDefault="006E3684">
      <w:pPr>
        <w:pStyle w:val="Textodenotaderodap"/>
      </w:pPr>
      <w:r w:rsidRPr="00276230">
        <w:rPr>
          <w:rStyle w:val="Refdenotaderodap"/>
        </w:rPr>
        <w:footnoteRef/>
      </w:r>
      <w:r w:rsidRPr="00276230">
        <w:t xml:space="preserve"> Parágrafo revogado pela Resolução nº 24/2010 deste Tribunal.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24B" w:rsidRPr="00276230" w:rsidRDefault="00B50011" w:rsidP="0091709F">
    <w:pPr>
      <w:pStyle w:val="Cabealho"/>
      <w:spacing w:before="480" w:after="120"/>
      <w:ind w:left="1134"/>
      <w:jc w:val="center"/>
      <w:rPr>
        <w:b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25pt;margin-top:4.55pt;width:47.7pt;height:56.1pt;z-index:251657728">
          <v:imagedata r:id="rId1" o:title="logo TC colorido - medio"/>
          <w10:wrap type="square"/>
        </v:shape>
      </w:pict>
    </w:r>
    <w:r w:rsidR="0049124B" w:rsidRPr="00276230">
      <w:rPr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6DB0"/>
    <w:multiLevelType w:val="multilevel"/>
    <w:tmpl w:val="069E4D66"/>
    <w:lvl w:ilvl="0">
      <w:start w:val="10"/>
      <w:numFmt w:val="decimal"/>
      <w:pStyle w:val="Numera10"/>
      <w:suff w:val="space"/>
      <w:lvlText w:val="Art. %1."/>
      <w:lvlJc w:val="left"/>
      <w:pPr>
        <w:ind w:left="1015" w:firstLine="567"/>
      </w:pPr>
      <w:rPr>
        <w:b/>
        <w:i w:val="0"/>
        <w:strike w:val="0"/>
        <w:dstrike w:val="0"/>
        <w:color w:val="auto"/>
        <w:sz w:val="20"/>
        <w:u w:val="none" w:color="000000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-218" w:firstLine="567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1"/>
      <w:suff w:val="space"/>
      <w:lvlText w:val="§ %3"/>
      <w:lvlJc w:val="left"/>
      <w:pPr>
        <w:ind w:left="-218" w:firstLine="567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-218" w:firstLine="567"/>
      </w:pPr>
      <w:rPr>
        <w:b w:val="0"/>
        <w:i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3949"/>
        </w:tabs>
        <w:ind w:left="2581" w:hanging="792"/>
      </w:pPr>
    </w:lvl>
    <w:lvl w:ilvl="5">
      <w:start w:val="1"/>
      <w:numFmt w:val="decimal"/>
      <w:lvlText w:val="%1.%2.%3.%4.%5.%6."/>
      <w:lvlJc w:val="left"/>
      <w:pPr>
        <w:tabs>
          <w:tab w:val="num" w:pos="4669"/>
        </w:tabs>
        <w:ind w:left="3085" w:hanging="936"/>
      </w:pPr>
    </w:lvl>
    <w:lvl w:ilvl="6">
      <w:start w:val="1"/>
      <w:numFmt w:val="decimal"/>
      <w:lvlText w:val="%1.%2.%3.%4.%5.%6.%7."/>
      <w:lvlJc w:val="left"/>
      <w:pPr>
        <w:tabs>
          <w:tab w:val="num" w:pos="5389"/>
        </w:tabs>
        <w:ind w:left="358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09"/>
        </w:tabs>
        <w:ind w:left="409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9"/>
        </w:tabs>
        <w:ind w:left="4669" w:hanging="1440"/>
      </w:pPr>
    </w:lvl>
  </w:abstractNum>
  <w:abstractNum w:abstractNumId="1" w15:restartNumberingAfterBreak="0">
    <w:nsid w:val="67851F62"/>
    <w:multiLevelType w:val="hybridMultilevel"/>
    <w:tmpl w:val="6E063F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8CF"/>
    <w:rsid w:val="0000313D"/>
    <w:rsid w:val="00006DB9"/>
    <w:rsid w:val="00043FDF"/>
    <w:rsid w:val="00045CE4"/>
    <w:rsid w:val="00071842"/>
    <w:rsid w:val="00094BF8"/>
    <w:rsid w:val="000A3333"/>
    <w:rsid w:val="000A337E"/>
    <w:rsid w:val="000F5B31"/>
    <w:rsid w:val="00100A02"/>
    <w:rsid w:val="001115F7"/>
    <w:rsid w:val="00197298"/>
    <w:rsid w:val="001B0BF5"/>
    <w:rsid w:val="001C48ED"/>
    <w:rsid w:val="001F3EA9"/>
    <w:rsid w:val="0024070D"/>
    <w:rsid w:val="00244124"/>
    <w:rsid w:val="002458CF"/>
    <w:rsid w:val="002542E1"/>
    <w:rsid w:val="00276230"/>
    <w:rsid w:val="00283D21"/>
    <w:rsid w:val="002B2F90"/>
    <w:rsid w:val="002D4C2F"/>
    <w:rsid w:val="002F4B03"/>
    <w:rsid w:val="0030197B"/>
    <w:rsid w:val="0049124B"/>
    <w:rsid w:val="004E0DDE"/>
    <w:rsid w:val="0051629B"/>
    <w:rsid w:val="00554EF5"/>
    <w:rsid w:val="005B5D22"/>
    <w:rsid w:val="0063471A"/>
    <w:rsid w:val="00687137"/>
    <w:rsid w:val="00695D66"/>
    <w:rsid w:val="006E3684"/>
    <w:rsid w:val="006F2408"/>
    <w:rsid w:val="007D7215"/>
    <w:rsid w:val="008354D0"/>
    <w:rsid w:val="008749F7"/>
    <w:rsid w:val="008A58DE"/>
    <w:rsid w:val="0091709F"/>
    <w:rsid w:val="00930A8B"/>
    <w:rsid w:val="009C49E6"/>
    <w:rsid w:val="009E7647"/>
    <w:rsid w:val="00A20AAB"/>
    <w:rsid w:val="00A34CB9"/>
    <w:rsid w:val="00A56FCF"/>
    <w:rsid w:val="00A66B7D"/>
    <w:rsid w:val="00A92686"/>
    <w:rsid w:val="00AD4505"/>
    <w:rsid w:val="00AF2291"/>
    <w:rsid w:val="00B50011"/>
    <w:rsid w:val="00B71BCF"/>
    <w:rsid w:val="00BE0F93"/>
    <w:rsid w:val="00C11517"/>
    <w:rsid w:val="00C135E7"/>
    <w:rsid w:val="00C64EEC"/>
    <w:rsid w:val="00C97C48"/>
    <w:rsid w:val="00CB5FA1"/>
    <w:rsid w:val="00CF3B52"/>
    <w:rsid w:val="00D67718"/>
    <w:rsid w:val="00EA5B20"/>
    <w:rsid w:val="00ED7655"/>
    <w:rsid w:val="00F56030"/>
    <w:rsid w:val="00F6749E"/>
    <w:rsid w:val="00FA414B"/>
    <w:rsid w:val="00F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826E5B"/>
  <w15:chartTrackingRefBased/>
  <w15:docId w15:val="{EA2AD096-E0B0-4639-90FF-8FA96BA3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360" w:lineRule="auto"/>
      <w:ind w:left="1701" w:right="1701"/>
      <w:outlineLvl w:val="0"/>
    </w:pPr>
    <w:rPr>
      <w:b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/>
      <w:ind w:left="1701" w:right="1701" w:firstLine="279"/>
      <w:jc w:val="both"/>
    </w:pPr>
    <w:rPr>
      <w:szCs w:val="22"/>
    </w:rPr>
  </w:style>
  <w:style w:type="paragraph" w:styleId="Rodap">
    <w:name w:val="footer"/>
    <w:basedOn w:val="Normal"/>
    <w:rsid w:val="0051629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1629B"/>
  </w:style>
  <w:style w:type="paragraph" w:styleId="Cabealho">
    <w:name w:val="header"/>
    <w:basedOn w:val="Normal"/>
    <w:link w:val="CabealhoChar"/>
    <w:uiPriority w:val="99"/>
    <w:rsid w:val="0091709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91709F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91709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91709F"/>
    <w:rPr>
      <w:rFonts w:ascii="Tahoma" w:hAnsi="Tahoma" w:cs="Tahoma"/>
      <w:sz w:val="16"/>
      <w:szCs w:val="16"/>
    </w:rPr>
  </w:style>
  <w:style w:type="character" w:customStyle="1" w:styleId="Numera10CharChar">
    <w:name w:val="Numera10 Char Char"/>
    <w:basedOn w:val="Fontepargpadro"/>
    <w:link w:val="Numera10"/>
    <w:locked/>
    <w:rsid w:val="00695D66"/>
    <w:rPr>
      <w:rFonts w:ascii="Arial" w:hAnsi="Arial" w:cs="Arial"/>
      <w:szCs w:val="24"/>
    </w:rPr>
  </w:style>
  <w:style w:type="paragraph" w:customStyle="1" w:styleId="Numera10">
    <w:name w:val="Numera10"/>
    <w:basedOn w:val="Normal"/>
    <w:link w:val="Numera10CharChar"/>
    <w:rsid w:val="00695D66"/>
    <w:pPr>
      <w:numPr>
        <w:numId w:val="1"/>
      </w:numPr>
      <w:spacing w:before="120" w:after="120"/>
      <w:jc w:val="both"/>
    </w:pPr>
  </w:style>
  <w:style w:type="character" w:styleId="Refdenotadefim">
    <w:name w:val="endnote reference"/>
    <w:basedOn w:val="Fontepargpadro"/>
    <w:unhideWhenUsed/>
    <w:rsid w:val="00695D66"/>
    <w:rPr>
      <w:vertAlign w:val="superscript"/>
    </w:rPr>
  </w:style>
  <w:style w:type="paragraph" w:styleId="Textodenotaderodap">
    <w:name w:val="footnote text"/>
    <w:basedOn w:val="Normal"/>
    <w:link w:val="TextodenotaderodapChar"/>
    <w:rsid w:val="0049124B"/>
  </w:style>
  <w:style w:type="character" w:customStyle="1" w:styleId="TextodenotaderodapChar">
    <w:name w:val="Texto de nota de rodapé Char"/>
    <w:basedOn w:val="Fontepargpadro"/>
    <w:link w:val="Textodenotaderodap"/>
    <w:rsid w:val="0049124B"/>
  </w:style>
  <w:style w:type="character" w:styleId="Refdenotaderodap">
    <w:name w:val="footnote reference"/>
    <w:basedOn w:val="Fontepargpadro"/>
    <w:rsid w:val="0049124B"/>
    <w:rPr>
      <w:vertAlign w:val="superscript"/>
    </w:rPr>
  </w:style>
  <w:style w:type="character" w:styleId="Hyperlink">
    <w:name w:val="Hyperlink"/>
    <w:uiPriority w:val="99"/>
    <w:unhideWhenUsed/>
    <w:rsid w:val="00276230"/>
    <w:rPr>
      <w:color w:val="004C78"/>
      <w:u w:val="single"/>
    </w:rPr>
  </w:style>
  <w:style w:type="character" w:styleId="Forte">
    <w:name w:val="Strong"/>
    <w:uiPriority w:val="22"/>
    <w:qFormat/>
    <w:rsid w:val="00276230"/>
    <w:rPr>
      <w:b/>
      <w:bCs/>
    </w:rPr>
  </w:style>
  <w:style w:type="paragraph" w:styleId="NormalWeb">
    <w:name w:val="Normal (Web)"/>
    <w:basedOn w:val="Normal"/>
    <w:uiPriority w:val="99"/>
    <w:unhideWhenUsed/>
    <w:rsid w:val="00276230"/>
    <w:pPr>
      <w:spacing w:before="100" w:beforeAutospacing="1" w:after="180" w:line="300" w:lineRule="atLeast"/>
    </w:pPr>
  </w:style>
  <w:style w:type="character" w:styleId="MenoPendente">
    <w:name w:val="Unresolved Mention"/>
    <w:basedOn w:val="Fontepargpadro"/>
    <w:uiPriority w:val="99"/>
    <w:semiHidden/>
    <w:unhideWhenUsed/>
    <w:rsid w:val="00276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2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&#186;-522013/241316/area/10" TargetMode="External"/><Relationship Id="rId1" Type="http://schemas.openxmlformats.org/officeDocument/2006/relationships/hyperlink" Target="http://www1.tce.pr.gov.br/multimidia/2011/7/pdf/0000027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320C3-C4A6-4AE5-9EE5-5333CB7A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Certidao de quebra de numeração</vt:lpstr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Certidao de quebra de numeração</dc:title>
  <dc:subject/>
  <dc:creator>tc513210</dc:creator>
  <cp:keywords/>
  <dc:description/>
  <cp:lastModifiedBy>Yarusya Rohrich da Fonseca</cp:lastModifiedBy>
  <cp:revision>7</cp:revision>
  <cp:lastPrinted>2011-07-01T14:29:00Z</cp:lastPrinted>
  <dcterms:created xsi:type="dcterms:W3CDTF">2019-02-12T15:39:00Z</dcterms:created>
  <dcterms:modified xsi:type="dcterms:W3CDTF">2019-02-13T13:50:00Z</dcterms:modified>
</cp:coreProperties>
</file>