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F30D9B">
        <w:rPr>
          <w:rFonts w:ascii="Arial" w:hAnsi="Arial" w:cs="Arial"/>
          <w:b/>
          <w:sz w:val="28"/>
          <w:szCs w:val="28"/>
        </w:rPr>
        <w:t>85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44222D" w:rsidRPr="0044222D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8277D0" w:rsidRDefault="008277D0" w:rsidP="008E66F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F30D9B" w:rsidRPr="00D37E59" w:rsidRDefault="00F30D9B" w:rsidP="00D37E59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</w:rPr>
      </w:pPr>
      <w:r w:rsidRPr="00D37E59">
        <w:rPr>
          <w:rFonts w:ascii="Arial" w:hAnsi="Arial" w:cs="Arial"/>
          <w:i/>
          <w:iCs/>
        </w:rPr>
        <w:t>Dispõe sobre a delegação às unidades</w:t>
      </w:r>
      <w:r w:rsidR="00D37E59"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administrativas dos despachos iniciais</w:t>
      </w:r>
      <w:r w:rsidR="00D37E59"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de citação ou intimação para o exercício</w:t>
      </w:r>
      <w:r w:rsidR="00D37E59"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do contraditório e realização de</w:t>
      </w:r>
      <w:r w:rsidR="00D37E59"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diligências, e dá outras providências.</w:t>
      </w:r>
    </w:p>
    <w:p w:rsidR="00F30D9B" w:rsidRDefault="00F30D9B" w:rsidP="00F30D9B">
      <w:pPr>
        <w:autoSpaceDE w:val="0"/>
        <w:autoSpaceDN w:val="0"/>
        <w:adjustRightInd w:val="0"/>
        <w:rPr>
          <w:rFonts w:ascii="Arial,Italic" w:hAnsi="Arial,Italic" w:cs="Arial,Italic"/>
          <w:i/>
          <w:iCs/>
        </w:rPr>
      </w:pPr>
    </w:p>
    <w:p w:rsidR="00F30D9B" w:rsidRDefault="00F30D9B" w:rsidP="00F30D9B">
      <w:pPr>
        <w:autoSpaceDE w:val="0"/>
        <w:autoSpaceDN w:val="0"/>
        <w:adjustRightInd w:val="0"/>
        <w:rPr>
          <w:rFonts w:ascii="Arial,Italic" w:hAnsi="Arial,Italic" w:cs="Arial,Italic"/>
          <w:i/>
          <w:iCs/>
        </w:rPr>
      </w:pPr>
    </w:p>
    <w:p w:rsidR="00F30D9B" w:rsidRDefault="00F30D9B" w:rsidP="00D37E5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O CONSELHEIRO </w:t>
      </w:r>
      <w:r w:rsidRPr="00F30D9B">
        <w:rPr>
          <w:rFonts w:ascii="Arial" w:hAnsi="Arial" w:cs="Arial"/>
          <w:b/>
          <w:bCs/>
        </w:rPr>
        <w:t>IVENS ZSCHOERPER LINHARES</w:t>
      </w:r>
      <w:r w:rsidRPr="00F30D9B">
        <w:rPr>
          <w:rFonts w:ascii="Arial" w:hAnsi="Arial" w:cs="Arial"/>
        </w:rPr>
        <w:t>, no uso das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atribuições co</w:t>
      </w:r>
      <w:r w:rsidR="0029038F">
        <w:rPr>
          <w:rFonts w:ascii="Arial" w:hAnsi="Arial" w:cs="Arial"/>
        </w:rPr>
        <w:t>nferidas pelo art. 32, I, §§7º e</w:t>
      </w:r>
      <w:r w:rsidRPr="00F30D9B">
        <w:rPr>
          <w:rFonts w:ascii="Arial" w:hAnsi="Arial" w:cs="Arial"/>
        </w:rPr>
        <w:t xml:space="preserve"> §9º, 33</w:t>
      </w:r>
      <w:r w:rsidR="0017344D">
        <w:rPr>
          <w:rFonts w:ascii="Arial" w:hAnsi="Arial" w:cs="Arial"/>
        </w:rPr>
        <w:t>,</w:t>
      </w:r>
      <w:r w:rsidRPr="00F30D9B">
        <w:rPr>
          <w:rFonts w:ascii="Arial" w:hAnsi="Arial" w:cs="Arial"/>
        </w:rPr>
        <w:t xml:space="preserve"> III, c/c o art. 197, todos do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Regimento Interno do Tribunal,</w:t>
      </w:r>
    </w:p>
    <w:p w:rsidR="00F30D9B" w:rsidRPr="00F30D9B" w:rsidRDefault="00F30D9B" w:rsidP="00D37E5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0D9B" w:rsidRDefault="00F30D9B" w:rsidP="00D37E59">
      <w:pPr>
        <w:autoSpaceDE w:val="0"/>
        <w:autoSpaceDN w:val="0"/>
        <w:adjustRightInd w:val="0"/>
        <w:spacing w:before="360" w:after="240"/>
        <w:ind w:firstLine="1134"/>
        <w:jc w:val="both"/>
        <w:rPr>
          <w:rFonts w:ascii="Arial" w:hAnsi="Arial" w:cs="Arial"/>
          <w:b/>
          <w:bCs/>
        </w:rPr>
      </w:pPr>
      <w:r w:rsidRPr="00F30D9B">
        <w:rPr>
          <w:rFonts w:ascii="Arial" w:hAnsi="Arial" w:cs="Arial"/>
          <w:b/>
          <w:bCs/>
        </w:rPr>
        <w:t>RESOLVE</w:t>
      </w:r>
    </w:p>
    <w:p w:rsidR="00F30D9B" w:rsidRPr="00F30D9B" w:rsidRDefault="00F30D9B" w:rsidP="00F30D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1º </w:t>
      </w:r>
      <w:r w:rsidRPr="00F30D9B">
        <w:rPr>
          <w:rFonts w:ascii="Arial" w:hAnsi="Arial" w:cs="Arial"/>
        </w:rPr>
        <w:t>Na fase inicial da instrução processual os despachos de citação ou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intimação dos interessados para o exercício do primeiro contraditório e a realização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 diligências para a juntada de documentos obrigatórios ficam delegados às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unidades administrativas, na forma do disposto no § 7º do art. 32, do Regimento</w:t>
      </w:r>
      <w:r>
        <w:rPr>
          <w:rFonts w:ascii="Arial" w:hAnsi="Arial" w:cs="Arial"/>
        </w:rPr>
        <w:t xml:space="preserve"> </w:t>
      </w:r>
      <w:r w:rsidR="00D37E59">
        <w:rPr>
          <w:rFonts w:ascii="Arial" w:hAnsi="Arial" w:cs="Arial"/>
        </w:rPr>
        <w:t xml:space="preserve">Interno, </w:t>
      </w:r>
      <w:r w:rsidRPr="00F30D9B">
        <w:rPr>
          <w:rFonts w:ascii="Arial" w:hAnsi="Arial" w:cs="Arial"/>
        </w:rPr>
        <w:t xml:space="preserve">consoante o disciplinado nos </w:t>
      </w:r>
      <w:proofErr w:type="spellStart"/>
      <w:r w:rsidRPr="00F30D9B">
        <w:rPr>
          <w:rFonts w:ascii="Arial" w:hAnsi="Arial" w:cs="Arial"/>
        </w:rPr>
        <w:t>arts</w:t>
      </w:r>
      <w:proofErr w:type="spellEnd"/>
      <w:r w:rsidRPr="00F30D9B">
        <w:rPr>
          <w:rFonts w:ascii="Arial" w:hAnsi="Arial" w:cs="Arial"/>
        </w:rPr>
        <w:t>. 168, XIII, 351 e 380 a 384 do mesmo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diploma.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1º Quando a parte ou interessado estiver representada por advogado,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poderes específicos para receber intimações, o ato eletrônico será realizado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exclusivamente ao seu procurador, nos termos do § 3º, do art. 383, do Regimento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§ 2º Os despachos citados no </w:t>
      </w:r>
      <w:r w:rsidRPr="00F30D9B">
        <w:rPr>
          <w:rFonts w:ascii="Arial" w:hAnsi="Arial" w:cs="Arial"/>
          <w:i/>
          <w:iCs/>
        </w:rPr>
        <w:t xml:space="preserve">caput </w:t>
      </w:r>
      <w:r w:rsidRPr="00F30D9B">
        <w:rPr>
          <w:rFonts w:ascii="Arial" w:hAnsi="Arial" w:cs="Arial"/>
        </w:rPr>
        <w:t>serão encaminhados para publicação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Diário Eletrônico do Tribunal, seguindo os autos imediatamente à Diretoria de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Protocolo para comunicação aos sujeitos dos processos, nos termos regimentais.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3º Realizada a comunicação processual, havendo resposta protocolada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prazo ou o decurso do prazo sem envio de resposta, os autos serão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à unidade competente para instrução conclusiva, conforme parágrafo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único do art. 353, do Regimento Interno.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4º Protocolada a resposta extemporaneamente, os autos serão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ao Gabinete deste Conselheiro para juízo de admissibilidade,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conforme o § 1º, do art. 357, do Regimento Interno.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lastRenderedPageBreak/>
        <w:t>§ 5º Restando infrutífera a citação ou a intimação por meio eletrônico ou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por via postal, os autos serão encaminhados ao Gabinete deste Conselheiro para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apreciação.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2º </w:t>
      </w:r>
      <w:r w:rsidRPr="00F30D9B">
        <w:rPr>
          <w:rFonts w:ascii="Arial" w:hAnsi="Arial" w:cs="Arial"/>
        </w:rPr>
        <w:t>Fica também delegada às unidades administrativas a apreciação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dos pedidos de prorrogação de prazo para o exerc</w:t>
      </w:r>
      <w:r w:rsidR="00D37E59">
        <w:rPr>
          <w:rFonts w:ascii="Arial" w:hAnsi="Arial" w:cs="Arial"/>
        </w:rPr>
        <w:t xml:space="preserve">ício do primeiro contraditório e </w:t>
      </w:r>
      <w:r w:rsidRPr="00F30D9B">
        <w:rPr>
          <w:rFonts w:ascii="Arial" w:hAnsi="Arial" w:cs="Arial"/>
        </w:rPr>
        <w:t>realização de diligências, incidentes nesses mesmos processos, desde que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observadas as condições previstas no parágrafo único do art. 389, do Regimento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Parágrafo único. Os pedidos de prorrogação de prazo que não atenderem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às condições do parágrafo único do art. 389, do Regimento Interno, serão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ao Gabinete deste Conselheiro para apreciação, conforme o § 10º,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do art. 32, do Regimento Interno.</w:t>
      </w:r>
    </w:p>
    <w:p w:rsidR="00F30D9B" w:rsidRPr="00F30D9B" w:rsidRDefault="00D37E59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</w:t>
      </w:r>
      <w:r w:rsidR="00F30D9B" w:rsidRPr="00F30D9B">
        <w:rPr>
          <w:rFonts w:ascii="Arial" w:hAnsi="Arial" w:cs="Arial"/>
          <w:b/>
          <w:bCs/>
        </w:rPr>
        <w:t xml:space="preserve"> </w:t>
      </w:r>
      <w:r w:rsidR="00F30D9B" w:rsidRPr="00F30D9B">
        <w:rPr>
          <w:rFonts w:ascii="Arial" w:hAnsi="Arial" w:cs="Arial"/>
        </w:rPr>
        <w:t>Ocorrendo a juntada de documentos complementares antes da</w:t>
      </w:r>
      <w:r>
        <w:rPr>
          <w:rFonts w:ascii="Arial" w:hAnsi="Arial" w:cs="Arial"/>
        </w:rPr>
        <w:t xml:space="preserve"> </w:t>
      </w:r>
      <w:r w:rsidR="00F30D9B" w:rsidRPr="00F30D9B">
        <w:rPr>
          <w:rFonts w:ascii="Arial" w:hAnsi="Arial" w:cs="Arial"/>
        </w:rPr>
        <w:t>realização da primeira instrução, deverá a unidade administrativa competente instruir</w:t>
      </w:r>
      <w:r>
        <w:rPr>
          <w:rFonts w:ascii="Arial" w:hAnsi="Arial" w:cs="Arial"/>
        </w:rPr>
        <w:t xml:space="preserve"> </w:t>
      </w:r>
      <w:r w:rsidR="00F30D9B" w:rsidRPr="00F30D9B">
        <w:rPr>
          <w:rFonts w:ascii="Arial" w:hAnsi="Arial" w:cs="Arial"/>
        </w:rPr>
        <w:t>o processo, sem prejuízo da indicação de eventuais atrasos em relação aos prazos</w:t>
      </w:r>
      <w:r>
        <w:rPr>
          <w:rFonts w:ascii="Arial" w:hAnsi="Arial" w:cs="Arial"/>
        </w:rPr>
        <w:t xml:space="preserve"> </w:t>
      </w:r>
      <w:r w:rsidR="00F30D9B" w:rsidRPr="00F30D9B">
        <w:rPr>
          <w:rFonts w:ascii="Arial" w:hAnsi="Arial" w:cs="Arial"/>
        </w:rPr>
        <w:t>regulamentares.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4° </w:t>
      </w:r>
      <w:r w:rsidRPr="00F30D9B">
        <w:rPr>
          <w:rFonts w:ascii="Arial" w:hAnsi="Arial" w:cs="Arial"/>
        </w:rPr>
        <w:t>Ocorrendo a juntada de instrumento procuratório quando 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processo estiver em poder da unidade pa</w:t>
      </w:r>
      <w:r w:rsidR="00A20C4D">
        <w:rPr>
          <w:rFonts w:ascii="Arial" w:hAnsi="Arial" w:cs="Arial"/>
        </w:rPr>
        <w:t>ra instrução, esta deverá expedi</w:t>
      </w:r>
      <w:r w:rsidRPr="00F30D9B">
        <w:rPr>
          <w:rFonts w:ascii="Arial" w:hAnsi="Arial" w:cs="Arial"/>
        </w:rPr>
        <w:t>-lo à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Diretoria de Protocolo, para inclusão do(s) nome(s) do procurador(es) na autuação,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a subsequente devolução à unidade que o expediu.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5° </w:t>
      </w:r>
      <w:r w:rsidRPr="00F30D9B">
        <w:rPr>
          <w:rFonts w:ascii="Arial" w:hAnsi="Arial" w:cs="Arial"/>
        </w:rPr>
        <w:t>Delega-se à Diretoria de Controle de Atos de Pessoal e à Diretoria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 Contas Estaduais a determinação de apensamento de processos de admissão de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pessoal, desde que tratem de complementações referentes ao mesmo concurso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público ou teste seletivo e que ambos os 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distribuídos a este Conselheiro.</w:t>
      </w:r>
    </w:p>
    <w:p w:rsidR="00F30D9B" w:rsidRPr="00F30D9B" w:rsidRDefault="00F30D9B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6° </w:t>
      </w:r>
      <w:r w:rsidRPr="00F30D9B">
        <w:rPr>
          <w:rFonts w:ascii="Arial" w:hAnsi="Arial" w:cs="Arial"/>
        </w:rPr>
        <w:t>Delega-se à Diretoria de Análise de Transferências a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determinação de apensamento de processos de prestação de contas de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transferência, desde que tratem de parcelas do mesmo ajuste e que ambos os</w:t>
      </w:r>
      <w:r w:rsidR="00D37E59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 distribuídos a este Conselheiro.</w:t>
      </w:r>
    </w:p>
    <w:p w:rsidR="00F30D9B" w:rsidRDefault="00D37E59" w:rsidP="00D37E5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7º</w:t>
      </w:r>
      <w:r w:rsidR="00F30D9B" w:rsidRPr="00F30D9B">
        <w:rPr>
          <w:rFonts w:ascii="Arial" w:hAnsi="Arial" w:cs="Arial"/>
          <w:b/>
          <w:bCs/>
        </w:rPr>
        <w:t xml:space="preserve"> </w:t>
      </w:r>
      <w:r w:rsidR="00F30D9B" w:rsidRPr="00F30D9B">
        <w:rPr>
          <w:rFonts w:ascii="Arial" w:hAnsi="Arial" w:cs="Arial"/>
        </w:rPr>
        <w:t>Esta Instrução de Serviço entra em vigor na data de sua</w:t>
      </w:r>
      <w:r>
        <w:rPr>
          <w:rFonts w:ascii="Arial" w:hAnsi="Arial" w:cs="Arial"/>
        </w:rPr>
        <w:t xml:space="preserve"> </w:t>
      </w:r>
      <w:r w:rsidR="00F30D9B" w:rsidRPr="00F30D9B">
        <w:rPr>
          <w:rFonts w:ascii="Arial" w:hAnsi="Arial" w:cs="Arial"/>
        </w:rPr>
        <w:t>publicação.</w:t>
      </w:r>
    </w:p>
    <w:p w:rsidR="00847FD0" w:rsidRPr="008277D0" w:rsidRDefault="00847FD0" w:rsidP="00F30D9B">
      <w:pPr>
        <w:spacing w:before="360" w:after="120" w:line="360" w:lineRule="auto"/>
        <w:jc w:val="center"/>
        <w:rPr>
          <w:rFonts w:ascii="Arial" w:hAnsi="Arial" w:cs="Arial"/>
        </w:rPr>
      </w:pPr>
      <w:r w:rsidRPr="008277D0">
        <w:rPr>
          <w:rFonts w:ascii="Arial" w:hAnsi="Arial" w:cs="Arial"/>
        </w:rPr>
        <w:t xml:space="preserve">Curitiba, </w:t>
      </w:r>
      <w:r w:rsidR="00D37E59">
        <w:rPr>
          <w:rFonts w:ascii="Arial" w:hAnsi="Arial" w:cs="Arial"/>
        </w:rPr>
        <w:t>15</w:t>
      </w:r>
      <w:r w:rsidR="008E66F3" w:rsidRPr="008277D0">
        <w:rPr>
          <w:rFonts w:ascii="Arial" w:hAnsi="Arial" w:cs="Arial"/>
        </w:rPr>
        <w:t xml:space="preserve"> de outubro</w:t>
      </w:r>
      <w:r w:rsidRPr="008277D0">
        <w:rPr>
          <w:rFonts w:ascii="Arial" w:hAnsi="Arial" w:cs="Arial"/>
        </w:rPr>
        <w:t xml:space="preserve"> de 2014.</w:t>
      </w: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ascii="Arial" w:hAnsi="Arial" w:cs="Arial"/>
          <w:b/>
          <w:noProof/>
        </w:rPr>
      </w:pPr>
      <w:r w:rsidRPr="008277D0">
        <w:rPr>
          <w:rFonts w:ascii="Arial" w:hAnsi="Arial" w:cs="Arial"/>
          <w:b/>
          <w:noProof/>
        </w:rPr>
        <w:t>IVENS ZSCHOERPER LINHARES</w:t>
      </w:r>
    </w:p>
    <w:p w:rsidR="00847FD0" w:rsidRPr="008277D0" w:rsidRDefault="008E66F3" w:rsidP="003B7AD5">
      <w:pPr>
        <w:jc w:val="center"/>
        <w:rPr>
          <w:rFonts w:ascii="Arial" w:hAnsi="Arial" w:cs="Arial"/>
        </w:rPr>
      </w:pPr>
      <w:r w:rsidRPr="008277D0">
        <w:rPr>
          <w:rFonts w:ascii="Arial" w:hAnsi="Arial" w:cs="Arial"/>
          <w:noProof/>
        </w:rPr>
        <w:t>Conselheiro</w:t>
      </w:r>
    </w:p>
    <w:p w:rsidR="00847FD0" w:rsidRPr="008277D0" w:rsidRDefault="00847FD0" w:rsidP="003B7AD5">
      <w:pPr>
        <w:autoSpaceDE w:val="0"/>
        <w:autoSpaceDN w:val="0"/>
        <w:adjustRightInd w:val="0"/>
        <w:spacing w:before="120"/>
        <w:ind w:firstLine="1134"/>
        <w:jc w:val="center"/>
        <w:rPr>
          <w:rFonts w:ascii="Arial" w:hAnsi="Arial" w:cs="Arial"/>
          <w:color w:val="000000"/>
        </w:rPr>
      </w:pPr>
    </w:p>
    <w:sectPr w:rsidR="00847FD0" w:rsidRPr="008277D0" w:rsidSect="00BC7729">
      <w:headerReference w:type="default" r:id="rId11"/>
      <w:footerReference w:type="even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915" w:rsidRDefault="00B47915">
      <w:r>
        <w:separator/>
      </w:r>
    </w:p>
  </w:endnote>
  <w:endnote w:type="continuationSeparator" w:id="0">
    <w:p w:rsidR="00B47915" w:rsidRDefault="00B47915">
      <w:r>
        <w:continuationSeparator/>
      </w:r>
    </w:p>
  </w:endnote>
  <w:endnote w:type="continuationNotice" w:id="1">
    <w:p w:rsidR="00B47915" w:rsidRDefault="00B47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915" w:rsidRDefault="00B47915">
      <w:r>
        <w:separator/>
      </w:r>
    </w:p>
  </w:footnote>
  <w:footnote w:type="continuationSeparator" w:id="0">
    <w:p w:rsidR="00B47915" w:rsidRDefault="00B47915">
      <w:r>
        <w:continuationSeparator/>
      </w:r>
    </w:p>
  </w:footnote>
  <w:footnote w:type="continuationNotice" w:id="1">
    <w:p w:rsidR="00B47915" w:rsidRDefault="00B47915"/>
  </w:footnote>
  <w:footnote w:id="2">
    <w:p w:rsidR="0044222D" w:rsidRDefault="0044222D" w:rsidP="0044222D">
      <w:pPr>
        <w:pStyle w:val="Textodenotaderodap"/>
        <w:rPr>
          <w:rFonts w:ascii="Arial" w:hAnsi="Arial" w:cs="Arial"/>
        </w:rPr>
      </w:pPr>
      <w:r w:rsidRPr="0044222D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44222D" w:rsidRDefault="0044222D" w:rsidP="0044222D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44222D">
          <w:rPr>
            <w:rStyle w:val="Hyperlink"/>
            <w:rFonts w:ascii="Arial" w:hAnsi="Arial" w:cs="Arial"/>
          </w:rPr>
          <w:t>Diário Eletrônico do Tribunal de Contas do Estado do Paraná, Curitiba, PR, n. 988, 17 out. 2014, p. 91</w:t>
        </w:r>
      </w:hyperlink>
      <w:r w:rsidRPr="0044222D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44222D" w:rsidRDefault="004422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FB1075" w:rsidRPr="00FB1075" w:rsidRDefault="00FB1075" w:rsidP="00FB1075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  <w:rPr>
        <w:rFonts w:ascii="Arial" w:eastAsia="Calibri" w:hAnsi="Arial"/>
        <w:b/>
        <w:sz w:val="28"/>
        <w:szCs w:val="28"/>
        <w:lang w:eastAsia="en-US"/>
      </w:rPr>
    </w:pPr>
    <w:r w:rsidRPr="00FB1075">
      <w:rPr>
        <w:rFonts w:ascii="Arial" w:eastAsia="Calibri" w:hAnsi="Arial"/>
        <w:sz w:val="28"/>
        <w:szCs w:val="28"/>
        <w:lang w:eastAsia="en-US"/>
      </w:rPr>
      <w:t xml:space="preserve">     </w:t>
    </w:r>
  </w:p>
  <w:p w:rsidR="000A1B86" w:rsidRPr="00FB1075" w:rsidRDefault="000A1B86" w:rsidP="00FB10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5E70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70D59"/>
    <w:rsid w:val="0017344D"/>
    <w:rsid w:val="0018182C"/>
    <w:rsid w:val="001D07D2"/>
    <w:rsid w:val="001D0B09"/>
    <w:rsid w:val="001D17A0"/>
    <w:rsid w:val="001E2907"/>
    <w:rsid w:val="001F037A"/>
    <w:rsid w:val="001F297B"/>
    <w:rsid w:val="00252933"/>
    <w:rsid w:val="00283F4D"/>
    <w:rsid w:val="0029038F"/>
    <w:rsid w:val="00291D10"/>
    <w:rsid w:val="002A15EE"/>
    <w:rsid w:val="002E3E39"/>
    <w:rsid w:val="00300126"/>
    <w:rsid w:val="00352ECA"/>
    <w:rsid w:val="003705BD"/>
    <w:rsid w:val="00374244"/>
    <w:rsid w:val="003939F6"/>
    <w:rsid w:val="003B7AD5"/>
    <w:rsid w:val="003C03F8"/>
    <w:rsid w:val="003C2825"/>
    <w:rsid w:val="004023CC"/>
    <w:rsid w:val="00423C8F"/>
    <w:rsid w:val="004416A7"/>
    <w:rsid w:val="0044222D"/>
    <w:rsid w:val="004505CE"/>
    <w:rsid w:val="004604F8"/>
    <w:rsid w:val="00460C5E"/>
    <w:rsid w:val="004A5D73"/>
    <w:rsid w:val="004B5683"/>
    <w:rsid w:val="004C7958"/>
    <w:rsid w:val="00506D3A"/>
    <w:rsid w:val="00551F08"/>
    <w:rsid w:val="005664D5"/>
    <w:rsid w:val="005955A5"/>
    <w:rsid w:val="005D42B6"/>
    <w:rsid w:val="005E595E"/>
    <w:rsid w:val="005F7724"/>
    <w:rsid w:val="006509DA"/>
    <w:rsid w:val="0066249C"/>
    <w:rsid w:val="006817D5"/>
    <w:rsid w:val="006826EE"/>
    <w:rsid w:val="0069565A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277D0"/>
    <w:rsid w:val="00847FD0"/>
    <w:rsid w:val="00871987"/>
    <w:rsid w:val="008719F5"/>
    <w:rsid w:val="00881F22"/>
    <w:rsid w:val="008A01F0"/>
    <w:rsid w:val="008C4F25"/>
    <w:rsid w:val="008D5003"/>
    <w:rsid w:val="008E66F3"/>
    <w:rsid w:val="009033C7"/>
    <w:rsid w:val="00906E4D"/>
    <w:rsid w:val="00916D5F"/>
    <w:rsid w:val="00940DA6"/>
    <w:rsid w:val="00947334"/>
    <w:rsid w:val="009A1923"/>
    <w:rsid w:val="009B718E"/>
    <w:rsid w:val="009C2645"/>
    <w:rsid w:val="009E44B6"/>
    <w:rsid w:val="00A20C4D"/>
    <w:rsid w:val="00A87661"/>
    <w:rsid w:val="00A953B5"/>
    <w:rsid w:val="00A96B6F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47915"/>
    <w:rsid w:val="00B52B88"/>
    <w:rsid w:val="00B71E34"/>
    <w:rsid w:val="00B96EE0"/>
    <w:rsid w:val="00BC7729"/>
    <w:rsid w:val="00C17F9B"/>
    <w:rsid w:val="00C407CD"/>
    <w:rsid w:val="00C474AE"/>
    <w:rsid w:val="00C65A5E"/>
    <w:rsid w:val="00C84F53"/>
    <w:rsid w:val="00C87498"/>
    <w:rsid w:val="00CA2E43"/>
    <w:rsid w:val="00CD0DAD"/>
    <w:rsid w:val="00CE0A9A"/>
    <w:rsid w:val="00D361B6"/>
    <w:rsid w:val="00D37E59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4AD2"/>
    <w:rsid w:val="00EB36DC"/>
    <w:rsid w:val="00EB38B6"/>
    <w:rsid w:val="00EC2AA7"/>
    <w:rsid w:val="00EC4961"/>
    <w:rsid w:val="00EF5FF1"/>
    <w:rsid w:val="00F30D9B"/>
    <w:rsid w:val="00F40F61"/>
    <w:rsid w:val="00F50259"/>
    <w:rsid w:val="00F73D2F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19EA86-8BAE-417B-8752-417D59A8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rsid w:val="00FB1075"/>
    <w:rPr>
      <w:vertAlign w:val="superscript"/>
    </w:rPr>
  </w:style>
  <w:style w:type="character" w:styleId="Hyperlink">
    <w:name w:val="Hyperlink"/>
    <w:unhideWhenUsed/>
    <w:rsid w:val="0044222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0/pdf/002680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D6CBE-11DC-483E-9A06-E0ADC25312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CFD2A0-443D-4873-8B69-D9F86C4D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Fonseca</cp:lastModifiedBy>
  <cp:revision>3</cp:revision>
  <dcterms:created xsi:type="dcterms:W3CDTF">2019-05-23T13:47:00Z</dcterms:created>
  <dcterms:modified xsi:type="dcterms:W3CDTF">2019-05-23T13:48:00Z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