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163" w:rsidRDefault="009D4163" w:rsidP="00B151D9">
      <w:pPr>
        <w:pStyle w:val="Corpodetexto"/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6A4ED3">
        <w:rPr>
          <w:rFonts w:ascii="Arial" w:hAnsi="Arial" w:cs="Arial"/>
          <w:b/>
          <w:sz w:val="28"/>
          <w:szCs w:val="28"/>
        </w:rPr>
        <w:t>INSTRUÇÃO DE SERVIÇO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0A1B86">
        <w:rPr>
          <w:rFonts w:ascii="Arial" w:hAnsi="Arial" w:cs="Arial"/>
          <w:b/>
          <w:sz w:val="28"/>
          <w:szCs w:val="28"/>
        </w:rPr>
        <w:t>Nº</w:t>
      </w:r>
      <w:r w:rsidR="00B151D9">
        <w:rPr>
          <w:rFonts w:ascii="Arial" w:hAnsi="Arial" w:cs="Arial"/>
          <w:b/>
          <w:sz w:val="28"/>
          <w:szCs w:val="28"/>
        </w:rPr>
        <w:t xml:space="preserve"> 94</w:t>
      </w:r>
      <w:r w:rsidRPr="000A1B86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2015</w:t>
      </w:r>
      <w:r w:rsidR="00FD6E41" w:rsidRPr="00FD6E41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9D4163" w:rsidRDefault="009D4163" w:rsidP="009D4163">
      <w:pPr>
        <w:autoSpaceDE w:val="0"/>
        <w:autoSpaceDN w:val="0"/>
        <w:adjustRightInd w:val="0"/>
        <w:ind w:left="4820"/>
        <w:rPr>
          <w:rFonts w:ascii="Arial,Italic" w:hAnsi="Arial,Italic" w:cs="Arial,Italic"/>
          <w:i/>
          <w:iCs/>
          <w:sz w:val="22"/>
          <w:szCs w:val="22"/>
        </w:rPr>
      </w:pPr>
    </w:p>
    <w:p w:rsidR="009D4163" w:rsidRPr="00D37E59" w:rsidRDefault="009D4163" w:rsidP="009D4163">
      <w:pPr>
        <w:autoSpaceDE w:val="0"/>
        <w:autoSpaceDN w:val="0"/>
        <w:adjustRightInd w:val="0"/>
        <w:ind w:left="4536"/>
        <w:jc w:val="both"/>
        <w:rPr>
          <w:rFonts w:ascii="Arial" w:hAnsi="Arial" w:cs="Arial"/>
          <w:i/>
          <w:iCs/>
        </w:rPr>
      </w:pPr>
      <w:r w:rsidRPr="00D37E59">
        <w:rPr>
          <w:rFonts w:ascii="Arial" w:hAnsi="Arial" w:cs="Arial"/>
          <w:i/>
          <w:iCs/>
        </w:rPr>
        <w:t>Dispõe sobre a delegação às unidades</w:t>
      </w:r>
      <w:r>
        <w:rPr>
          <w:rFonts w:ascii="Arial" w:hAnsi="Arial" w:cs="Arial"/>
          <w:i/>
          <w:iCs/>
        </w:rPr>
        <w:t xml:space="preserve"> </w:t>
      </w:r>
      <w:r w:rsidRPr="00D37E59">
        <w:rPr>
          <w:rFonts w:ascii="Arial" w:hAnsi="Arial" w:cs="Arial"/>
          <w:i/>
          <w:iCs/>
        </w:rPr>
        <w:t>administrativas dos despachos iniciais</w:t>
      </w:r>
      <w:r>
        <w:rPr>
          <w:rFonts w:ascii="Arial" w:hAnsi="Arial" w:cs="Arial"/>
          <w:i/>
          <w:iCs/>
        </w:rPr>
        <w:t xml:space="preserve"> </w:t>
      </w:r>
      <w:r w:rsidRPr="00D37E59">
        <w:rPr>
          <w:rFonts w:ascii="Arial" w:hAnsi="Arial" w:cs="Arial"/>
          <w:i/>
          <w:iCs/>
        </w:rPr>
        <w:t>de citação ou intimação para o exercício</w:t>
      </w:r>
      <w:r>
        <w:rPr>
          <w:rFonts w:ascii="Arial" w:hAnsi="Arial" w:cs="Arial"/>
          <w:i/>
          <w:iCs/>
        </w:rPr>
        <w:t xml:space="preserve"> </w:t>
      </w:r>
      <w:r w:rsidRPr="00D37E59">
        <w:rPr>
          <w:rFonts w:ascii="Arial" w:hAnsi="Arial" w:cs="Arial"/>
          <w:i/>
          <w:iCs/>
        </w:rPr>
        <w:t>do contraditório e realização de</w:t>
      </w:r>
      <w:r>
        <w:rPr>
          <w:rFonts w:ascii="Arial" w:hAnsi="Arial" w:cs="Arial"/>
          <w:i/>
          <w:iCs/>
        </w:rPr>
        <w:t xml:space="preserve"> </w:t>
      </w:r>
      <w:r w:rsidRPr="00D37E59">
        <w:rPr>
          <w:rFonts w:ascii="Arial" w:hAnsi="Arial" w:cs="Arial"/>
          <w:i/>
          <w:iCs/>
        </w:rPr>
        <w:t>diligências, e dá outras providências.</w:t>
      </w:r>
    </w:p>
    <w:p w:rsidR="009D4163" w:rsidRDefault="009D4163" w:rsidP="009D4163">
      <w:pPr>
        <w:autoSpaceDE w:val="0"/>
        <w:autoSpaceDN w:val="0"/>
        <w:adjustRightInd w:val="0"/>
        <w:rPr>
          <w:rFonts w:ascii="Arial,Italic" w:hAnsi="Arial,Italic" w:cs="Arial,Italic"/>
          <w:i/>
          <w:iCs/>
        </w:rPr>
      </w:pPr>
    </w:p>
    <w:p w:rsidR="009D4163" w:rsidRDefault="009D4163" w:rsidP="009D4163">
      <w:pPr>
        <w:autoSpaceDE w:val="0"/>
        <w:autoSpaceDN w:val="0"/>
        <w:adjustRightInd w:val="0"/>
        <w:rPr>
          <w:rFonts w:ascii="Arial,Italic" w:hAnsi="Arial,Italic" w:cs="Arial,Italic"/>
          <w:i/>
          <w:iCs/>
        </w:rPr>
      </w:pPr>
    </w:p>
    <w:p w:rsidR="009D4163" w:rsidRDefault="009D4163" w:rsidP="00B4281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</w:rPr>
        <w:t xml:space="preserve">O CONSELHEIRO </w:t>
      </w:r>
      <w:r>
        <w:rPr>
          <w:rFonts w:ascii="Arial" w:hAnsi="Arial" w:cs="Arial"/>
          <w:b/>
          <w:bCs/>
        </w:rPr>
        <w:t>ARTAGÃO DE MATTOS LEÃO</w:t>
      </w:r>
      <w:r w:rsidRPr="00F30D9B">
        <w:rPr>
          <w:rFonts w:ascii="Arial" w:hAnsi="Arial" w:cs="Arial"/>
        </w:rPr>
        <w:t>, no uso das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atribuições co</w:t>
      </w:r>
      <w:r>
        <w:rPr>
          <w:rFonts w:ascii="Arial" w:hAnsi="Arial" w:cs="Arial"/>
        </w:rPr>
        <w:t>nferidas pelo</w:t>
      </w:r>
      <w:r w:rsidR="00CF007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art</w:t>
      </w:r>
      <w:r w:rsidR="00CF0075"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>. 32, I, §§</w:t>
      </w:r>
      <w:r w:rsidR="00CF00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7º e</w:t>
      </w:r>
      <w:r w:rsidRPr="00F30D9B">
        <w:rPr>
          <w:rFonts w:ascii="Arial" w:hAnsi="Arial" w:cs="Arial"/>
        </w:rPr>
        <w:t xml:space="preserve"> §</w:t>
      </w:r>
      <w:r w:rsidR="00CF0075"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9º, 33</w:t>
      </w:r>
      <w:r>
        <w:rPr>
          <w:rFonts w:ascii="Arial" w:hAnsi="Arial" w:cs="Arial"/>
        </w:rPr>
        <w:t>,</w:t>
      </w:r>
      <w:r w:rsidRPr="00F30D9B">
        <w:rPr>
          <w:rFonts w:ascii="Arial" w:hAnsi="Arial" w:cs="Arial"/>
        </w:rPr>
        <w:t xml:space="preserve"> III, c/c o art. 197, todos do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Regimento Interno do Tribunal,</w:t>
      </w:r>
    </w:p>
    <w:p w:rsidR="009D4163" w:rsidRPr="00F30D9B" w:rsidRDefault="009D4163" w:rsidP="00B4281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</w:p>
    <w:p w:rsidR="009D4163" w:rsidRDefault="009D4163" w:rsidP="00B4281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/>
          <w:bCs/>
        </w:rPr>
      </w:pPr>
      <w:r w:rsidRPr="00F30D9B">
        <w:rPr>
          <w:rFonts w:ascii="Arial" w:hAnsi="Arial" w:cs="Arial"/>
          <w:b/>
          <w:bCs/>
        </w:rPr>
        <w:t>RESOLVE</w:t>
      </w:r>
    </w:p>
    <w:p w:rsidR="009D4163" w:rsidRPr="00F30D9B" w:rsidRDefault="009D4163" w:rsidP="00B4281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/>
          <w:bCs/>
        </w:rPr>
      </w:pPr>
    </w:p>
    <w:p w:rsidR="009D4163" w:rsidRPr="00F30D9B" w:rsidRDefault="009D4163" w:rsidP="00B4281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  <w:b/>
          <w:bCs/>
        </w:rPr>
        <w:t xml:space="preserve">Art. 1º </w:t>
      </w:r>
      <w:r w:rsidRPr="00F30D9B">
        <w:rPr>
          <w:rFonts w:ascii="Arial" w:hAnsi="Arial" w:cs="Arial"/>
        </w:rPr>
        <w:t>Na fase inicial da instrução processual os despachos de citação ou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intimação dos interessados para o exercício do primeiro contraditório e a realização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de diligências para a juntada de documentos obrigatórios ficam delegados às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unidades administrativas, na forma do disposto no § 7º do art. 32, do Regimento</w:t>
      </w:r>
      <w:r>
        <w:rPr>
          <w:rFonts w:ascii="Arial" w:hAnsi="Arial" w:cs="Arial"/>
        </w:rPr>
        <w:t xml:space="preserve"> Interno, </w:t>
      </w:r>
      <w:r w:rsidRPr="00F30D9B">
        <w:rPr>
          <w:rFonts w:ascii="Arial" w:hAnsi="Arial" w:cs="Arial"/>
        </w:rPr>
        <w:t xml:space="preserve">consoante o disciplinado nos </w:t>
      </w:r>
      <w:proofErr w:type="spellStart"/>
      <w:r w:rsidRPr="00F30D9B">
        <w:rPr>
          <w:rFonts w:ascii="Arial" w:hAnsi="Arial" w:cs="Arial"/>
        </w:rPr>
        <w:t>arts</w:t>
      </w:r>
      <w:proofErr w:type="spellEnd"/>
      <w:r w:rsidRPr="00F30D9B">
        <w:rPr>
          <w:rFonts w:ascii="Arial" w:hAnsi="Arial" w:cs="Arial"/>
        </w:rPr>
        <w:t>. 168, XIII, 351 e 380 a 384 do mesmo</w:t>
      </w:r>
      <w:r>
        <w:rPr>
          <w:rFonts w:ascii="Arial" w:hAnsi="Arial" w:cs="Arial"/>
        </w:rPr>
        <w:t xml:space="preserve"> </w:t>
      </w:r>
      <w:r w:rsidR="00D07732">
        <w:rPr>
          <w:rFonts w:ascii="Arial" w:hAnsi="Arial" w:cs="Arial"/>
        </w:rPr>
        <w:t>D</w:t>
      </w:r>
      <w:r w:rsidRPr="00F30D9B">
        <w:rPr>
          <w:rFonts w:ascii="Arial" w:hAnsi="Arial" w:cs="Arial"/>
        </w:rPr>
        <w:t>iploma.</w:t>
      </w:r>
    </w:p>
    <w:p w:rsidR="009D4163" w:rsidRPr="00F30D9B" w:rsidRDefault="009D4163" w:rsidP="00B4281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</w:rPr>
        <w:t>§ 1º Quando a parte ou interessado estiver representada por advogado,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com poderes específicos para receber intimações, o ato eletrônico será realizado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exclusivamente ao seu procurador, nos termos do § 3º, do art. 383, do Regimento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Interno.</w:t>
      </w:r>
    </w:p>
    <w:p w:rsidR="009D4163" w:rsidRPr="00F30D9B" w:rsidRDefault="009D4163" w:rsidP="00B4281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</w:rPr>
        <w:t xml:space="preserve">§ 2º Os despachos citados no </w:t>
      </w:r>
      <w:r w:rsidRPr="00F30D9B">
        <w:rPr>
          <w:rFonts w:ascii="Arial" w:hAnsi="Arial" w:cs="Arial"/>
          <w:i/>
          <w:iCs/>
        </w:rPr>
        <w:t xml:space="preserve">caput </w:t>
      </w:r>
      <w:r w:rsidRPr="00F30D9B">
        <w:rPr>
          <w:rFonts w:ascii="Arial" w:hAnsi="Arial" w:cs="Arial"/>
        </w:rPr>
        <w:t>serão encaminhados para publicação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no Diário Eletrônico do Tribunal, seguindo os autos imediatamente à Diretoria de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Protocolo para comunicação aos sujeitos dos processos, nos termos regimentais.</w:t>
      </w:r>
    </w:p>
    <w:p w:rsidR="009D4163" w:rsidRPr="00F30D9B" w:rsidRDefault="009D4163" w:rsidP="00B4281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</w:rPr>
        <w:t>§ 3º Realizada a comunicação processual, havendo resposta protocolada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no prazo ou o decurso do prazo sem envio de resposta, os autos serão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encaminhados à unidade competente para instrução conclusiva, conforme parágrafo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único do art. 353, do Regimento Interno.</w:t>
      </w:r>
    </w:p>
    <w:p w:rsidR="009D4163" w:rsidRPr="00F30D9B" w:rsidRDefault="009D4163" w:rsidP="00B4281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</w:rPr>
        <w:t>§ 4º Protocolada a resposta extemporaneamente, os autos serão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encaminhados ao Gabinete deste Conselheiro para juízo de admissibilidade,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conforme o § 1º, do art. 357, do Regimento Interno.</w:t>
      </w:r>
    </w:p>
    <w:p w:rsidR="009D4163" w:rsidRPr="00F30D9B" w:rsidRDefault="009D4163" w:rsidP="00B4281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</w:rPr>
        <w:t>§ 5º Restando infrutífera a citação ou a intimação por meio eletrônico ou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por via postal, os autos serão encaminhados ao Gabinete deste Conselheiro para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apreciação.</w:t>
      </w:r>
    </w:p>
    <w:p w:rsidR="009D4163" w:rsidRPr="00F30D9B" w:rsidRDefault="009D4163" w:rsidP="00B4281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  <w:b/>
          <w:bCs/>
        </w:rPr>
        <w:lastRenderedPageBreak/>
        <w:t xml:space="preserve">Art. 2º </w:t>
      </w:r>
      <w:r w:rsidRPr="00F30D9B">
        <w:rPr>
          <w:rFonts w:ascii="Arial" w:hAnsi="Arial" w:cs="Arial"/>
        </w:rPr>
        <w:t>Fica também delegada às unidades administrativas a apreciação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dos pedidos de prorrogação de prazo para o exerc</w:t>
      </w:r>
      <w:r>
        <w:rPr>
          <w:rFonts w:ascii="Arial" w:hAnsi="Arial" w:cs="Arial"/>
        </w:rPr>
        <w:t xml:space="preserve">ício do primeiro contraditório e </w:t>
      </w:r>
      <w:r w:rsidRPr="00F30D9B">
        <w:rPr>
          <w:rFonts w:ascii="Arial" w:hAnsi="Arial" w:cs="Arial"/>
        </w:rPr>
        <w:t>realização de diligências, incidentes nesses mesmos processos, desde que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observadas as condições previstas no parágrafo único do art. 389, do Regimento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Interno.</w:t>
      </w:r>
    </w:p>
    <w:p w:rsidR="009D4163" w:rsidRPr="00F30D9B" w:rsidRDefault="009D4163" w:rsidP="00B4281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</w:rPr>
        <w:t>Parágrafo único. Os pedidos de prorrogação de prazo que não atenderem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às condições do parágrafo único do art. 389, do Regimento Interno, serão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encaminhados ao Gabinete deste Conselheiro para apreciação, conforme o § 10º,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do art. 32, do Regimento Interno.</w:t>
      </w:r>
    </w:p>
    <w:p w:rsidR="009D4163" w:rsidRPr="00F30D9B" w:rsidRDefault="009D4163" w:rsidP="00B4281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3º</w:t>
      </w:r>
      <w:r w:rsidRPr="00F30D9B">
        <w:rPr>
          <w:rFonts w:ascii="Arial" w:hAnsi="Arial" w:cs="Arial"/>
          <w:b/>
          <w:bCs/>
        </w:rPr>
        <w:t xml:space="preserve"> </w:t>
      </w:r>
      <w:r w:rsidRPr="00F30D9B">
        <w:rPr>
          <w:rFonts w:ascii="Arial" w:hAnsi="Arial" w:cs="Arial"/>
        </w:rPr>
        <w:t>Ocorrendo a juntada de documentos complementares antes da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realização da primeira instrução, deverá a unidade administrativa competente instruir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o processo, sem prejuízo da indicação de eventuais atrasos em relação aos prazos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regulamentares.</w:t>
      </w:r>
    </w:p>
    <w:p w:rsidR="009D4163" w:rsidRPr="00F30D9B" w:rsidRDefault="009D4163" w:rsidP="00B4281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  <w:b/>
          <w:bCs/>
        </w:rPr>
        <w:t xml:space="preserve">Art. 4° </w:t>
      </w:r>
      <w:r w:rsidRPr="00F30D9B">
        <w:rPr>
          <w:rFonts w:ascii="Arial" w:hAnsi="Arial" w:cs="Arial"/>
        </w:rPr>
        <w:t>Ocorrendo a juntada de instrumento procuratório quando o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processo estiver em poder da unidade pa</w:t>
      </w:r>
      <w:r>
        <w:rPr>
          <w:rFonts w:ascii="Arial" w:hAnsi="Arial" w:cs="Arial"/>
        </w:rPr>
        <w:t>ra instrução, esta deverá expedi</w:t>
      </w:r>
      <w:r w:rsidRPr="00F30D9B">
        <w:rPr>
          <w:rFonts w:ascii="Arial" w:hAnsi="Arial" w:cs="Arial"/>
        </w:rPr>
        <w:t>-lo à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Diretoria de Protocolo, para inclusão do(s) nome(s) do procurador(es) na autuação,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com a subsequente devolução à unidade que o expediu.</w:t>
      </w:r>
    </w:p>
    <w:p w:rsidR="009D4163" w:rsidRPr="00F30D9B" w:rsidRDefault="009D4163" w:rsidP="00B4281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  <w:b/>
          <w:bCs/>
        </w:rPr>
        <w:t xml:space="preserve">Art. 5° </w:t>
      </w:r>
      <w:r w:rsidRPr="00F30D9B">
        <w:rPr>
          <w:rFonts w:ascii="Arial" w:hAnsi="Arial" w:cs="Arial"/>
        </w:rPr>
        <w:t>Delega-se à Diretoria de Controle de Atos de Pessoal e à Diretoria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de Contas Estaduais a determinação de apensamento de processos de admissão de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pessoal, desde que tratem de complementações referentes ao mesmo concurso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 xml:space="preserve">público ou teste seletivo e que ambos os expedientes </w:t>
      </w:r>
      <w:proofErr w:type="gramStart"/>
      <w:r w:rsidRPr="00F30D9B">
        <w:rPr>
          <w:rFonts w:ascii="Arial" w:hAnsi="Arial" w:cs="Arial"/>
        </w:rPr>
        <w:t>encontrem-se</w:t>
      </w:r>
      <w:proofErr w:type="gramEnd"/>
      <w:r w:rsidRPr="00F30D9B">
        <w:rPr>
          <w:rFonts w:ascii="Arial" w:hAnsi="Arial" w:cs="Arial"/>
        </w:rPr>
        <w:t xml:space="preserve"> regularmente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distribuídos a este Conselheiro.</w:t>
      </w:r>
    </w:p>
    <w:p w:rsidR="009D4163" w:rsidRPr="00F30D9B" w:rsidRDefault="009D4163" w:rsidP="00B4281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  <w:b/>
          <w:bCs/>
        </w:rPr>
        <w:t xml:space="preserve">Art. 6° </w:t>
      </w:r>
      <w:r w:rsidRPr="00F30D9B">
        <w:rPr>
          <w:rFonts w:ascii="Arial" w:hAnsi="Arial" w:cs="Arial"/>
        </w:rPr>
        <w:t>Delega-se à Diretoria de Análise de Transferências a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determinação de apensamento de processos de prestação de contas de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transferência, desde que tratem de parcelas do mesmo ajuste e que ambos os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 xml:space="preserve">expedientes </w:t>
      </w:r>
      <w:proofErr w:type="gramStart"/>
      <w:r w:rsidRPr="00F30D9B">
        <w:rPr>
          <w:rFonts w:ascii="Arial" w:hAnsi="Arial" w:cs="Arial"/>
        </w:rPr>
        <w:t>encontrem-se</w:t>
      </w:r>
      <w:proofErr w:type="gramEnd"/>
      <w:r w:rsidRPr="00F30D9B">
        <w:rPr>
          <w:rFonts w:ascii="Arial" w:hAnsi="Arial" w:cs="Arial"/>
        </w:rPr>
        <w:t xml:space="preserve"> regularmente distribuídos a este Conselheiro.</w:t>
      </w:r>
    </w:p>
    <w:p w:rsidR="009D4163" w:rsidRDefault="009D4163" w:rsidP="00B4281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7º</w:t>
      </w:r>
      <w:r w:rsidRPr="00F30D9B">
        <w:rPr>
          <w:rFonts w:ascii="Arial" w:hAnsi="Arial" w:cs="Arial"/>
          <w:b/>
          <w:bCs/>
        </w:rPr>
        <w:t xml:space="preserve"> </w:t>
      </w:r>
      <w:r w:rsidRPr="00F30D9B">
        <w:rPr>
          <w:rFonts w:ascii="Arial" w:hAnsi="Arial" w:cs="Arial"/>
        </w:rPr>
        <w:t>Esta Instrução de Serviço entra em vigor na data de sua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publicação.</w:t>
      </w:r>
    </w:p>
    <w:p w:rsidR="00B42813" w:rsidRDefault="00B42813" w:rsidP="00B42813">
      <w:pPr>
        <w:spacing w:before="120"/>
        <w:jc w:val="center"/>
        <w:rPr>
          <w:rFonts w:ascii="Arial" w:hAnsi="Arial" w:cs="Arial"/>
        </w:rPr>
      </w:pPr>
    </w:p>
    <w:p w:rsidR="009D4163" w:rsidRPr="008277D0" w:rsidRDefault="009D4163" w:rsidP="001F2662">
      <w:pPr>
        <w:spacing w:before="120"/>
        <w:ind w:left="426" w:firstLine="708"/>
        <w:rPr>
          <w:rFonts w:ascii="Arial" w:hAnsi="Arial" w:cs="Arial"/>
        </w:rPr>
      </w:pPr>
      <w:r w:rsidRPr="008277D0">
        <w:rPr>
          <w:rFonts w:ascii="Arial" w:hAnsi="Arial" w:cs="Arial"/>
        </w:rPr>
        <w:t xml:space="preserve">Curitiba, </w:t>
      </w:r>
      <w:r>
        <w:rPr>
          <w:rFonts w:ascii="Arial" w:hAnsi="Arial" w:cs="Arial"/>
        </w:rPr>
        <w:t>16</w:t>
      </w:r>
      <w:r w:rsidRPr="008277D0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janeir</w:t>
      </w:r>
      <w:r w:rsidRPr="008277D0">
        <w:rPr>
          <w:rFonts w:ascii="Arial" w:hAnsi="Arial" w:cs="Arial"/>
        </w:rPr>
        <w:t>o de 201</w:t>
      </w:r>
      <w:r>
        <w:rPr>
          <w:rFonts w:ascii="Arial" w:hAnsi="Arial" w:cs="Arial"/>
        </w:rPr>
        <w:t>5</w:t>
      </w:r>
      <w:r w:rsidRPr="008277D0">
        <w:rPr>
          <w:rFonts w:ascii="Arial" w:hAnsi="Arial" w:cs="Arial"/>
        </w:rPr>
        <w:t>.</w:t>
      </w:r>
    </w:p>
    <w:p w:rsidR="009D4163" w:rsidRPr="008277D0" w:rsidRDefault="009D4163" w:rsidP="00B42813">
      <w:pPr>
        <w:jc w:val="center"/>
        <w:rPr>
          <w:rFonts w:cs="Arial"/>
        </w:rPr>
      </w:pPr>
    </w:p>
    <w:p w:rsidR="009D4163" w:rsidRPr="008277D0" w:rsidRDefault="009D4163" w:rsidP="00B42813">
      <w:pPr>
        <w:jc w:val="center"/>
        <w:rPr>
          <w:rFonts w:cs="Arial"/>
        </w:rPr>
      </w:pPr>
    </w:p>
    <w:p w:rsidR="009D4163" w:rsidRPr="008277D0" w:rsidRDefault="009D4163" w:rsidP="001F2662">
      <w:pPr>
        <w:ind w:left="426" w:firstLine="708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ARTAGÃO DE MATTOS LEÃO</w:t>
      </w:r>
    </w:p>
    <w:p w:rsidR="009D4163" w:rsidRPr="008277D0" w:rsidRDefault="009D4163" w:rsidP="001F2662">
      <w:pPr>
        <w:ind w:left="426" w:firstLine="708"/>
        <w:rPr>
          <w:rFonts w:ascii="Arial" w:hAnsi="Arial" w:cs="Arial"/>
        </w:rPr>
      </w:pPr>
      <w:r w:rsidRPr="008277D0">
        <w:rPr>
          <w:rFonts w:ascii="Arial" w:hAnsi="Arial" w:cs="Arial"/>
          <w:noProof/>
        </w:rPr>
        <w:t>Conselheiro</w:t>
      </w:r>
    </w:p>
    <w:p w:rsidR="006467AA" w:rsidRPr="009D4163" w:rsidRDefault="006467AA" w:rsidP="00B42813">
      <w:pPr>
        <w:jc w:val="center"/>
      </w:pPr>
    </w:p>
    <w:sectPr w:rsidR="006467AA" w:rsidRPr="009D4163" w:rsidSect="00B42813">
      <w:headerReference w:type="default" r:id="rId7"/>
      <w:footerReference w:type="even" r:id="rId8"/>
      <w:pgSz w:w="11907" w:h="16840" w:code="9"/>
      <w:pgMar w:top="1985" w:right="1134" w:bottom="1134" w:left="1701" w:header="709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F9E" w:rsidRDefault="001D5F9E"/>
  </w:endnote>
  <w:endnote w:type="continuationSeparator" w:id="0">
    <w:p w:rsidR="001D5F9E" w:rsidRDefault="001D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A77" w:rsidRDefault="00785A77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A77" w:rsidRDefault="00785A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F9E" w:rsidRDefault="001D5F9E">
      <w:r>
        <w:separator/>
      </w:r>
    </w:p>
  </w:footnote>
  <w:footnote w:type="continuationSeparator" w:id="0">
    <w:p w:rsidR="001D5F9E" w:rsidRDefault="001D5F9E">
      <w:r>
        <w:continuationSeparator/>
      </w:r>
    </w:p>
  </w:footnote>
  <w:footnote w:id="1">
    <w:p w:rsidR="00FD6E41" w:rsidRPr="00903F9E" w:rsidRDefault="00FD6E41" w:rsidP="00FD6E41">
      <w:pPr>
        <w:pStyle w:val="Textodenotaderodap"/>
        <w:rPr>
          <w:rFonts w:cs="Arial"/>
        </w:rPr>
      </w:pPr>
      <w:r w:rsidRPr="00FD6E41">
        <w:rPr>
          <w:rStyle w:val="Refdenotaderodap"/>
        </w:rPr>
        <w:sym w:font="Symbol" w:char="F02A"/>
      </w:r>
      <w:r>
        <w:t xml:space="preserve"> </w:t>
      </w:r>
      <w:bookmarkStart w:id="0" w:name="_Hlk9321415"/>
      <w:r w:rsidRPr="00903F9E">
        <w:rPr>
          <w:rFonts w:cs="Arial"/>
          <w:b/>
        </w:rPr>
        <w:t>Nota da Biblioteca:</w:t>
      </w:r>
    </w:p>
    <w:p w:rsidR="00FD6E41" w:rsidRPr="00903F9E" w:rsidRDefault="00FD6E41" w:rsidP="00FD6E41">
      <w:pPr>
        <w:pStyle w:val="Textodenotaderodap"/>
        <w:ind w:left="142" w:hanging="142"/>
        <w:rPr>
          <w:rFonts w:cs="Arial"/>
        </w:rPr>
      </w:pPr>
      <w:r w:rsidRPr="00903F9E">
        <w:rPr>
          <w:rFonts w:cs="Arial"/>
        </w:rPr>
        <w:t xml:space="preserve">  Este texto não substitui o publicado no periódico: </w:t>
      </w:r>
      <w:hyperlink r:id="rId1" w:history="1">
        <w:r>
          <w:rPr>
            <w:rStyle w:val="Hyperlink"/>
          </w:rPr>
          <w:t>Diário Eletrônico do Tribunal de Contas do Estado do Paraná, Curitiba, PR, n. 1067, 25 fev. 2015, p. 37-38</w:t>
        </w:r>
      </w:hyperlink>
      <w:r>
        <w:t>.</w:t>
      </w:r>
      <w:bookmarkStart w:id="1" w:name="_GoBack"/>
      <w:bookmarkEnd w:id="1"/>
    </w:p>
    <w:bookmarkEnd w:id="0"/>
    <w:p w:rsidR="00FD6E41" w:rsidRDefault="00FD6E41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1D9" w:rsidRPr="00B151D9" w:rsidRDefault="00B151D9" w:rsidP="003F3066">
    <w:pPr>
      <w:tabs>
        <w:tab w:val="center" w:pos="4252"/>
        <w:tab w:val="right" w:pos="8504"/>
      </w:tabs>
      <w:spacing w:before="240" w:after="120"/>
      <w:ind w:left="1134"/>
      <w:rPr>
        <w:rFonts w:ascii="Arial" w:hAnsi="Arial" w:cs="Arial"/>
        <w:b/>
        <w:sz w:val="30"/>
        <w:szCs w:val="3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50" type="#_x0000_t75" alt="logo TC colorido - medio" style="position:absolute;left:0;text-align:left;margin-left:.7pt;margin-top:8.3pt;width:47.7pt;height:56.1pt;z-index:251657728;visibility:visible">
          <v:imagedata r:id="rId1" o:title="logo TC colorido - medio"/>
          <w10:wrap type="square"/>
        </v:shape>
      </w:pict>
    </w:r>
    <w:r w:rsidRPr="00B151D9">
      <w:rPr>
        <w:rFonts w:ascii="Arial" w:hAnsi="Arial" w:cs="Arial"/>
        <w:b/>
        <w:sz w:val="30"/>
        <w:szCs w:val="30"/>
      </w:rPr>
      <w:t>TRIBUNAL DE CONTAS DO ESTADO DO PARANÁ</w:t>
    </w:r>
  </w:p>
  <w:p w:rsidR="00785A77" w:rsidRPr="0015640A" w:rsidRDefault="00B151D9" w:rsidP="00FD6E41">
    <w:pPr>
      <w:tabs>
        <w:tab w:val="center" w:pos="4252"/>
        <w:tab w:val="right" w:pos="8504"/>
      </w:tabs>
      <w:spacing w:before="120" w:after="240"/>
      <w:ind w:left="1134"/>
      <w:rPr>
        <w:szCs w:val="28"/>
      </w:rPr>
    </w:pPr>
    <w:r>
      <w:rPr>
        <w:rFonts w:ascii="Arial" w:hAnsi="Arial" w:cs="Arial"/>
        <w:sz w:val="28"/>
        <w:szCs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72DB5"/>
    <w:multiLevelType w:val="hybridMultilevel"/>
    <w:tmpl w:val="605AC3C0"/>
    <w:lvl w:ilvl="0" w:tplc="D590751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2FFB"/>
    <w:multiLevelType w:val="hybridMultilevel"/>
    <w:tmpl w:val="CC26474A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pos w:val="sectEnd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5A3C"/>
    <w:rsid w:val="00006D07"/>
    <w:rsid w:val="00007314"/>
    <w:rsid w:val="00021360"/>
    <w:rsid w:val="0002198F"/>
    <w:rsid w:val="00027397"/>
    <w:rsid w:val="00044F75"/>
    <w:rsid w:val="00063A1F"/>
    <w:rsid w:val="00072290"/>
    <w:rsid w:val="00075D41"/>
    <w:rsid w:val="000810A8"/>
    <w:rsid w:val="000865D5"/>
    <w:rsid w:val="000A1720"/>
    <w:rsid w:val="000A3637"/>
    <w:rsid w:val="000B6035"/>
    <w:rsid w:val="000C2174"/>
    <w:rsid w:val="000D1BDF"/>
    <w:rsid w:val="000D6615"/>
    <w:rsid w:val="000E7402"/>
    <w:rsid w:val="000F3D74"/>
    <w:rsid w:val="001012A2"/>
    <w:rsid w:val="00113606"/>
    <w:rsid w:val="00127F8E"/>
    <w:rsid w:val="00144815"/>
    <w:rsid w:val="0015640A"/>
    <w:rsid w:val="001764AD"/>
    <w:rsid w:val="00186410"/>
    <w:rsid w:val="001936F4"/>
    <w:rsid w:val="001C5B05"/>
    <w:rsid w:val="001D5F9E"/>
    <w:rsid w:val="001D78AA"/>
    <w:rsid w:val="001F2662"/>
    <w:rsid w:val="00215D25"/>
    <w:rsid w:val="0021734A"/>
    <w:rsid w:val="002242FA"/>
    <w:rsid w:val="00226151"/>
    <w:rsid w:val="00240041"/>
    <w:rsid w:val="00243CDF"/>
    <w:rsid w:val="002441C6"/>
    <w:rsid w:val="00265D8C"/>
    <w:rsid w:val="002703CC"/>
    <w:rsid w:val="00272838"/>
    <w:rsid w:val="00283B7E"/>
    <w:rsid w:val="00284052"/>
    <w:rsid w:val="00292046"/>
    <w:rsid w:val="00295A93"/>
    <w:rsid w:val="002A0FB5"/>
    <w:rsid w:val="002A6C44"/>
    <w:rsid w:val="002B24C4"/>
    <w:rsid w:val="002C075D"/>
    <w:rsid w:val="002C7CCC"/>
    <w:rsid w:val="002D4168"/>
    <w:rsid w:val="002D4224"/>
    <w:rsid w:val="002D53E9"/>
    <w:rsid w:val="002E535A"/>
    <w:rsid w:val="002E62A5"/>
    <w:rsid w:val="002F5675"/>
    <w:rsid w:val="00306BAA"/>
    <w:rsid w:val="00307928"/>
    <w:rsid w:val="003118D1"/>
    <w:rsid w:val="00312F01"/>
    <w:rsid w:val="00315071"/>
    <w:rsid w:val="0031528F"/>
    <w:rsid w:val="003376B5"/>
    <w:rsid w:val="003431EB"/>
    <w:rsid w:val="00355DFB"/>
    <w:rsid w:val="00374591"/>
    <w:rsid w:val="00380D54"/>
    <w:rsid w:val="003824E1"/>
    <w:rsid w:val="00396215"/>
    <w:rsid w:val="00396815"/>
    <w:rsid w:val="00396AAB"/>
    <w:rsid w:val="003A1FFD"/>
    <w:rsid w:val="003A2022"/>
    <w:rsid w:val="003A7552"/>
    <w:rsid w:val="003B298B"/>
    <w:rsid w:val="003C69C0"/>
    <w:rsid w:val="003D23CD"/>
    <w:rsid w:val="003F3066"/>
    <w:rsid w:val="003F5A3C"/>
    <w:rsid w:val="0040074D"/>
    <w:rsid w:val="00420228"/>
    <w:rsid w:val="00423CA7"/>
    <w:rsid w:val="0042475D"/>
    <w:rsid w:val="00444457"/>
    <w:rsid w:val="004563FF"/>
    <w:rsid w:val="004662B7"/>
    <w:rsid w:val="004865E9"/>
    <w:rsid w:val="004978DB"/>
    <w:rsid w:val="004C0AC5"/>
    <w:rsid w:val="004D35D4"/>
    <w:rsid w:val="004D6F1B"/>
    <w:rsid w:val="004E12B2"/>
    <w:rsid w:val="004E4B7F"/>
    <w:rsid w:val="004F4F3C"/>
    <w:rsid w:val="004F4F99"/>
    <w:rsid w:val="005233B1"/>
    <w:rsid w:val="00524BAE"/>
    <w:rsid w:val="00530453"/>
    <w:rsid w:val="00533FD7"/>
    <w:rsid w:val="0057739E"/>
    <w:rsid w:val="00577C32"/>
    <w:rsid w:val="00577E3A"/>
    <w:rsid w:val="0059772D"/>
    <w:rsid w:val="005A512F"/>
    <w:rsid w:val="005D035A"/>
    <w:rsid w:val="005D21F0"/>
    <w:rsid w:val="005D37DF"/>
    <w:rsid w:val="005D4C30"/>
    <w:rsid w:val="005D5FB8"/>
    <w:rsid w:val="005D67E3"/>
    <w:rsid w:val="005F114F"/>
    <w:rsid w:val="00610CEF"/>
    <w:rsid w:val="00635B3E"/>
    <w:rsid w:val="0064468D"/>
    <w:rsid w:val="006467AA"/>
    <w:rsid w:val="00651748"/>
    <w:rsid w:val="00656235"/>
    <w:rsid w:val="0066649E"/>
    <w:rsid w:val="00676B8D"/>
    <w:rsid w:val="006909ED"/>
    <w:rsid w:val="006A3E04"/>
    <w:rsid w:val="006B5F63"/>
    <w:rsid w:val="006C0505"/>
    <w:rsid w:val="006C5B7A"/>
    <w:rsid w:val="006D0BFA"/>
    <w:rsid w:val="006D5F70"/>
    <w:rsid w:val="006E0C61"/>
    <w:rsid w:val="006F43FB"/>
    <w:rsid w:val="00712D3E"/>
    <w:rsid w:val="00713937"/>
    <w:rsid w:val="00713C48"/>
    <w:rsid w:val="007257EB"/>
    <w:rsid w:val="00736801"/>
    <w:rsid w:val="00753422"/>
    <w:rsid w:val="007606D4"/>
    <w:rsid w:val="00761E9D"/>
    <w:rsid w:val="00765541"/>
    <w:rsid w:val="00774625"/>
    <w:rsid w:val="00774C7D"/>
    <w:rsid w:val="00785A77"/>
    <w:rsid w:val="007900D3"/>
    <w:rsid w:val="0079299E"/>
    <w:rsid w:val="00793E55"/>
    <w:rsid w:val="0079469F"/>
    <w:rsid w:val="00795212"/>
    <w:rsid w:val="00800656"/>
    <w:rsid w:val="00806EDE"/>
    <w:rsid w:val="00844F7C"/>
    <w:rsid w:val="00850B3B"/>
    <w:rsid w:val="008541AC"/>
    <w:rsid w:val="008833DA"/>
    <w:rsid w:val="00883908"/>
    <w:rsid w:val="00884C64"/>
    <w:rsid w:val="00885C62"/>
    <w:rsid w:val="008A457C"/>
    <w:rsid w:val="008A70D4"/>
    <w:rsid w:val="008B087C"/>
    <w:rsid w:val="008B318E"/>
    <w:rsid w:val="008B6D7F"/>
    <w:rsid w:val="008C0992"/>
    <w:rsid w:val="008C7661"/>
    <w:rsid w:val="008E7F3A"/>
    <w:rsid w:val="008F157E"/>
    <w:rsid w:val="00906B57"/>
    <w:rsid w:val="009161B4"/>
    <w:rsid w:val="00934D13"/>
    <w:rsid w:val="0093701C"/>
    <w:rsid w:val="009501D5"/>
    <w:rsid w:val="009520FA"/>
    <w:rsid w:val="0097149C"/>
    <w:rsid w:val="00973065"/>
    <w:rsid w:val="00983623"/>
    <w:rsid w:val="00990187"/>
    <w:rsid w:val="009919D0"/>
    <w:rsid w:val="00992A2B"/>
    <w:rsid w:val="009B1A69"/>
    <w:rsid w:val="009B4A84"/>
    <w:rsid w:val="009D4163"/>
    <w:rsid w:val="009E5BB8"/>
    <w:rsid w:val="009E7717"/>
    <w:rsid w:val="009F141E"/>
    <w:rsid w:val="009F32F2"/>
    <w:rsid w:val="009F4D5C"/>
    <w:rsid w:val="00A16A76"/>
    <w:rsid w:val="00A20971"/>
    <w:rsid w:val="00A21C71"/>
    <w:rsid w:val="00A231A5"/>
    <w:rsid w:val="00A239E7"/>
    <w:rsid w:val="00A25981"/>
    <w:rsid w:val="00A3095D"/>
    <w:rsid w:val="00A326C4"/>
    <w:rsid w:val="00A379B5"/>
    <w:rsid w:val="00A40FDB"/>
    <w:rsid w:val="00A50ADC"/>
    <w:rsid w:val="00A50D08"/>
    <w:rsid w:val="00A94C98"/>
    <w:rsid w:val="00A97A7B"/>
    <w:rsid w:val="00AB1DB1"/>
    <w:rsid w:val="00AB58FC"/>
    <w:rsid w:val="00AB7505"/>
    <w:rsid w:val="00AD359B"/>
    <w:rsid w:val="00AD4BF9"/>
    <w:rsid w:val="00B106FE"/>
    <w:rsid w:val="00B1319D"/>
    <w:rsid w:val="00B151D9"/>
    <w:rsid w:val="00B24482"/>
    <w:rsid w:val="00B42813"/>
    <w:rsid w:val="00B4615D"/>
    <w:rsid w:val="00B6762D"/>
    <w:rsid w:val="00B70295"/>
    <w:rsid w:val="00B748E1"/>
    <w:rsid w:val="00B8374A"/>
    <w:rsid w:val="00B83D16"/>
    <w:rsid w:val="00BB2817"/>
    <w:rsid w:val="00BB763C"/>
    <w:rsid w:val="00BC26E4"/>
    <w:rsid w:val="00BC6471"/>
    <w:rsid w:val="00BD36F1"/>
    <w:rsid w:val="00BF420D"/>
    <w:rsid w:val="00BF77B8"/>
    <w:rsid w:val="00C1715B"/>
    <w:rsid w:val="00C26795"/>
    <w:rsid w:val="00C27B13"/>
    <w:rsid w:val="00C30CA6"/>
    <w:rsid w:val="00C35700"/>
    <w:rsid w:val="00C464E0"/>
    <w:rsid w:val="00C51744"/>
    <w:rsid w:val="00C605DE"/>
    <w:rsid w:val="00C75A75"/>
    <w:rsid w:val="00C83674"/>
    <w:rsid w:val="00C920A7"/>
    <w:rsid w:val="00CB145C"/>
    <w:rsid w:val="00CB34A3"/>
    <w:rsid w:val="00CB4C1A"/>
    <w:rsid w:val="00CB6459"/>
    <w:rsid w:val="00CC5E15"/>
    <w:rsid w:val="00CC7771"/>
    <w:rsid w:val="00CD2CEE"/>
    <w:rsid w:val="00CD7241"/>
    <w:rsid w:val="00CE278A"/>
    <w:rsid w:val="00CF0075"/>
    <w:rsid w:val="00CF4E26"/>
    <w:rsid w:val="00CF55EF"/>
    <w:rsid w:val="00CF5FF5"/>
    <w:rsid w:val="00D07732"/>
    <w:rsid w:val="00D166CF"/>
    <w:rsid w:val="00D27799"/>
    <w:rsid w:val="00D30D37"/>
    <w:rsid w:val="00D4665D"/>
    <w:rsid w:val="00D52E0E"/>
    <w:rsid w:val="00D556A4"/>
    <w:rsid w:val="00D906D2"/>
    <w:rsid w:val="00D965B5"/>
    <w:rsid w:val="00D9729C"/>
    <w:rsid w:val="00DA2863"/>
    <w:rsid w:val="00DC6BBA"/>
    <w:rsid w:val="00DC714F"/>
    <w:rsid w:val="00DD3BE1"/>
    <w:rsid w:val="00DE48AF"/>
    <w:rsid w:val="00E16A3A"/>
    <w:rsid w:val="00E31BDC"/>
    <w:rsid w:val="00E34A0C"/>
    <w:rsid w:val="00E40181"/>
    <w:rsid w:val="00E50003"/>
    <w:rsid w:val="00E65639"/>
    <w:rsid w:val="00E77A83"/>
    <w:rsid w:val="00E87E84"/>
    <w:rsid w:val="00EA5CFB"/>
    <w:rsid w:val="00EA5E47"/>
    <w:rsid w:val="00EA60BB"/>
    <w:rsid w:val="00EB1435"/>
    <w:rsid w:val="00EB6EF9"/>
    <w:rsid w:val="00EC1C57"/>
    <w:rsid w:val="00EC7DEF"/>
    <w:rsid w:val="00ED3043"/>
    <w:rsid w:val="00ED68E8"/>
    <w:rsid w:val="00F044D4"/>
    <w:rsid w:val="00F13020"/>
    <w:rsid w:val="00F15881"/>
    <w:rsid w:val="00F51324"/>
    <w:rsid w:val="00F76671"/>
    <w:rsid w:val="00F83DCD"/>
    <w:rsid w:val="00F91D0B"/>
    <w:rsid w:val="00F958EC"/>
    <w:rsid w:val="00FA655B"/>
    <w:rsid w:val="00FC2505"/>
    <w:rsid w:val="00FD09FD"/>
    <w:rsid w:val="00FD1DC6"/>
    <w:rsid w:val="00FD5546"/>
    <w:rsid w:val="00FD6E41"/>
    <w:rsid w:val="00FE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9C15D41-2773-4297-80DE-92AA6B7B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D4163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firstLine="708"/>
      <w:jc w:val="center"/>
      <w:outlineLvl w:val="0"/>
    </w:pPr>
    <w:rPr>
      <w:rFonts w:ascii="Arial" w:hAnsi="Arial"/>
      <w:b/>
      <w:spacing w:val="10"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ind w:firstLine="709"/>
      <w:jc w:val="both"/>
      <w:outlineLvl w:val="2"/>
    </w:pPr>
    <w:rPr>
      <w:rFonts w:ascii="Arial" w:hAnsi="Arial"/>
      <w:b/>
      <w:spacing w:val="10"/>
      <w:szCs w:val="20"/>
    </w:rPr>
  </w:style>
  <w:style w:type="paragraph" w:styleId="Ttulo4">
    <w:name w:val="heading 4"/>
    <w:basedOn w:val="Normal"/>
    <w:next w:val="Normal"/>
    <w:qFormat/>
    <w:pPr>
      <w:keepNext/>
      <w:ind w:firstLine="709"/>
      <w:jc w:val="center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pPr>
      <w:ind w:firstLine="1985"/>
      <w:jc w:val="both"/>
    </w:pPr>
    <w:rPr>
      <w:rFonts w:ascii="Arial" w:hAnsi="Arial"/>
      <w:spacing w:val="10"/>
      <w:szCs w:val="20"/>
    </w:rPr>
  </w:style>
  <w:style w:type="paragraph" w:styleId="Recuodecorpodetexto">
    <w:name w:val="Body Text Indent"/>
    <w:basedOn w:val="Normal"/>
    <w:pPr>
      <w:ind w:firstLine="709"/>
      <w:jc w:val="both"/>
    </w:pPr>
    <w:rPr>
      <w:rFonts w:ascii="Arial" w:hAnsi="Arial"/>
      <w:spacing w:val="1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 Antiqua" w:hAnsi="Book Antiqua"/>
      <w:spacing w:val="10"/>
      <w:sz w:val="28"/>
      <w:szCs w:val="20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paragraph" w:styleId="Recuodecorpodetexto2">
    <w:name w:val="Body Text Indent 2"/>
    <w:basedOn w:val="Normal"/>
    <w:pPr>
      <w:ind w:firstLine="1418"/>
      <w:jc w:val="both"/>
    </w:pPr>
    <w:rPr>
      <w:rFonts w:ascii="Arial" w:hAnsi="Arial"/>
      <w:szCs w:val="20"/>
    </w:rPr>
  </w:style>
  <w:style w:type="paragraph" w:styleId="Textodenotaderodap">
    <w:name w:val="footnote text"/>
    <w:basedOn w:val="Normal"/>
    <w:link w:val="TextodenotaderodapChar"/>
    <w:rPr>
      <w:rFonts w:ascii="Arial" w:hAnsi="Arial"/>
      <w:sz w:val="20"/>
      <w:szCs w:val="20"/>
    </w:rPr>
  </w:style>
  <w:style w:type="character" w:styleId="Refdenotaderodap">
    <w:name w:val="footnote reference"/>
    <w:uiPriority w:val="99"/>
    <w:rPr>
      <w:vertAlign w:val="superscript"/>
    </w:rPr>
  </w:style>
  <w:style w:type="paragraph" w:styleId="Textodenotadefim">
    <w:name w:val="endnote text"/>
    <w:basedOn w:val="Normal"/>
    <w:semiHidden/>
    <w:rPr>
      <w:rFonts w:ascii="Arial" w:hAnsi="Arial"/>
      <w:sz w:val="20"/>
      <w:szCs w:val="20"/>
    </w:rPr>
  </w:style>
  <w:style w:type="character" w:styleId="Refdenotadefim">
    <w:name w:val="endnote reference"/>
    <w:semiHidden/>
    <w:rPr>
      <w:vertAlign w:val="superscript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table" w:styleId="Tabelacomgrade">
    <w:name w:val="Table Grid"/>
    <w:basedOn w:val="Tabelanormal"/>
    <w:rsid w:val="0015640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D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D416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9D4163"/>
    <w:pPr>
      <w:spacing w:after="120"/>
    </w:pPr>
  </w:style>
  <w:style w:type="character" w:customStyle="1" w:styleId="CorpodetextoChar">
    <w:name w:val="Corpo de texto Char"/>
    <w:link w:val="Corpodetexto"/>
    <w:rsid w:val="009D4163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B151D9"/>
    <w:rPr>
      <w:rFonts w:ascii="Book Antiqua" w:hAnsi="Book Antiqua"/>
      <w:spacing w:val="10"/>
      <w:sz w:val="28"/>
    </w:rPr>
  </w:style>
  <w:style w:type="character" w:styleId="Hyperlink">
    <w:name w:val="Hyperlink"/>
    <w:unhideWhenUsed/>
    <w:rsid w:val="00FD6E41"/>
    <w:rPr>
      <w:color w:val="0000FF"/>
      <w:u w:val="single"/>
    </w:rPr>
  </w:style>
  <w:style w:type="character" w:customStyle="1" w:styleId="TextodenotaderodapChar">
    <w:name w:val="Texto de nota de rodapé Char"/>
    <w:link w:val="Textodenotaderodap"/>
    <w:rsid w:val="00FD6E4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5/2/pdf/0027388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Nº</vt:lpstr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Nº</dc:title>
  <dc:subject/>
  <dc:creator>Luciano Crotti</dc:creator>
  <cp:keywords/>
  <cp:lastModifiedBy>Yarusya Fonseca</cp:lastModifiedBy>
  <cp:revision>3</cp:revision>
  <cp:lastPrinted>2004-07-21T18:14:00Z</cp:lastPrinted>
  <dcterms:created xsi:type="dcterms:W3CDTF">2019-05-21T13:58:00Z</dcterms:created>
  <dcterms:modified xsi:type="dcterms:W3CDTF">2019-05-21T14:00:00Z</dcterms:modified>
</cp:coreProperties>
</file>