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CF9" w:rsidRPr="002C0CF9" w:rsidRDefault="00845770" w:rsidP="00281B4A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INSTRUÇÃO DE SERVIÇO</w:t>
      </w:r>
      <w:r w:rsidR="00EF7A76">
        <w:rPr>
          <w:rFonts w:ascii="Arial" w:hAnsi="Arial" w:cs="Arial"/>
          <w:b/>
          <w:bCs/>
          <w:sz w:val="28"/>
          <w:szCs w:val="28"/>
        </w:rPr>
        <w:t xml:space="preserve"> Nº 61/2013</w:t>
      </w:r>
      <w:r w:rsidR="00F70FBD" w:rsidRPr="00F70FBD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2C0CF9" w:rsidRPr="00F70FBD" w:rsidRDefault="002C0CF9" w:rsidP="00F70FBD">
      <w:pPr>
        <w:spacing w:before="360" w:after="360"/>
        <w:ind w:left="4536" w:right="57"/>
        <w:jc w:val="both"/>
        <w:rPr>
          <w:rFonts w:ascii="Arial" w:hAnsi="Arial" w:cs="Arial"/>
          <w:i/>
          <w:sz w:val="22"/>
          <w:szCs w:val="22"/>
        </w:rPr>
      </w:pPr>
      <w:r w:rsidRPr="00F70FBD">
        <w:rPr>
          <w:rFonts w:ascii="Arial" w:hAnsi="Arial" w:cs="Arial"/>
          <w:i/>
          <w:sz w:val="22"/>
          <w:szCs w:val="22"/>
        </w:rPr>
        <w:t>Dispõe sobre a delegação de despachos de mero expediente de que trata o art.</w:t>
      </w:r>
      <w:r w:rsidR="009C31D9" w:rsidRPr="00F70FBD">
        <w:rPr>
          <w:rFonts w:ascii="Arial" w:hAnsi="Arial" w:cs="Arial"/>
          <w:i/>
          <w:sz w:val="22"/>
          <w:szCs w:val="22"/>
        </w:rPr>
        <w:t> </w:t>
      </w:r>
      <w:r w:rsidRPr="00F70FBD">
        <w:rPr>
          <w:rFonts w:ascii="Arial" w:hAnsi="Arial" w:cs="Arial"/>
          <w:i/>
          <w:sz w:val="22"/>
          <w:szCs w:val="22"/>
        </w:rPr>
        <w:t>32, §</w:t>
      </w:r>
      <w:r w:rsidR="006006B7" w:rsidRPr="00F70FBD">
        <w:rPr>
          <w:rFonts w:ascii="Arial" w:hAnsi="Arial" w:cs="Arial"/>
          <w:i/>
          <w:sz w:val="22"/>
          <w:szCs w:val="22"/>
        </w:rPr>
        <w:t xml:space="preserve"> </w:t>
      </w:r>
      <w:r w:rsidRPr="00F70FBD">
        <w:rPr>
          <w:rFonts w:ascii="Arial" w:hAnsi="Arial" w:cs="Arial"/>
          <w:i/>
          <w:sz w:val="22"/>
          <w:szCs w:val="22"/>
        </w:rPr>
        <w:t>1º, do Regimento Interno deste Tribunal.</w:t>
      </w:r>
      <w:r w:rsidRPr="00F70FBD">
        <w:rPr>
          <w:rStyle w:val="Refdenotaderodap"/>
          <w:rFonts w:ascii="Arial" w:hAnsi="Arial" w:cs="Arial"/>
          <w:i/>
          <w:sz w:val="22"/>
          <w:szCs w:val="22"/>
        </w:rPr>
        <w:footnoteReference w:id="2"/>
      </w:r>
    </w:p>
    <w:p w:rsidR="005411A0" w:rsidRPr="005411A0" w:rsidRDefault="005411A0" w:rsidP="00845770">
      <w:pPr>
        <w:pStyle w:val="Texto"/>
        <w:ind w:firstLine="1134"/>
        <w:rPr>
          <w:sz w:val="24"/>
        </w:rPr>
      </w:pPr>
      <w:r w:rsidRPr="005411A0">
        <w:rPr>
          <w:rFonts w:cs="Arial"/>
          <w:sz w:val="24"/>
        </w:rPr>
        <w:t>O AUDITOR</w:t>
      </w:r>
      <w:r w:rsidRPr="005411A0">
        <w:rPr>
          <w:rFonts w:cs="Arial"/>
          <w:b/>
          <w:smallCaps/>
          <w:sz w:val="24"/>
        </w:rPr>
        <w:t xml:space="preserve"> THIAGO BARBOSA CORDEIRO</w:t>
      </w:r>
      <w:r w:rsidRPr="005411A0">
        <w:rPr>
          <w:rFonts w:cs="Arial"/>
          <w:sz w:val="24"/>
        </w:rPr>
        <w:t>, no uso das atribuições que lhe são conferidas pelo art</w:t>
      </w:r>
      <w:r w:rsidR="00E074C6">
        <w:rPr>
          <w:rFonts w:cs="Arial"/>
          <w:sz w:val="24"/>
        </w:rPr>
        <w:t>igo</w:t>
      </w:r>
      <w:r w:rsidRPr="005411A0">
        <w:rPr>
          <w:rFonts w:cs="Arial"/>
          <w:sz w:val="24"/>
        </w:rPr>
        <w:t xml:space="preserve"> 32, § 1º, e pelo artigo 197 do Regimento Interno deste Tribunal de Contas, considerando o previsto no art</w:t>
      </w:r>
      <w:r w:rsidR="00E074C6">
        <w:rPr>
          <w:rFonts w:cs="Arial"/>
          <w:sz w:val="24"/>
        </w:rPr>
        <w:t>igo</w:t>
      </w:r>
      <w:r w:rsidRPr="005411A0">
        <w:rPr>
          <w:rFonts w:cs="Arial"/>
          <w:sz w:val="24"/>
        </w:rPr>
        <w:t xml:space="preserve"> 93, inciso XIV, c/c o art</w:t>
      </w:r>
      <w:r w:rsidR="00E074C6">
        <w:rPr>
          <w:rFonts w:cs="Arial"/>
          <w:sz w:val="24"/>
        </w:rPr>
        <w:t>igo</w:t>
      </w:r>
      <w:r w:rsidRPr="005411A0">
        <w:rPr>
          <w:rFonts w:cs="Arial"/>
          <w:sz w:val="24"/>
        </w:rPr>
        <w:t xml:space="preserve"> 73, § 4º da Constituição Federal, </w:t>
      </w:r>
    </w:p>
    <w:p w:rsidR="002C0CF9" w:rsidRPr="002C0CF9" w:rsidRDefault="002C0CF9" w:rsidP="005A1A1D">
      <w:pPr>
        <w:pStyle w:val="Texto"/>
        <w:spacing w:before="360" w:after="240"/>
        <w:ind w:firstLine="1134"/>
        <w:rPr>
          <w:rFonts w:cs="Arial"/>
          <w:b/>
          <w:bCs/>
          <w:sz w:val="24"/>
        </w:rPr>
      </w:pPr>
      <w:r w:rsidRPr="002C0CF9">
        <w:rPr>
          <w:rFonts w:cs="Arial"/>
          <w:b/>
          <w:bCs/>
          <w:sz w:val="24"/>
        </w:rPr>
        <w:t>RESOLVE</w:t>
      </w:r>
    </w:p>
    <w:p w:rsidR="002C0CF9" w:rsidRPr="002C0CF9" w:rsidRDefault="002C0CF9" w:rsidP="00845770">
      <w:pPr>
        <w:pStyle w:val="ArtigosOrdinais"/>
        <w:ind w:firstLine="1134"/>
        <w:rPr>
          <w:rFonts w:cs="Arial"/>
          <w:sz w:val="24"/>
        </w:rPr>
      </w:pPr>
      <w:r w:rsidRPr="00290AD4">
        <w:rPr>
          <w:rFonts w:cs="Arial"/>
          <w:b/>
          <w:sz w:val="24"/>
        </w:rPr>
        <w:t>Art. 1º</w:t>
      </w:r>
      <w:r w:rsidR="00845770">
        <w:rPr>
          <w:rFonts w:cs="Arial"/>
          <w:b/>
          <w:sz w:val="24"/>
        </w:rPr>
        <w:t xml:space="preserve"> </w:t>
      </w:r>
      <w:r w:rsidRPr="002C0CF9">
        <w:rPr>
          <w:rFonts w:cs="Arial"/>
          <w:sz w:val="24"/>
        </w:rPr>
        <w:t>Ficam delegados aos servidores deste Gabinete JERUSA HELENA PIAZ KLOCK, matrícula nº 51.281-8, MARCIA GALEAZZI CAXAMBU, matrícula nº 51.321-0</w:t>
      </w:r>
      <w:r w:rsidR="00845770">
        <w:rPr>
          <w:rFonts w:cs="Arial"/>
          <w:sz w:val="24"/>
        </w:rPr>
        <w:t>,</w:t>
      </w:r>
      <w:r w:rsidRPr="002C0CF9">
        <w:rPr>
          <w:rFonts w:cs="Arial"/>
          <w:sz w:val="24"/>
        </w:rPr>
        <w:t xml:space="preserve"> e MARÍLIA ZAMONER, matrícula nº 51.459-4, os despachos de mero expediente, em processos de minha relatoria, nas seguintes hipóteses:</w:t>
      </w:r>
    </w:p>
    <w:p w:rsidR="002C0CF9" w:rsidRPr="002C0CF9" w:rsidRDefault="002C0CF9" w:rsidP="00E7059C">
      <w:pPr>
        <w:spacing w:before="120"/>
        <w:ind w:right="57" w:firstLine="1134"/>
        <w:jc w:val="both"/>
        <w:rPr>
          <w:rFonts w:ascii="Arial" w:hAnsi="Arial" w:cs="Arial"/>
        </w:rPr>
      </w:pPr>
      <w:r w:rsidRPr="002C0CF9">
        <w:rPr>
          <w:rFonts w:ascii="Arial" w:hAnsi="Arial" w:cs="Arial"/>
        </w:rPr>
        <w:t xml:space="preserve">I – </w:t>
      </w:r>
      <w:proofErr w:type="gramStart"/>
      <w:r w:rsidRPr="002C0CF9">
        <w:rPr>
          <w:rFonts w:ascii="Arial" w:hAnsi="Arial" w:cs="Arial"/>
        </w:rPr>
        <w:t>autorização e determinação</w:t>
      </w:r>
      <w:proofErr w:type="gramEnd"/>
      <w:r w:rsidRPr="002C0CF9">
        <w:rPr>
          <w:rFonts w:ascii="Arial" w:hAnsi="Arial" w:cs="Arial"/>
        </w:rPr>
        <w:t xml:space="preserve"> de citações e intimações, nas modalidades previstas no Capítulo XIV do Regimento Interno deste Tribunal, </w:t>
      </w:r>
      <w:r w:rsidR="00F971C5">
        <w:rPr>
          <w:rFonts w:ascii="Arial" w:hAnsi="Arial" w:cs="Arial"/>
        </w:rPr>
        <w:t xml:space="preserve">compreendendo as medidas complementares necessárias para tanto, </w:t>
      </w:r>
      <w:r w:rsidR="00ED605D">
        <w:rPr>
          <w:rFonts w:ascii="Arial" w:hAnsi="Arial" w:cs="Arial"/>
        </w:rPr>
        <w:t xml:space="preserve">salientando-se que </w:t>
      </w:r>
      <w:r w:rsidR="00E074C6">
        <w:rPr>
          <w:rFonts w:ascii="Arial" w:hAnsi="Arial" w:cs="Arial"/>
        </w:rPr>
        <w:t xml:space="preserve">os </w:t>
      </w:r>
      <w:r w:rsidR="00FA3DAA">
        <w:rPr>
          <w:rFonts w:ascii="Arial" w:hAnsi="Arial" w:cs="Arial"/>
        </w:rPr>
        <w:t xml:space="preserve">ofícios e editais </w:t>
      </w:r>
      <w:r w:rsidR="00E074C6">
        <w:rPr>
          <w:rFonts w:ascii="Arial" w:hAnsi="Arial" w:cs="Arial"/>
        </w:rPr>
        <w:t>dirigidos aos chefes de Poder Estadual, Secretários de Estado e Procurador Geral de Justiça deverão ser assinados pelo relator, con</w:t>
      </w:r>
      <w:r w:rsidR="00FA3DAA">
        <w:rPr>
          <w:rFonts w:ascii="Arial" w:hAnsi="Arial" w:cs="Arial"/>
        </w:rPr>
        <w:t>forme previsto no</w:t>
      </w:r>
      <w:r w:rsidR="005411A0">
        <w:rPr>
          <w:rFonts w:ascii="Arial" w:hAnsi="Arial" w:cs="Arial"/>
        </w:rPr>
        <w:t xml:space="preserve"> §</w:t>
      </w:r>
      <w:r w:rsidR="00E7059C">
        <w:rPr>
          <w:rFonts w:ascii="Arial" w:hAnsi="Arial" w:cs="Arial"/>
        </w:rPr>
        <w:t xml:space="preserve"> </w:t>
      </w:r>
      <w:r w:rsidR="005411A0">
        <w:rPr>
          <w:rFonts w:ascii="Arial" w:hAnsi="Arial" w:cs="Arial"/>
        </w:rPr>
        <w:t>2º</w:t>
      </w:r>
      <w:r w:rsidRPr="002C0CF9">
        <w:rPr>
          <w:rFonts w:ascii="Arial" w:hAnsi="Arial" w:cs="Arial"/>
        </w:rPr>
        <w:t xml:space="preserve"> do art</w:t>
      </w:r>
      <w:r w:rsidR="00D301B9">
        <w:rPr>
          <w:rFonts w:ascii="Arial" w:hAnsi="Arial" w:cs="Arial"/>
        </w:rPr>
        <w:t>igo</w:t>
      </w:r>
      <w:r w:rsidRPr="002C0CF9">
        <w:rPr>
          <w:rFonts w:ascii="Arial" w:hAnsi="Arial" w:cs="Arial"/>
        </w:rPr>
        <w:t xml:space="preserve"> 32</w:t>
      </w:r>
      <w:r w:rsidR="00E074C6">
        <w:rPr>
          <w:rFonts w:ascii="Arial" w:hAnsi="Arial" w:cs="Arial"/>
        </w:rPr>
        <w:t xml:space="preserve"> do referido normativo</w:t>
      </w:r>
      <w:r w:rsidRPr="002C0CF9">
        <w:rPr>
          <w:rFonts w:ascii="Arial" w:hAnsi="Arial" w:cs="Arial"/>
        </w:rPr>
        <w:t>;</w:t>
      </w:r>
    </w:p>
    <w:p w:rsidR="002C0CF9" w:rsidRPr="002C0CF9" w:rsidRDefault="002C0CF9" w:rsidP="00E7059C">
      <w:pPr>
        <w:spacing w:before="120"/>
        <w:ind w:right="57" w:firstLine="1134"/>
        <w:jc w:val="both"/>
        <w:rPr>
          <w:rFonts w:ascii="Arial" w:hAnsi="Arial" w:cs="Arial"/>
        </w:rPr>
      </w:pPr>
      <w:r w:rsidRPr="002C0CF9">
        <w:rPr>
          <w:rFonts w:ascii="Arial" w:hAnsi="Arial" w:cs="Arial"/>
        </w:rPr>
        <w:t xml:space="preserve">II – </w:t>
      </w:r>
      <w:proofErr w:type="gramStart"/>
      <w:r w:rsidRPr="002C0CF9">
        <w:rPr>
          <w:rFonts w:ascii="Arial" w:hAnsi="Arial" w:cs="Arial"/>
        </w:rPr>
        <w:t>autorização e determinação</w:t>
      </w:r>
      <w:proofErr w:type="gramEnd"/>
      <w:r w:rsidRPr="002C0CF9">
        <w:rPr>
          <w:rFonts w:ascii="Arial" w:hAnsi="Arial" w:cs="Arial"/>
        </w:rPr>
        <w:t xml:space="preserve"> de diligências internas e externas, bem como o encaminhamento de processos para a manifestação do Ministério Público de Contas</w:t>
      </w:r>
      <w:r w:rsidR="006369BE">
        <w:rPr>
          <w:rFonts w:ascii="Arial" w:hAnsi="Arial" w:cs="Arial"/>
        </w:rPr>
        <w:t xml:space="preserve"> </w:t>
      </w:r>
      <w:r w:rsidR="00E074C6">
        <w:rPr>
          <w:rFonts w:ascii="Arial" w:hAnsi="Arial" w:cs="Arial"/>
        </w:rPr>
        <w:t>previst</w:t>
      </w:r>
      <w:r w:rsidR="006369BE">
        <w:rPr>
          <w:rFonts w:ascii="Arial" w:hAnsi="Arial" w:cs="Arial"/>
        </w:rPr>
        <w:t>a</w:t>
      </w:r>
      <w:r w:rsidR="00E074C6">
        <w:rPr>
          <w:rFonts w:ascii="Arial" w:hAnsi="Arial" w:cs="Arial"/>
        </w:rPr>
        <w:t xml:space="preserve"> </w:t>
      </w:r>
      <w:r w:rsidR="005411A0">
        <w:rPr>
          <w:rFonts w:ascii="Arial" w:hAnsi="Arial" w:cs="Arial"/>
        </w:rPr>
        <w:t>no art</w:t>
      </w:r>
      <w:r w:rsidR="00E074C6">
        <w:rPr>
          <w:rFonts w:ascii="Arial" w:hAnsi="Arial" w:cs="Arial"/>
        </w:rPr>
        <w:t>igo</w:t>
      </w:r>
      <w:r w:rsidR="005411A0">
        <w:rPr>
          <w:rFonts w:ascii="Arial" w:hAnsi="Arial" w:cs="Arial"/>
        </w:rPr>
        <w:t xml:space="preserve"> </w:t>
      </w:r>
      <w:r w:rsidR="009C547F">
        <w:rPr>
          <w:rFonts w:ascii="Arial" w:hAnsi="Arial" w:cs="Arial"/>
        </w:rPr>
        <w:t>149 da Lei Complementar n.º 113/2005</w:t>
      </w:r>
      <w:r w:rsidRPr="002C0CF9">
        <w:rPr>
          <w:rFonts w:ascii="Arial" w:hAnsi="Arial" w:cs="Arial"/>
        </w:rPr>
        <w:t xml:space="preserve">; </w:t>
      </w:r>
    </w:p>
    <w:p w:rsidR="005411A0" w:rsidRDefault="002C0CF9" w:rsidP="00E7059C">
      <w:pPr>
        <w:spacing w:before="120"/>
        <w:ind w:right="57" w:firstLine="1134"/>
        <w:jc w:val="both"/>
        <w:rPr>
          <w:rFonts w:ascii="Arial" w:hAnsi="Arial" w:cs="Arial"/>
        </w:rPr>
      </w:pPr>
      <w:r w:rsidRPr="002C0CF9">
        <w:rPr>
          <w:rFonts w:ascii="Arial" w:hAnsi="Arial" w:cs="Arial"/>
        </w:rPr>
        <w:t xml:space="preserve">III – autorização e determinação de providências atinentes à autuação de processos, </w:t>
      </w:r>
      <w:r w:rsidR="005411A0">
        <w:rPr>
          <w:rFonts w:ascii="Arial" w:hAnsi="Arial" w:cs="Arial"/>
        </w:rPr>
        <w:t xml:space="preserve">quanto à </w:t>
      </w:r>
      <w:r w:rsidR="005411A0" w:rsidRPr="002C0CF9">
        <w:rPr>
          <w:rFonts w:ascii="Arial" w:hAnsi="Arial" w:cs="Arial"/>
        </w:rPr>
        <w:t>correção de nomes de pa</w:t>
      </w:r>
      <w:r w:rsidR="005411A0">
        <w:rPr>
          <w:rFonts w:ascii="Arial" w:hAnsi="Arial" w:cs="Arial"/>
        </w:rPr>
        <w:t>rtes, interessados</w:t>
      </w:r>
      <w:r w:rsidR="00FA3DAA">
        <w:rPr>
          <w:rFonts w:ascii="Arial" w:hAnsi="Arial" w:cs="Arial"/>
        </w:rPr>
        <w:t xml:space="preserve"> e procuradores</w:t>
      </w:r>
      <w:r w:rsidR="005411A0">
        <w:rPr>
          <w:rFonts w:ascii="Arial" w:hAnsi="Arial" w:cs="Arial"/>
        </w:rPr>
        <w:t xml:space="preserve">, e à </w:t>
      </w:r>
      <w:r w:rsidR="005411A0" w:rsidRPr="002C0CF9">
        <w:rPr>
          <w:rFonts w:ascii="Arial" w:hAnsi="Arial" w:cs="Arial"/>
        </w:rPr>
        <w:t xml:space="preserve">inclusão e exclusão de nomes de </w:t>
      </w:r>
      <w:r w:rsidR="009C20C4">
        <w:rPr>
          <w:rFonts w:ascii="Arial" w:hAnsi="Arial" w:cs="Arial"/>
        </w:rPr>
        <w:t>procuradores, bem como à inclusão de partes e interessados que seja obrigatória em decorrência de normativos deste Tribunal</w:t>
      </w:r>
      <w:r w:rsidRPr="002C0CF9">
        <w:rPr>
          <w:rFonts w:ascii="Arial" w:hAnsi="Arial" w:cs="Arial"/>
        </w:rPr>
        <w:t>;</w:t>
      </w:r>
      <w:r w:rsidR="005411A0" w:rsidRPr="005411A0">
        <w:rPr>
          <w:rFonts w:ascii="Arial" w:hAnsi="Arial" w:cs="Arial"/>
        </w:rPr>
        <w:t xml:space="preserve"> </w:t>
      </w:r>
    </w:p>
    <w:p w:rsidR="005411A0" w:rsidRDefault="002C0CF9" w:rsidP="00E7059C">
      <w:pPr>
        <w:spacing w:before="120"/>
        <w:ind w:right="57" w:firstLine="1134"/>
        <w:jc w:val="both"/>
        <w:rPr>
          <w:rFonts w:ascii="Arial" w:hAnsi="Arial" w:cs="Arial"/>
        </w:rPr>
      </w:pPr>
      <w:r w:rsidRPr="002C0CF9">
        <w:rPr>
          <w:rFonts w:ascii="Arial" w:hAnsi="Arial" w:cs="Arial"/>
        </w:rPr>
        <w:lastRenderedPageBreak/>
        <w:t>IV –</w:t>
      </w:r>
      <w:r w:rsidR="005411A0">
        <w:rPr>
          <w:rFonts w:ascii="Arial" w:hAnsi="Arial" w:cs="Arial"/>
        </w:rPr>
        <w:t xml:space="preserve"> </w:t>
      </w:r>
      <w:proofErr w:type="gramStart"/>
      <w:r w:rsidRPr="002C0CF9">
        <w:rPr>
          <w:rFonts w:ascii="Arial" w:hAnsi="Arial" w:cs="Arial"/>
        </w:rPr>
        <w:t>deferimento</w:t>
      </w:r>
      <w:proofErr w:type="gramEnd"/>
      <w:r w:rsidRPr="002C0CF9">
        <w:rPr>
          <w:rFonts w:ascii="Arial" w:hAnsi="Arial" w:cs="Arial"/>
        </w:rPr>
        <w:t xml:space="preserve"> de requerimentos de prorrogação de prazo para exercício do contraditório e da ampla defesa e para cumprimento de diligências, </w:t>
      </w:r>
      <w:r w:rsidR="005411A0">
        <w:rPr>
          <w:rFonts w:ascii="Arial" w:hAnsi="Arial" w:cs="Arial"/>
        </w:rPr>
        <w:t>nos termos do que prevê o parágrafo único do artigo 389 do Regimento Interno</w:t>
      </w:r>
      <w:r w:rsidR="00E074C6">
        <w:rPr>
          <w:rFonts w:ascii="Arial" w:hAnsi="Arial" w:cs="Arial"/>
        </w:rPr>
        <w:t>, além de concessão de novos prazos para os mesmos fins</w:t>
      </w:r>
      <w:r w:rsidR="005411A0">
        <w:rPr>
          <w:rFonts w:ascii="Arial" w:hAnsi="Arial" w:cs="Arial"/>
        </w:rPr>
        <w:t xml:space="preserve">; </w:t>
      </w:r>
    </w:p>
    <w:p w:rsidR="002C0CF9" w:rsidRPr="002C0CF9" w:rsidRDefault="002C0CF9" w:rsidP="00D301B9">
      <w:pPr>
        <w:spacing w:line="360" w:lineRule="auto"/>
        <w:ind w:right="57" w:firstLine="1134"/>
        <w:jc w:val="both"/>
        <w:rPr>
          <w:rFonts w:ascii="Arial" w:hAnsi="Arial" w:cs="Arial"/>
        </w:rPr>
      </w:pPr>
      <w:r w:rsidRPr="002C0CF9">
        <w:rPr>
          <w:rFonts w:ascii="Arial" w:hAnsi="Arial" w:cs="Arial"/>
        </w:rPr>
        <w:t xml:space="preserve">V – </w:t>
      </w:r>
      <w:proofErr w:type="gramStart"/>
      <w:r w:rsidRPr="002C0CF9">
        <w:rPr>
          <w:rFonts w:ascii="Arial" w:hAnsi="Arial" w:cs="Arial"/>
        </w:rPr>
        <w:t>conhecimento</w:t>
      </w:r>
      <w:proofErr w:type="gramEnd"/>
      <w:r w:rsidRPr="002C0CF9">
        <w:rPr>
          <w:rFonts w:ascii="Arial" w:hAnsi="Arial" w:cs="Arial"/>
        </w:rPr>
        <w:t xml:space="preserve"> de alegações de defesa</w:t>
      </w:r>
      <w:r w:rsidR="00290AD4">
        <w:rPr>
          <w:rFonts w:ascii="Arial" w:hAnsi="Arial" w:cs="Arial"/>
        </w:rPr>
        <w:t xml:space="preserve">, </w:t>
      </w:r>
      <w:r w:rsidRPr="002C0CF9">
        <w:rPr>
          <w:rFonts w:ascii="Arial" w:hAnsi="Arial" w:cs="Arial"/>
        </w:rPr>
        <w:t xml:space="preserve">documentos </w:t>
      </w:r>
      <w:r w:rsidR="00290AD4">
        <w:rPr>
          <w:rFonts w:ascii="Arial" w:hAnsi="Arial" w:cs="Arial"/>
        </w:rPr>
        <w:t>e justificativas</w:t>
      </w:r>
      <w:r w:rsidRPr="002C0CF9">
        <w:rPr>
          <w:rFonts w:ascii="Arial" w:hAnsi="Arial" w:cs="Arial"/>
        </w:rPr>
        <w:t>;</w:t>
      </w:r>
    </w:p>
    <w:p w:rsidR="002C0CF9" w:rsidRDefault="002C0CF9" w:rsidP="00D301B9">
      <w:pPr>
        <w:spacing w:line="360" w:lineRule="auto"/>
        <w:ind w:right="57" w:firstLine="1134"/>
        <w:jc w:val="both"/>
        <w:rPr>
          <w:rFonts w:ascii="Arial" w:hAnsi="Arial" w:cs="Arial"/>
        </w:rPr>
      </w:pPr>
      <w:r w:rsidRPr="002C0CF9">
        <w:rPr>
          <w:rFonts w:ascii="Arial" w:hAnsi="Arial" w:cs="Arial"/>
        </w:rPr>
        <w:t>VI –</w:t>
      </w:r>
      <w:r w:rsidR="00290AD4">
        <w:rPr>
          <w:rFonts w:ascii="Arial" w:hAnsi="Arial" w:cs="Arial"/>
        </w:rPr>
        <w:t xml:space="preserve"> </w:t>
      </w:r>
      <w:proofErr w:type="gramStart"/>
      <w:r w:rsidRPr="002C0CF9">
        <w:rPr>
          <w:rFonts w:ascii="Arial" w:hAnsi="Arial" w:cs="Arial"/>
        </w:rPr>
        <w:t>deferimento</w:t>
      </w:r>
      <w:proofErr w:type="gramEnd"/>
      <w:r w:rsidRPr="002C0CF9">
        <w:rPr>
          <w:rFonts w:ascii="Arial" w:hAnsi="Arial" w:cs="Arial"/>
        </w:rPr>
        <w:t xml:space="preserve"> de pedidos de vistas e de cópias, nos termos r</w:t>
      </w:r>
      <w:r w:rsidR="009C547F">
        <w:rPr>
          <w:rFonts w:ascii="Arial" w:hAnsi="Arial" w:cs="Arial"/>
        </w:rPr>
        <w:t>egimentais;</w:t>
      </w:r>
    </w:p>
    <w:p w:rsidR="009C20C4" w:rsidRDefault="009C20C4" w:rsidP="00D301B9">
      <w:pPr>
        <w:spacing w:line="360" w:lineRule="auto"/>
        <w:ind w:right="57" w:firstLine="1134"/>
        <w:jc w:val="both"/>
        <w:rPr>
          <w:rFonts w:ascii="Arial" w:hAnsi="Arial" w:cs="Arial"/>
        </w:rPr>
      </w:pPr>
      <w:r w:rsidRPr="002C0CF9">
        <w:rPr>
          <w:rFonts w:ascii="Arial" w:hAnsi="Arial" w:cs="Arial"/>
        </w:rPr>
        <w:t>VI</w:t>
      </w:r>
      <w:r>
        <w:rPr>
          <w:rFonts w:ascii="Arial" w:hAnsi="Arial" w:cs="Arial"/>
        </w:rPr>
        <w:t>I</w:t>
      </w:r>
      <w:r w:rsidRPr="002C0CF9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2C0CF9">
        <w:rPr>
          <w:rFonts w:ascii="Arial" w:hAnsi="Arial" w:cs="Arial"/>
        </w:rPr>
        <w:t xml:space="preserve">deferimento de pedidos de </w:t>
      </w:r>
      <w:r>
        <w:rPr>
          <w:rFonts w:ascii="Arial" w:hAnsi="Arial" w:cs="Arial"/>
        </w:rPr>
        <w:t xml:space="preserve">desentranhamento </w:t>
      </w:r>
      <w:r w:rsidR="00D301B9">
        <w:rPr>
          <w:rFonts w:ascii="Arial" w:hAnsi="Arial" w:cs="Arial"/>
        </w:rPr>
        <w:t xml:space="preserve">de peças formulados </w:t>
      </w:r>
      <w:r>
        <w:rPr>
          <w:rFonts w:ascii="Arial" w:hAnsi="Arial" w:cs="Arial"/>
        </w:rPr>
        <w:t xml:space="preserve">pelas unidades e </w:t>
      </w:r>
      <w:r w:rsidR="00D301B9">
        <w:rPr>
          <w:rFonts w:ascii="Arial" w:hAnsi="Arial" w:cs="Arial"/>
        </w:rPr>
        <w:t>pelo Ministério Público de Contas concernentes a atos emitidos pelos mesmos</w:t>
      </w:r>
      <w:r>
        <w:rPr>
          <w:rFonts w:ascii="Arial" w:hAnsi="Arial" w:cs="Arial"/>
        </w:rPr>
        <w:t>;</w:t>
      </w:r>
    </w:p>
    <w:p w:rsidR="009C547F" w:rsidRPr="002C0CF9" w:rsidRDefault="009C547F" w:rsidP="00D301B9">
      <w:pPr>
        <w:spacing w:line="360" w:lineRule="auto"/>
        <w:ind w:right="57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VII</w:t>
      </w:r>
      <w:r w:rsidR="009C20C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– autorização e determinação de encerramento e arquivamento de processos apreciados por meio de Decisão Definitiva Monocrática</w:t>
      </w:r>
      <w:r w:rsidR="0097741F">
        <w:rPr>
          <w:rFonts w:ascii="Arial" w:hAnsi="Arial" w:cs="Arial"/>
        </w:rPr>
        <w:t xml:space="preserve"> e por A</w:t>
      </w:r>
      <w:r w:rsidR="00E074C6">
        <w:rPr>
          <w:rFonts w:ascii="Arial" w:hAnsi="Arial" w:cs="Arial"/>
        </w:rPr>
        <w:t>córdãos com trânsito em julgado</w:t>
      </w:r>
      <w:r>
        <w:rPr>
          <w:rFonts w:ascii="Arial" w:hAnsi="Arial" w:cs="Arial"/>
        </w:rPr>
        <w:t>.</w:t>
      </w:r>
    </w:p>
    <w:p w:rsidR="00290AD4" w:rsidRDefault="00290AD4" w:rsidP="00EF7A76">
      <w:pPr>
        <w:ind w:right="57" w:firstLine="1276"/>
        <w:jc w:val="both"/>
        <w:rPr>
          <w:rFonts w:ascii="Arial" w:hAnsi="Arial" w:cs="Arial"/>
          <w:b/>
        </w:rPr>
      </w:pPr>
    </w:p>
    <w:p w:rsidR="002C0CF9" w:rsidRPr="002C0CF9" w:rsidRDefault="002C0CF9" w:rsidP="00E7059C">
      <w:pPr>
        <w:spacing w:before="120"/>
        <w:ind w:right="57" w:firstLine="1134"/>
        <w:jc w:val="both"/>
        <w:rPr>
          <w:rFonts w:ascii="Arial" w:hAnsi="Arial" w:cs="Arial"/>
        </w:rPr>
      </w:pPr>
      <w:r w:rsidRPr="002C0CF9">
        <w:rPr>
          <w:rFonts w:ascii="Arial" w:hAnsi="Arial" w:cs="Arial"/>
          <w:b/>
        </w:rPr>
        <w:t>Art. 2º</w:t>
      </w:r>
      <w:r w:rsidRPr="002C0CF9">
        <w:rPr>
          <w:rFonts w:ascii="Arial" w:hAnsi="Arial" w:cs="Arial"/>
        </w:rPr>
        <w:t xml:space="preserve"> Fica revogada a Instrução de Serviço n</w:t>
      </w:r>
      <w:r w:rsidR="00E074C6">
        <w:rPr>
          <w:rFonts w:ascii="Arial" w:hAnsi="Arial" w:cs="Arial"/>
        </w:rPr>
        <w:t>.</w:t>
      </w:r>
      <w:r w:rsidRPr="002C0CF9">
        <w:rPr>
          <w:rFonts w:ascii="Arial" w:hAnsi="Arial" w:cs="Arial"/>
        </w:rPr>
        <w:t xml:space="preserve">º </w:t>
      </w:r>
      <w:r w:rsidR="00F971C5">
        <w:rPr>
          <w:rFonts w:ascii="Arial" w:hAnsi="Arial" w:cs="Arial"/>
        </w:rPr>
        <w:t>52</w:t>
      </w:r>
      <w:r w:rsidRPr="002C0CF9">
        <w:rPr>
          <w:rFonts w:ascii="Arial" w:hAnsi="Arial" w:cs="Arial"/>
        </w:rPr>
        <w:t>/20</w:t>
      </w:r>
      <w:r w:rsidR="00F971C5">
        <w:rPr>
          <w:rFonts w:ascii="Arial" w:hAnsi="Arial" w:cs="Arial"/>
        </w:rPr>
        <w:t>13</w:t>
      </w:r>
      <w:r w:rsidR="009C547F">
        <w:rPr>
          <w:rFonts w:ascii="Arial" w:hAnsi="Arial" w:cs="Arial"/>
        </w:rPr>
        <w:t xml:space="preserve"> deste</w:t>
      </w:r>
      <w:r w:rsidRPr="002C0CF9">
        <w:rPr>
          <w:rFonts w:ascii="Arial" w:hAnsi="Arial" w:cs="Arial"/>
        </w:rPr>
        <w:t xml:space="preserve"> Gabinete.</w:t>
      </w:r>
    </w:p>
    <w:p w:rsidR="002C0CF9" w:rsidRDefault="002C0CF9" w:rsidP="00E7059C">
      <w:pPr>
        <w:spacing w:before="120"/>
        <w:ind w:right="57" w:firstLine="1134"/>
        <w:jc w:val="both"/>
        <w:rPr>
          <w:rFonts w:ascii="Arial" w:hAnsi="Arial" w:cs="Arial"/>
        </w:rPr>
      </w:pPr>
      <w:r w:rsidRPr="002C0CF9">
        <w:rPr>
          <w:rFonts w:ascii="Arial" w:hAnsi="Arial" w:cs="Arial"/>
          <w:b/>
        </w:rPr>
        <w:t>Art. 3º</w:t>
      </w:r>
      <w:r w:rsidRPr="002C0CF9">
        <w:rPr>
          <w:rFonts w:ascii="Arial" w:hAnsi="Arial" w:cs="Arial"/>
        </w:rPr>
        <w:t xml:space="preserve"> Esta Instrução de Serviço entra em vigor na data de sua publicação.</w:t>
      </w:r>
      <w:bookmarkStart w:id="1" w:name="DataAtualExtenso"/>
    </w:p>
    <w:p w:rsidR="002C0CF9" w:rsidRDefault="002C0CF9" w:rsidP="00EF7A76">
      <w:pPr>
        <w:spacing w:before="360" w:after="120"/>
        <w:ind w:firstLine="1"/>
        <w:jc w:val="center"/>
        <w:rPr>
          <w:rFonts w:ascii="Arial" w:hAnsi="Arial" w:cs="Arial"/>
        </w:rPr>
      </w:pPr>
      <w:r w:rsidRPr="002C0CF9">
        <w:rPr>
          <w:rFonts w:ascii="Arial" w:hAnsi="Arial" w:cs="Arial"/>
        </w:rPr>
        <w:t xml:space="preserve">Curitiba, </w:t>
      </w:r>
      <w:bookmarkEnd w:id="1"/>
      <w:r w:rsidR="00576089">
        <w:rPr>
          <w:rFonts w:ascii="Arial" w:hAnsi="Arial" w:cs="Arial"/>
        </w:rPr>
        <w:t>10</w:t>
      </w:r>
      <w:r w:rsidR="00F971C5">
        <w:rPr>
          <w:rFonts w:ascii="Arial" w:hAnsi="Arial" w:cs="Arial"/>
        </w:rPr>
        <w:t xml:space="preserve"> de </w:t>
      </w:r>
      <w:r w:rsidR="00D301B9">
        <w:rPr>
          <w:rFonts w:ascii="Arial" w:hAnsi="Arial" w:cs="Arial"/>
        </w:rPr>
        <w:t>dezembro</w:t>
      </w:r>
      <w:r w:rsidR="00F971C5">
        <w:rPr>
          <w:rFonts w:ascii="Arial" w:hAnsi="Arial" w:cs="Arial"/>
        </w:rPr>
        <w:t xml:space="preserve"> de 2013</w:t>
      </w:r>
      <w:r w:rsidR="00EF7A76">
        <w:rPr>
          <w:rFonts w:ascii="Arial" w:hAnsi="Arial" w:cs="Arial"/>
        </w:rPr>
        <w:t>.</w:t>
      </w:r>
    </w:p>
    <w:p w:rsidR="002C0CF9" w:rsidRPr="002C0CF9" w:rsidRDefault="002C0CF9" w:rsidP="00EF7A76">
      <w:pPr>
        <w:ind w:firstLine="1"/>
        <w:jc w:val="center"/>
        <w:rPr>
          <w:rFonts w:ascii="Arial" w:hAnsi="Arial" w:cs="Arial"/>
        </w:rPr>
      </w:pPr>
    </w:p>
    <w:p w:rsidR="002C0CF9" w:rsidRPr="002C0CF9" w:rsidRDefault="002C0CF9" w:rsidP="00EF7A76">
      <w:pPr>
        <w:spacing w:before="360"/>
        <w:ind w:firstLine="1"/>
        <w:jc w:val="center"/>
        <w:rPr>
          <w:rFonts w:ascii="Arial" w:hAnsi="Arial" w:cs="Arial"/>
          <w:b/>
          <w:noProof/>
        </w:rPr>
      </w:pPr>
      <w:r w:rsidRPr="002C0CF9">
        <w:rPr>
          <w:rFonts w:ascii="Arial" w:hAnsi="Arial" w:cs="Arial"/>
          <w:b/>
          <w:noProof/>
        </w:rPr>
        <w:t>THIAGO BARBOSA CORDEIRO</w:t>
      </w:r>
    </w:p>
    <w:p w:rsidR="002C0CF9" w:rsidRPr="002C0CF9" w:rsidRDefault="002C0CF9" w:rsidP="00EF7A7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"/>
        <w:jc w:val="center"/>
      </w:pPr>
      <w:r w:rsidRPr="002C0CF9">
        <w:rPr>
          <w:noProof/>
        </w:rPr>
        <w:t>Auditor</w:t>
      </w:r>
    </w:p>
    <w:sectPr w:rsidR="002C0CF9" w:rsidRPr="002C0C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521" w:rsidRDefault="00C24521" w:rsidP="002C0CF9">
      <w:r>
        <w:separator/>
      </w:r>
    </w:p>
  </w:endnote>
  <w:endnote w:type="continuationSeparator" w:id="0">
    <w:p w:rsidR="00C24521" w:rsidRDefault="00C24521" w:rsidP="002C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521" w:rsidRDefault="00C24521" w:rsidP="002C0CF9">
      <w:r>
        <w:separator/>
      </w:r>
    </w:p>
  </w:footnote>
  <w:footnote w:type="continuationSeparator" w:id="0">
    <w:p w:rsidR="00C24521" w:rsidRDefault="00C24521" w:rsidP="002C0CF9">
      <w:r>
        <w:continuationSeparator/>
      </w:r>
    </w:p>
  </w:footnote>
  <w:footnote w:id="1">
    <w:p w:rsidR="00F70FBD" w:rsidRDefault="00F70FBD" w:rsidP="00F70FBD">
      <w:pPr>
        <w:pStyle w:val="Textodenotaderodap"/>
        <w:rPr>
          <w:rFonts w:ascii="Arial" w:hAnsi="Arial" w:cs="Arial"/>
          <w:b/>
        </w:rPr>
      </w:pPr>
      <w:r w:rsidRPr="00F70FBD">
        <w:rPr>
          <w:rStyle w:val="Refdenotaderodap"/>
        </w:rPr>
        <w:sym w:font="Symbol" w:char="F02A"/>
      </w:r>
      <w:r>
        <w:t xml:space="preserve"> </w:t>
      </w:r>
      <w:r w:rsidRPr="001F7238">
        <w:rPr>
          <w:rFonts w:ascii="Arial" w:hAnsi="Arial" w:cs="Arial"/>
          <w:b/>
        </w:rPr>
        <w:t>Notas da Biblioteca:</w:t>
      </w:r>
    </w:p>
    <w:p w:rsidR="00F70FBD" w:rsidRPr="00F70FBD" w:rsidRDefault="00F70FBD" w:rsidP="00F70FBD">
      <w:pPr>
        <w:pStyle w:val="Textodenotaderodap"/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F70FBD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F70FBD">
          <w:rPr>
            <w:rStyle w:val="Hyperlink"/>
            <w:rFonts w:ascii="Arial" w:hAnsi="Arial" w:cs="Arial"/>
          </w:rPr>
          <w:t>Diário Eletrônico do Tribunal de Contas do Estado do Paraná, Curitiba, PR, n. 787, 12 dez. 2013, p. 43</w:t>
        </w:r>
      </w:hyperlink>
      <w:r w:rsidRPr="00F70FBD">
        <w:rPr>
          <w:rFonts w:ascii="Arial" w:hAnsi="Arial" w:cs="Arial"/>
        </w:rPr>
        <w:t>.</w:t>
      </w:r>
    </w:p>
    <w:p w:rsidR="00F70FBD" w:rsidRDefault="00F70FBD" w:rsidP="00F70FBD">
      <w:pPr>
        <w:pStyle w:val="Textodenotaderodap"/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F70FBD">
        <w:rPr>
          <w:rStyle w:val="Forte"/>
          <w:rFonts w:ascii="Arial" w:hAnsi="Arial" w:cs="Arial"/>
          <w:color w:val="FF0000"/>
        </w:rPr>
        <w:t>Revogada</w:t>
      </w:r>
      <w:r w:rsidRPr="00F70FBD">
        <w:rPr>
          <w:rStyle w:val="Forte"/>
          <w:rFonts w:ascii="Arial" w:hAnsi="Arial" w:cs="Arial"/>
        </w:rPr>
        <w:t xml:space="preserve"> por</w:t>
      </w:r>
      <w:r w:rsidRPr="00F70FBD">
        <w:rPr>
          <w:rFonts w:ascii="Arial" w:hAnsi="Arial" w:cs="Arial"/>
        </w:rPr>
        <w:t>: </w:t>
      </w:r>
      <w:hyperlink r:id="rId2" w:history="1">
        <w:r w:rsidRPr="00F70FBD">
          <w:rPr>
            <w:rStyle w:val="Hyperlink"/>
            <w:rFonts w:ascii="Arial" w:hAnsi="Arial" w:cs="Arial"/>
          </w:rPr>
          <w:t>Instrução de Serviço n. 80, de 5 de setembro de 2014</w:t>
        </w:r>
      </w:hyperlink>
      <w:r w:rsidRPr="00F70FBD">
        <w:rPr>
          <w:rFonts w:ascii="Arial" w:hAnsi="Arial" w:cs="Arial"/>
        </w:rPr>
        <w:t>.</w:t>
      </w:r>
    </w:p>
    <w:p w:rsidR="00F70FBD" w:rsidRPr="00F70FBD" w:rsidRDefault="00F70FBD" w:rsidP="00F70FBD">
      <w:pPr>
        <w:pStyle w:val="Textodenotaderodap"/>
        <w:ind w:left="284"/>
        <w:rPr>
          <w:rFonts w:ascii="Arial" w:hAnsi="Arial" w:cs="Arial"/>
        </w:rPr>
      </w:pPr>
    </w:p>
  </w:footnote>
  <w:footnote w:id="2">
    <w:p w:rsidR="002C0CF9" w:rsidRPr="00281B4A" w:rsidRDefault="002C0CF9" w:rsidP="002C0CF9">
      <w:pPr>
        <w:pStyle w:val="Numera10"/>
        <w:numPr>
          <w:ilvl w:val="0"/>
          <w:numId w:val="0"/>
        </w:numPr>
        <w:spacing w:before="0" w:after="0"/>
        <w:rPr>
          <w:sz w:val="20"/>
          <w:szCs w:val="20"/>
        </w:rPr>
      </w:pPr>
      <w:r w:rsidRPr="00FA3DAA">
        <w:rPr>
          <w:rStyle w:val="Refdenotaderodap"/>
        </w:rPr>
        <w:footnoteRef/>
      </w:r>
      <w:r w:rsidRPr="00FA3DAA">
        <w:t xml:space="preserve"> </w:t>
      </w:r>
      <w:r w:rsidRPr="00281B4A">
        <w:rPr>
          <w:sz w:val="20"/>
          <w:szCs w:val="20"/>
        </w:rPr>
        <w:t>Art. 32. Como Relator, compete ao Conselheiro:</w:t>
      </w:r>
    </w:p>
    <w:p w:rsidR="002C0CF9" w:rsidRPr="00281B4A" w:rsidRDefault="002C0CF9" w:rsidP="002C0CF9">
      <w:pPr>
        <w:pStyle w:val="Numera10"/>
        <w:numPr>
          <w:ilvl w:val="0"/>
          <w:numId w:val="0"/>
        </w:numPr>
        <w:spacing w:before="0" w:after="0"/>
        <w:rPr>
          <w:sz w:val="20"/>
          <w:szCs w:val="20"/>
        </w:rPr>
      </w:pPr>
      <w:r w:rsidRPr="00281B4A">
        <w:rPr>
          <w:sz w:val="20"/>
          <w:szCs w:val="20"/>
        </w:rPr>
        <w:t>(...)</w:t>
      </w:r>
    </w:p>
    <w:p w:rsidR="002C0CF9" w:rsidRPr="00281B4A" w:rsidRDefault="002C0CF9" w:rsidP="002C0CF9">
      <w:pPr>
        <w:pStyle w:val="Numera10"/>
        <w:numPr>
          <w:ilvl w:val="0"/>
          <w:numId w:val="0"/>
        </w:numPr>
        <w:spacing w:before="0" w:after="0"/>
        <w:rPr>
          <w:sz w:val="20"/>
          <w:szCs w:val="20"/>
        </w:rPr>
      </w:pPr>
      <w:r w:rsidRPr="00281B4A">
        <w:rPr>
          <w:sz w:val="20"/>
          <w:szCs w:val="20"/>
        </w:rPr>
        <w:t xml:space="preserve">§ 1º Os despachos de mero expediente poderão ser delegados, por ato do Relator, ao Gabinete do Conselheiro ou do Auditor, por ato próprio, em que serão especificadas as hipóteses de delegação e o servidor autorizado a exará-los.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5770" w:rsidRDefault="00EF7A76" w:rsidP="00281B4A">
    <w:pPr>
      <w:pStyle w:val="Cabealho"/>
      <w:spacing w:before="360" w:after="120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logo TC colorido - medio" style="position:absolute;left:0;text-align:left;margin-left:-20.5pt;margin-top:8.3pt;width:47.7pt;height:56.1pt;z-index:251657728;visibility:visible">
          <v:imagedata r:id="rId1" o:title="logo TC colorido - medio"/>
          <w10:wrap type="square"/>
        </v:shape>
      </w:pict>
    </w:r>
    <w:r w:rsidR="00845770">
      <w:rPr>
        <w:rFonts w:ascii="Arial" w:hAnsi="Arial" w:cs="Arial"/>
        <w:b/>
        <w:sz w:val="30"/>
        <w:szCs w:val="30"/>
      </w:rPr>
      <w:t>TRIBUNAL DE CONTAS DO ESTADO DO PARANÁ</w:t>
    </w:r>
  </w:p>
  <w:p w:rsidR="00F70FBD" w:rsidRDefault="00F70FBD" w:rsidP="00281B4A">
    <w:pPr>
      <w:pStyle w:val="Cabealho"/>
      <w:spacing w:before="360" w:after="120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142AB"/>
    <w:multiLevelType w:val="hybridMultilevel"/>
    <w:tmpl w:val="99EC98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233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2" w15:restartNumberingAfterBreak="0">
    <w:nsid w:val="5E65165E"/>
    <w:multiLevelType w:val="hybridMultilevel"/>
    <w:tmpl w:val="A1F23F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0CF9"/>
    <w:rsid w:val="00011850"/>
    <w:rsid w:val="000266DB"/>
    <w:rsid w:val="0017388A"/>
    <w:rsid w:val="00281B4A"/>
    <w:rsid w:val="00286D65"/>
    <w:rsid w:val="00290AD4"/>
    <w:rsid w:val="002C0CF9"/>
    <w:rsid w:val="002C10A7"/>
    <w:rsid w:val="00387B3B"/>
    <w:rsid w:val="0047572B"/>
    <w:rsid w:val="005411A0"/>
    <w:rsid w:val="00576089"/>
    <w:rsid w:val="005A1A1D"/>
    <w:rsid w:val="006006B7"/>
    <w:rsid w:val="006369BE"/>
    <w:rsid w:val="006C160F"/>
    <w:rsid w:val="00845770"/>
    <w:rsid w:val="008A76BC"/>
    <w:rsid w:val="0097741F"/>
    <w:rsid w:val="009C20C4"/>
    <w:rsid w:val="009C31D9"/>
    <w:rsid w:val="009C547F"/>
    <w:rsid w:val="00A579BF"/>
    <w:rsid w:val="00B370E3"/>
    <w:rsid w:val="00B75719"/>
    <w:rsid w:val="00C24521"/>
    <w:rsid w:val="00C5681A"/>
    <w:rsid w:val="00C61E66"/>
    <w:rsid w:val="00D0611D"/>
    <w:rsid w:val="00D301B9"/>
    <w:rsid w:val="00D44A4B"/>
    <w:rsid w:val="00D8494E"/>
    <w:rsid w:val="00E074C6"/>
    <w:rsid w:val="00E7059C"/>
    <w:rsid w:val="00E82867"/>
    <w:rsid w:val="00ED605D"/>
    <w:rsid w:val="00EE082A"/>
    <w:rsid w:val="00EF7A76"/>
    <w:rsid w:val="00F35EA2"/>
    <w:rsid w:val="00F706F0"/>
    <w:rsid w:val="00F70FBD"/>
    <w:rsid w:val="00F971C5"/>
    <w:rsid w:val="00FA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858B1F7-9285-416C-B4FB-A5B8FACB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0CF9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nhideWhenUsed/>
    <w:rsid w:val="002C0CF9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customStyle="1" w:styleId="Ementa">
    <w:name w:val="Ementa"/>
    <w:basedOn w:val="Normal"/>
    <w:rsid w:val="002C0CF9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2C0CF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2C0CF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character" w:customStyle="1" w:styleId="Numera10CharChar">
    <w:name w:val="Numera10 Char Char"/>
    <w:link w:val="Numera10"/>
    <w:locked/>
    <w:rsid w:val="002C0CF9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2C0CF9"/>
    <w:pPr>
      <w:numPr>
        <w:numId w:val="1"/>
      </w:numPr>
      <w:spacing w:before="120" w:after="120"/>
      <w:jc w:val="both"/>
    </w:pPr>
    <w:rPr>
      <w:rFonts w:ascii="Arial" w:eastAsia="Calibri" w:hAnsi="Arial" w:cs="Arial"/>
      <w:sz w:val="22"/>
      <w:lang w:eastAsia="en-US"/>
    </w:rPr>
  </w:style>
  <w:style w:type="character" w:styleId="Refdenotaderodap">
    <w:name w:val="footnote reference"/>
    <w:rsid w:val="002C0CF9"/>
    <w:rPr>
      <w:vertAlign w:val="superscript"/>
    </w:rPr>
  </w:style>
  <w:style w:type="paragraph" w:styleId="Textodenotaderodap">
    <w:name w:val="footnote text"/>
    <w:basedOn w:val="Normal"/>
    <w:link w:val="TextodenotaderodapChar"/>
    <w:rsid w:val="002C0CF9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2C0CF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457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457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4577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4577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F70FBD"/>
    <w:rPr>
      <w:color w:val="004C78"/>
      <w:u w:val="single"/>
    </w:rPr>
  </w:style>
  <w:style w:type="character" w:styleId="Forte">
    <w:name w:val="Strong"/>
    <w:uiPriority w:val="22"/>
    <w:qFormat/>
    <w:rsid w:val="00F70FB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70FBD"/>
    <w:pPr>
      <w:spacing w:before="100" w:beforeAutospacing="1" w:after="180" w:line="3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3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80-de-5-de-setembro-de-2014/260871/area/10" TargetMode="External"/><Relationship Id="rId1" Type="http://schemas.openxmlformats.org/officeDocument/2006/relationships/hyperlink" Target="http://www1.tce.pr.gov.br/multimidia/2013/12/pdf/0025348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82EE1-F568-4AE2-B62E-0576405FD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Links>
    <vt:vector size="12" baseType="variant">
      <vt:variant>
        <vt:i4>5439563</vt:i4>
      </vt:variant>
      <vt:variant>
        <vt:i4>3</vt:i4>
      </vt:variant>
      <vt:variant>
        <vt:i4>0</vt:i4>
      </vt:variant>
      <vt:variant>
        <vt:i4>5</vt:i4>
      </vt:variant>
      <vt:variant>
        <vt:lpwstr>http://www1.tce.pr.gov.br/conteudo/instrucao-de-servico-n-80-de-5-de-setembro-de-2014/260871/area/10</vt:lpwstr>
      </vt:variant>
      <vt:variant>
        <vt:lpwstr/>
      </vt:variant>
      <vt:variant>
        <vt:i4>4456534</vt:i4>
      </vt:variant>
      <vt:variant>
        <vt:i4>0</vt:i4>
      </vt:variant>
      <vt:variant>
        <vt:i4>0</vt:i4>
      </vt:variant>
      <vt:variant>
        <vt:i4>5</vt:i4>
      </vt:variant>
      <vt:variant>
        <vt:lpwstr>http://www1.tce.pr.gov.br/multimidia/2013/12/pdf/00253485.pdf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Jerusa Helena Piaz Klock</dc:creator>
  <cp:keywords/>
  <cp:lastModifiedBy>Yarusya Rohrich da Fonseca</cp:lastModifiedBy>
  <cp:revision>2</cp:revision>
  <cp:lastPrinted>2013-12-02T13:42:00Z</cp:lastPrinted>
  <dcterms:created xsi:type="dcterms:W3CDTF">2019-02-13T13:02:00Z</dcterms:created>
  <dcterms:modified xsi:type="dcterms:W3CDTF">2019-02-13T13:02:00Z</dcterms:modified>
</cp:coreProperties>
</file>