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8CE2" w14:textId="4FB73EB3" w:rsidR="0075420F" w:rsidRPr="00D93D4C" w:rsidRDefault="0075420F" w:rsidP="00D93D4C">
      <w:pPr>
        <w:spacing w:before="120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93D4C">
        <w:rPr>
          <w:rFonts w:ascii="Arial" w:hAnsi="Arial" w:cs="Arial"/>
          <w:b/>
          <w:bCs/>
          <w:sz w:val="28"/>
          <w:szCs w:val="28"/>
        </w:rPr>
        <w:t>INSTRUÇÃO DE SERVIÇO Nº</w:t>
      </w:r>
      <w:r w:rsidR="008B09F8" w:rsidRPr="00D93D4C">
        <w:rPr>
          <w:rFonts w:ascii="Arial" w:hAnsi="Arial" w:cs="Arial"/>
          <w:b/>
          <w:bCs/>
          <w:sz w:val="28"/>
          <w:szCs w:val="28"/>
        </w:rPr>
        <w:t xml:space="preserve"> </w:t>
      </w:r>
      <w:r w:rsidR="00A32B9F" w:rsidRPr="00D93D4C">
        <w:rPr>
          <w:rFonts w:ascii="Arial" w:hAnsi="Arial" w:cs="Arial"/>
          <w:b/>
          <w:bCs/>
          <w:sz w:val="28"/>
          <w:szCs w:val="28"/>
        </w:rPr>
        <w:t>145</w:t>
      </w:r>
      <w:r w:rsidRPr="00D93D4C">
        <w:rPr>
          <w:rFonts w:ascii="Arial" w:hAnsi="Arial" w:cs="Arial"/>
          <w:b/>
          <w:bCs/>
          <w:sz w:val="28"/>
          <w:szCs w:val="28"/>
        </w:rPr>
        <w:t>/2021</w:t>
      </w:r>
      <w:r w:rsidR="00586630" w:rsidRPr="00586630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14:paraId="1F697CF1" w14:textId="77777777" w:rsidR="0075420F" w:rsidRPr="00586630" w:rsidRDefault="0075420F" w:rsidP="00586630">
      <w:pPr>
        <w:spacing w:before="360" w:after="360" w:line="240" w:lineRule="auto"/>
        <w:ind w:left="4536"/>
        <w:rPr>
          <w:rFonts w:ascii="Arial" w:hAnsi="Arial"/>
          <w:bCs/>
          <w:i/>
          <w:sz w:val="24"/>
          <w:szCs w:val="24"/>
        </w:rPr>
      </w:pPr>
      <w:r w:rsidRPr="00586630">
        <w:rPr>
          <w:rFonts w:ascii="Arial" w:hAnsi="Arial"/>
          <w:bCs/>
          <w:i/>
          <w:sz w:val="24"/>
          <w:szCs w:val="24"/>
        </w:rPr>
        <w:t>Altera a Instrução de Serviço nº 86, de 16 de outubro de 2014.</w:t>
      </w:r>
    </w:p>
    <w:p w14:paraId="2CEADDED" w14:textId="77777777" w:rsidR="0075420F" w:rsidRPr="004C408D" w:rsidRDefault="0075420F" w:rsidP="0075420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C408D">
        <w:rPr>
          <w:rFonts w:ascii="Arial" w:hAnsi="Arial" w:cs="Arial"/>
          <w:b/>
          <w:bCs/>
          <w:sz w:val="24"/>
          <w:szCs w:val="24"/>
        </w:rPr>
        <w:t>O PRESIDENTE DO TRIBUNAL DE CONTAS DO ESTADO DO PARANÁ</w:t>
      </w:r>
      <w:r w:rsidRPr="004C408D">
        <w:rPr>
          <w:rFonts w:ascii="Arial" w:hAnsi="Arial" w:cs="Arial"/>
          <w:sz w:val="24"/>
          <w:szCs w:val="24"/>
        </w:rPr>
        <w:t>, no uso das atribuições contidas no art. 122, inc</w:t>
      </w:r>
      <w:r w:rsidRPr="004C408D">
        <w:rPr>
          <w:rFonts w:ascii="Arial" w:hAnsi="Arial" w:cs="Arial"/>
        </w:rPr>
        <w:t>iso</w:t>
      </w:r>
      <w:r w:rsidRPr="004C408D">
        <w:rPr>
          <w:rFonts w:ascii="Arial" w:hAnsi="Arial" w:cs="Arial"/>
          <w:sz w:val="24"/>
          <w:szCs w:val="24"/>
        </w:rPr>
        <w:t xml:space="preserve"> I, da Lei Complementar nº 113, </w:t>
      </w:r>
      <w:r w:rsidRPr="004C408D">
        <w:rPr>
          <w:rFonts w:ascii="Arial" w:hAnsi="Arial" w:cs="Arial"/>
          <w:sz w:val="24"/>
        </w:rPr>
        <w:t>de 15 de dezembro de 2005</w:t>
      </w:r>
      <w:r w:rsidRPr="004C408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</w:rPr>
        <w:t>n</w:t>
      </w:r>
      <w:r w:rsidRPr="004C408D">
        <w:rPr>
          <w:rFonts w:ascii="Arial" w:hAnsi="Arial" w:cs="Arial"/>
          <w:sz w:val="24"/>
          <w:szCs w:val="24"/>
        </w:rPr>
        <w:t>o art. 16, inc</w:t>
      </w:r>
      <w:r w:rsidRPr="004C408D">
        <w:rPr>
          <w:rFonts w:ascii="Arial" w:hAnsi="Arial" w:cs="Arial"/>
        </w:rPr>
        <w:t>iso</w:t>
      </w:r>
      <w:r>
        <w:rPr>
          <w:rFonts w:ascii="Arial" w:hAnsi="Arial" w:cs="Arial"/>
        </w:rPr>
        <w:t>s</w:t>
      </w:r>
      <w:r w:rsidRPr="004C40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XXVII e </w:t>
      </w:r>
      <w:r w:rsidRPr="004C408D">
        <w:rPr>
          <w:rFonts w:ascii="Arial" w:hAnsi="Arial" w:cs="Arial"/>
          <w:sz w:val="24"/>
          <w:szCs w:val="24"/>
        </w:rPr>
        <w:t xml:space="preserve">XXXIII, e </w:t>
      </w:r>
      <w:r>
        <w:rPr>
          <w:rFonts w:ascii="Arial" w:hAnsi="Arial" w:cs="Arial"/>
        </w:rPr>
        <w:t xml:space="preserve">com base no art. </w:t>
      </w:r>
      <w:r w:rsidRPr="004C408D">
        <w:rPr>
          <w:rFonts w:ascii="Arial" w:hAnsi="Arial" w:cs="Arial"/>
          <w:sz w:val="24"/>
          <w:szCs w:val="24"/>
        </w:rPr>
        <w:t>197</w:t>
      </w:r>
      <w:r>
        <w:rPr>
          <w:rFonts w:ascii="Arial" w:hAnsi="Arial" w:cs="Arial"/>
        </w:rPr>
        <w:t>, ambos</w:t>
      </w:r>
      <w:r w:rsidRPr="004C408D">
        <w:rPr>
          <w:rFonts w:ascii="Arial" w:hAnsi="Arial" w:cs="Arial"/>
          <w:sz w:val="24"/>
          <w:szCs w:val="24"/>
        </w:rPr>
        <w:t xml:space="preserve"> do Regimento Interno, e considerando o Procedimento Administrativo nº</w:t>
      </w:r>
      <w:r w:rsidR="00A32B9F">
        <w:rPr>
          <w:rFonts w:ascii="Arial" w:hAnsi="Arial" w:cs="Arial"/>
          <w:sz w:val="24"/>
          <w:szCs w:val="24"/>
        </w:rPr>
        <w:t xml:space="preserve"> 485497/21,</w:t>
      </w:r>
    </w:p>
    <w:p w14:paraId="4950A5AA" w14:textId="77777777" w:rsidR="0075420F" w:rsidRPr="00F5390E" w:rsidRDefault="0075420F" w:rsidP="0075420F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24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F5390E">
        <w:rPr>
          <w:rFonts w:ascii="Arial" w:hAnsi="Arial" w:cs="Arial"/>
          <w:b/>
          <w:bCs/>
          <w:sz w:val="24"/>
          <w:szCs w:val="24"/>
        </w:rPr>
        <w:t>RESOLVE:</w:t>
      </w:r>
    </w:p>
    <w:p w14:paraId="35F0390F" w14:textId="77777777" w:rsidR="0075420F" w:rsidRPr="00F5390E" w:rsidRDefault="0075420F" w:rsidP="0075420F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/>
          <w:bCs/>
          <w:sz w:val="24"/>
          <w:szCs w:val="24"/>
        </w:rPr>
      </w:pPr>
      <w:r w:rsidRPr="00F5390E">
        <w:rPr>
          <w:rFonts w:ascii="Arial" w:hAnsi="Arial"/>
          <w:b/>
          <w:bCs/>
          <w:sz w:val="24"/>
          <w:szCs w:val="24"/>
        </w:rPr>
        <w:t xml:space="preserve">Art. 1º </w:t>
      </w:r>
      <w:r w:rsidRPr="00D659FC">
        <w:rPr>
          <w:rFonts w:ascii="Arial" w:hAnsi="Arial"/>
        </w:rPr>
        <w:t>A</w:t>
      </w:r>
      <w:r w:rsidRPr="00F5390E">
        <w:rPr>
          <w:rFonts w:ascii="Arial" w:hAnsi="Arial"/>
          <w:bCs/>
          <w:sz w:val="24"/>
          <w:szCs w:val="24"/>
        </w:rPr>
        <w:t xml:space="preserve"> Instrução de Serviço nº 86</w:t>
      </w:r>
      <w:r>
        <w:rPr>
          <w:rFonts w:ascii="Arial" w:hAnsi="Arial"/>
          <w:bCs/>
        </w:rPr>
        <w:t xml:space="preserve">, </w:t>
      </w:r>
      <w:r w:rsidRPr="00850940">
        <w:rPr>
          <w:rFonts w:ascii="Arial" w:hAnsi="Arial"/>
          <w:bCs/>
          <w:iCs/>
        </w:rPr>
        <w:t>de 16 de outubro de 2014,</w:t>
      </w:r>
      <w:r w:rsidRPr="00F5390E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</w:rPr>
        <w:t>fica acrescida do art. 10-A e §§ 1º ao 4º, com</w:t>
      </w:r>
      <w:r w:rsidRPr="00F5390E">
        <w:rPr>
          <w:rFonts w:ascii="Arial" w:hAnsi="Arial" w:cs="Arial"/>
          <w:sz w:val="24"/>
          <w:szCs w:val="24"/>
        </w:rPr>
        <w:t xml:space="preserve"> a seguinte redação</w:t>
      </w:r>
      <w:r w:rsidRPr="00F5390E">
        <w:rPr>
          <w:rFonts w:ascii="Arial" w:hAnsi="Arial"/>
          <w:bCs/>
          <w:sz w:val="24"/>
          <w:szCs w:val="24"/>
        </w:rPr>
        <w:t>:</w:t>
      </w:r>
    </w:p>
    <w:p w14:paraId="5BC9C72B" w14:textId="77777777" w:rsidR="0075420F" w:rsidRPr="00D659FC" w:rsidRDefault="0075420F" w:rsidP="0075420F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/>
          <w:bCs/>
        </w:rPr>
      </w:pPr>
      <w:r w:rsidRPr="00D659FC">
        <w:rPr>
          <w:rFonts w:ascii="Arial" w:hAnsi="Arial"/>
          <w:bCs/>
        </w:rPr>
        <w:t>“</w:t>
      </w:r>
      <w:r w:rsidRPr="00D659FC">
        <w:rPr>
          <w:rFonts w:ascii="Arial" w:hAnsi="Arial"/>
          <w:bCs/>
          <w:u w:val="single"/>
        </w:rPr>
        <w:t>Art. 10</w:t>
      </w:r>
      <w:r w:rsidR="00A32B9F">
        <w:rPr>
          <w:rFonts w:ascii="Arial" w:hAnsi="Arial"/>
          <w:bCs/>
          <w:u w:val="single"/>
        </w:rPr>
        <w:t>-</w:t>
      </w:r>
      <w:r w:rsidRPr="00D659FC">
        <w:rPr>
          <w:rFonts w:ascii="Arial" w:hAnsi="Arial"/>
          <w:bCs/>
          <w:u w:val="single"/>
        </w:rPr>
        <w:t>A</w:t>
      </w:r>
      <w:r w:rsidR="00270169">
        <w:rPr>
          <w:rFonts w:ascii="Arial" w:hAnsi="Arial"/>
          <w:bCs/>
          <w:u w:val="single"/>
        </w:rPr>
        <w:t>.</w:t>
      </w:r>
      <w:r w:rsidRPr="00D659FC">
        <w:rPr>
          <w:rFonts w:ascii="Arial" w:hAnsi="Arial"/>
          <w:bCs/>
        </w:rPr>
        <w:t xml:space="preserve"> É permitida a entrada de pessoas acompanhadas de animais domésticos e de acompanhamento nas dependências deste Tribunal de Contas, mediante autorização do gestor da área que será acessada, que estabelecerá as condições específicas para a entrada.</w:t>
      </w:r>
    </w:p>
    <w:p w14:paraId="66EAAAD7" w14:textId="77777777" w:rsidR="0075420F" w:rsidRPr="00D659FC" w:rsidRDefault="0075420F" w:rsidP="0075420F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/>
          <w:bCs/>
        </w:rPr>
      </w:pPr>
      <w:r w:rsidRPr="00D659FC">
        <w:rPr>
          <w:rFonts w:ascii="Arial" w:hAnsi="Arial"/>
          <w:bCs/>
        </w:rPr>
        <w:t>§ 1º Em qualquer hipótese, os animais deverão estar com a vacinação em dia, em boas condições de higiene e com guias, caixa ou outro equipamento de proteção e controle, adequado à espécie e ao porte do animal.</w:t>
      </w:r>
    </w:p>
    <w:p w14:paraId="53A8DB5D" w14:textId="77777777" w:rsidR="0075420F" w:rsidRPr="00D659FC" w:rsidRDefault="0075420F" w:rsidP="0075420F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/>
          <w:bCs/>
        </w:rPr>
      </w:pPr>
      <w:bookmarkStart w:id="4" w:name="_Hlk79076414"/>
      <w:r w:rsidRPr="00D659FC">
        <w:rPr>
          <w:rFonts w:ascii="Arial" w:hAnsi="Arial"/>
          <w:bCs/>
        </w:rPr>
        <w:t>§</w:t>
      </w:r>
      <w:bookmarkEnd w:id="4"/>
      <w:r w:rsidRPr="00D659FC">
        <w:rPr>
          <w:rFonts w:ascii="Arial" w:hAnsi="Arial"/>
          <w:bCs/>
        </w:rPr>
        <w:t xml:space="preserve"> 2º O condutor do animal deverá ser maior de dezoito anos e ter força física suficiente para controlar os movimentos do animal, de acordo com seu porte.</w:t>
      </w:r>
    </w:p>
    <w:p w14:paraId="0FF44FC9" w14:textId="77777777" w:rsidR="0075420F" w:rsidRPr="00D659FC" w:rsidRDefault="0075420F" w:rsidP="0075420F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/>
          <w:bCs/>
        </w:rPr>
      </w:pPr>
      <w:r w:rsidRPr="00D659FC">
        <w:rPr>
          <w:rFonts w:ascii="Arial" w:hAnsi="Arial"/>
          <w:bCs/>
        </w:rPr>
        <w:t xml:space="preserve">§ 3º O condutor do animal será responsável por todas as condições de higiene, </w:t>
      </w:r>
      <w:r>
        <w:rPr>
          <w:rFonts w:ascii="Arial" w:hAnsi="Arial"/>
          <w:bCs/>
        </w:rPr>
        <w:t>a</w:t>
      </w:r>
      <w:r w:rsidRPr="00D659FC">
        <w:rPr>
          <w:rFonts w:ascii="Arial" w:hAnsi="Arial"/>
          <w:bCs/>
        </w:rPr>
        <w:t>limentação e trato do animal enquanto estiver nas dependências do Tribunal de Contas.</w:t>
      </w:r>
    </w:p>
    <w:p w14:paraId="2AA5930F" w14:textId="77777777" w:rsidR="0075420F" w:rsidRPr="00D659FC" w:rsidRDefault="0075420F" w:rsidP="0075420F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/>
          <w:bCs/>
        </w:rPr>
      </w:pPr>
      <w:r w:rsidRPr="00D659FC">
        <w:rPr>
          <w:rFonts w:ascii="Arial" w:hAnsi="Arial"/>
          <w:bCs/>
        </w:rPr>
        <w:t>§ 4º Será do condutor a responsabilidade por quaisquer danos físicos ou materiais causados pelo animal nas dependências do Tribunal de Contas.</w:t>
      </w:r>
      <w:r>
        <w:rPr>
          <w:rFonts w:ascii="Arial" w:hAnsi="Arial"/>
          <w:bCs/>
        </w:rPr>
        <w:t>”</w:t>
      </w:r>
    </w:p>
    <w:p w14:paraId="2D077367" w14:textId="77777777" w:rsidR="0075420F" w:rsidRPr="00F5390E" w:rsidRDefault="0075420F" w:rsidP="0075420F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F5390E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F5390E">
        <w:rPr>
          <w:rFonts w:ascii="Arial" w:hAnsi="Arial" w:cs="Arial"/>
          <w:sz w:val="24"/>
          <w:szCs w:val="24"/>
        </w:rPr>
        <w:t>Fica revogado o inciso IV do art</w:t>
      </w:r>
      <w:r>
        <w:rPr>
          <w:rFonts w:ascii="Arial" w:hAnsi="Arial" w:cs="Arial"/>
        </w:rPr>
        <w:t>.</w:t>
      </w:r>
      <w:r w:rsidRPr="00F5390E">
        <w:rPr>
          <w:rFonts w:ascii="Arial" w:hAnsi="Arial" w:cs="Arial"/>
          <w:sz w:val="24"/>
          <w:szCs w:val="24"/>
        </w:rPr>
        <w:t xml:space="preserve"> 11 da Instrução de Serviço nº 86</w:t>
      </w:r>
      <w:r>
        <w:rPr>
          <w:rFonts w:ascii="Arial" w:hAnsi="Arial" w:cs="Arial"/>
        </w:rPr>
        <w:t xml:space="preserve">, de </w:t>
      </w:r>
      <w:r w:rsidRPr="00F5390E">
        <w:rPr>
          <w:rFonts w:ascii="Arial" w:hAnsi="Arial" w:cs="Arial"/>
          <w:sz w:val="24"/>
          <w:szCs w:val="24"/>
        </w:rPr>
        <w:t>2014.</w:t>
      </w:r>
    </w:p>
    <w:p w14:paraId="11E2FECD" w14:textId="77777777" w:rsidR="0075420F" w:rsidRPr="00F5390E" w:rsidRDefault="0075420F" w:rsidP="0075420F">
      <w:pPr>
        <w:spacing w:before="120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5390E">
        <w:rPr>
          <w:rFonts w:ascii="Arial" w:hAnsi="Arial" w:cs="Arial"/>
          <w:b/>
          <w:bCs/>
          <w:sz w:val="24"/>
          <w:szCs w:val="24"/>
        </w:rPr>
        <w:t>Art. 3º</w:t>
      </w:r>
      <w:r w:rsidRPr="00F5390E">
        <w:rPr>
          <w:rFonts w:ascii="Arial" w:hAnsi="Arial" w:cs="Arial"/>
          <w:bCs/>
          <w:sz w:val="24"/>
          <w:szCs w:val="24"/>
        </w:rPr>
        <w:t xml:space="preserve"> Esta Instrução de Serviço entra em vigor na data de sua publicação.</w:t>
      </w:r>
    </w:p>
    <w:p w14:paraId="4C55C3C8" w14:textId="77777777" w:rsidR="0075420F" w:rsidRPr="00F5390E" w:rsidRDefault="0075420F" w:rsidP="00A32B9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jc w:val="center"/>
        <w:rPr>
          <w:rFonts w:cs="Arial"/>
          <w:color w:val="000000"/>
          <w:sz w:val="24"/>
        </w:rPr>
      </w:pPr>
      <w:r w:rsidRPr="00F5390E">
        <w:rPr>
          <w:rFonts w:cs="Arial"/>
          <w:color w:val="000000"/>
          <w:sz w:val="24"/>
        </w:rPr>
        <w:t xml:space="preserve">Curitiba, </w:t>
      </w:r>
      <w:r w:rsidR="00A32B9F">
        <w:rPr>
          <w:rFonts w:cs="Arial"/>
          <w:color w:val="000000"/>
          <w:sz w:val="24"/>
        </w:rPr>
        <w:t>20</w:t>
      </w:r>
      <w:r w:rsidRPr="00F5390E">
        <w:rPr>
          <w:rFonts w:cs="Arial"/>
          <w:color w:val="000000"/>
          <w:sz w:val="24"/>
        </w:rPr>
        <w:t xml:space="preserve"> de </w:t>
      </w:r>
      <w:r w:rsidR="00A32B9F">
        <w:rPr>
          <w:rFonts w:cs="Arial"/>
          <w:color w:val="000000"/>
          <w:sz w:val="24"/>
        </w:rPr>
        <w:t>agosto</w:t>
      </w:r>
      <w:r w:rsidRPr="00F5390E">
        <w:rPr>
          <w:rFonts w:cs="Arial"/>
          <w:color w:val="000000"/>
          <w:sz w:val="24"/>
        </w:rPr>
        <w:t xml:space="preserve"> de 2021.</w:t>
      </w:r>
    </w:p>
    <w:p w14:paraId="1144AA2C" w14:textId="77777777" w:rsidR="00A32B9F" w:rsidRPr="00A32B9F" w:rsidRDefault="00A32B9F" w:rsidP="00A32B9F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bookmarkStart w:id="5" w:name="_Hlk65750390"/>
      <w:r w:rsidRPr="00A32B9F">
        <w:rPr>
          <w:rFonts w:ascii="Arial" w:hAnsi="Arial" w:cs="Arial"/>
          <w:color w:val="808080"/>
          <w:sz w:val="24"/>
        </w:rPr>
        <w:t xml:space="preserve">- </w:t>
      </w:r>
      <w:proofErr w:type="gramStart"/>
      <w:r w:rsidRPr="00A32B9F">
        <w:rPr>
          <w:rFonts w:ascii="Arial" w:hAnsi="Arial" w:cs="Arial"/>
          <w:color w:val="808080"/>
          <w:sz w:val="24"/>
        </w:rPr>
        <w:t>assinatura</w:t>
      </w:r>
      <w:proofErr w:type="gramEnd"/>
      <w:r w:rsidRPr="00A32B9F">
        <w:rPr>
          <w:rFonts w:ascii="Arial" w:hAnsi="Arial" w:cs="Arial"/>
          <w:color w:val="808080"/>
          <w:sz w:val="24"/>
        </w:rPr>
        <w:t xml:space="preserve"> digital -</w:t>
      </w:r>
    </w:p>
    <w:p w14:paraId="12411DA6" w14:textId="77777777" w:rsidR="00A32B9F" w:rsidRPr="00A32B9F" w:rsidRDefault="00A32B9F" w:rsidP="00A32B9F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bookmarkStart w:id="6" w:name="_Hlk536444639"/>
      <w:r w:rsidRPr="00A32B9F">
        <w:rPr>
          <w:rFonts w:ascii="Arial" w:hAnsi="Arial" w:cs="Arial"/>
          <w:sz w:val="24"/>
        </w:rPr>
        <w:t>Conselheiro</w:t>
      </w:r>
      <w:r w:rsidRPr="00A32B9F">
        <w:rPr>
          <w:rFonts w:ascii="Arial" w:hAnsi="Arial" w:cs="Arial"/>
          <w:b/>
          <w:sz w:val="24"/>
        </w:rPr>
        <w:t xml:space="preserve"> </w:t>
      </w:r>
      <w:bookmarkStart w:id="7" w:name="_Hlk68096993"/>
      <w:bookmarkEnd w:id="6"/>
      <w:r w:rsidRPr="00A32B9F">
        <w:rPr>
          <w:rFonts w:ascii="Arial" w:hAnsi="Arial" w:cs="Arial"/>
          <w:b/>
          <w:sz w:val="24"/>
        </w:rPr>
        <w:t>FABIO DE SOUZA CAMARGO</w:t>
      </w:r>
      <w:bookmarkEnd w:id="7"/>
    </w:p>
    <w:p w14:paraId="671B1D9A" w14:textId="77777777" w:rsidR="001907D7" w:rsidRPr="00A32B9F" w:rsidRDefault="00A32B9F" w:rsidP="00A32B9F">
      <w:pPr>
        <w:spacing w:before="120" w:after="0" w:line="240" w:lineRule="auto"/>
        <w:jc w:val="center"/>
        <w:rPr>
          <w:rFonts w:ascii="Arial" w:hAnsi="Arial" w:cs="Arial"/>
        </w:rPr>
      </w:pPr>
      <w:r w:rsidRPr="00A32B9F">
        <w:rPr>
          <w:rFonts w:ascii="Arial" w:hAnsi="Arial" w:cs="Arial"/>
          <w:sz w:val="24"/>
        </w:rPr>
        <w:t>Presidente</w:t>
      </w:r>
      <w:bookmarkEnd w:id="5"/>
    </w:p>
    <w:sectPr w:rsidR="001907D7" w:rsidRPr="00A32B9F" w:rsidSect="00A32B9F">
      <w:headerReference w:type="default" r:id="rId7"/>
      <w:footerReference w:type="even" r:id="rId8"/>
      <w:pgSz w:w="11907" w:h="16840" w:code="9"/>
      <w:pgMar w:top="1985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D4FA" w14:textId="77777777" w:rsidR="00D10AFE" w:rsidRDefault="00D10AFE" w:rsidP="0075420F">
      <w:pPr>
        <w:spacing w:after="0" w:line="240" w:lineRule="auto"/>
      </w:pPr>
      <w:r>
        <w:separator/>
      </w:r>
    </w:p>
  </w:endnote>
  <w:endnote w:type="continuationSeparator" w:id="0">
    <w:p w14:paraId="345089EB" w14:textId="77777777" w:rsidR="00D10AFE" w:rsidRDefault="00D10AFE" w:rsidP="0075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FF6A" w14:textId="77777777" w:rsidR="00B84784" w:rsidRDefault="00B84784" w:rsidP="00B8478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614487" w14:textId="77777777" w:rsidR="00B84784" w:rsidRDefault="00B84784">
    <w:pPr>
      <w:pStyle w:val="Rodap"/>
      <w:ind w:right="360"/>
    </w:pPr>
  </w:p>
  <w:p w14:paraId="5B8E994D" w14:textId="77777777" w:rsidR="00B84784" w:rsidRDefault="00B847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F3825" w14:textId="77777777" w:rsidR="00D10AFE" w:rsidRDefault="00D10AFE" w:rsidP="0075420F">
      <w:pPr>
        <w:spacing w:after="0" w:line="240" w:lineRule="auto"/>
      </w:pPr>
      <w:r>
        <w:separator/>
      </w:r>
    </w:p>
  </w:footnote>
  <w:footnote w:type="continuationSeparator" w:id="0">
    <w:p w14:paraId="49CD5790" w14:textId="77777777" w:rsidR="00D10AFE" w:rsidRDefault="00D10AFE" w:rsidP="0075420F">
      <w:pPr>
        <w:spacing w:after="0" w:line="240" w:lineRule="auto"/>
      </w:pPr>
      <w:r>
        <w:continuationSeparator/>
      </w:r>
    </w:p>
  </w:footnote>
  <w:footnote w:id="1">
    <w:p w14:paraId="49483796" w14:textId="77777777" w:rsidR="008F49FD" w:rsidRPr="00344B1D" w:rsidRDefault="00586630" w:rsidP="008F49FD">
      <w:pPr>
        <w:pStyle w:val="Textodenotaderodap"/>
        <w:spacing w:after="0" w:line="240" w:lineRule="auto"/>
        <w:rPr>
          <w:rFonts w:ascii="Arial" w:hAnsi="Arial" w:cs="Arial"/>
        </w:rPr>
      </w:pPr>
      <w:r w:rsidRPr="00586630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bookmarkStart w:id="2" w:name="_Hlk37073975"/>
      <w:r w:rsidR="008F49FD" w:rsidRPr="00344B1D">
        <w:rPr>
          <w:rFonts w:ascii="Arial" w:hAnsi="Arial" w:cs="Arial"/>
          <w:b/>
        </w:rPr>
        <w:t>Notas da Biblioteca:</w:t>
      </w:r>
    </w:p>
    <w:p w14:paraId="72895E50" w14:textId="4845D202" w:rsidR="008F49FD" w:rsidRPr="00285AB2" w:rsidRDefault="008F49FD" w:rsidP="008F49FD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bookmarkStart w:id="3" w:name="_Hlk870405"/>
      <w:bookmarkEnd w:id="0"/>
      <w:r w:rsidRPr="00285AB2">
        <w:rPr>
          <w:rFonts w:ascii="Arial" w:hAnsi="Arial" w:cs="Arial"/>
          <w:sz w:val="20"/>
          <w:szCs w:val="20"/>
        </w:rPr>
        <w:t>Este texto não substitui o publicado no periódico:</w:t>
      </w:r>
      <w:bookmarkEnd w:id="1"/>
      <w:bookmarkEnd w:id="3"/>
      <w:r w:rsidRPr="00285AB2">
        <w:rPr>
          <w:rFonts w:ascii="Arial" w:hAnsi="Arial" w:cs="Arial"/>
          <w:sz w:val="20"/>
          <w:szCs w:val="20"/>
        </w:rPr>
        <w:t xml:space="preserve"> </w:t>
      </w:r>
      <w:bookmarkEnd w:id="2"/>
      <w:r w:rsidR="00050675" w:rsidRPr="00285AB2">
        <w:rPr>
          <w:rFonts w:ascii="Arial" w:hAnsi="Arial" w:cs="Arial"/>
          <w:sz w:val="20"/>
          <w:szCs w:val="20"/>
        </w:rPr>
        <w:fldChar w:fldCharType="begin"/>
      </w:r>
      <w:r w:rsidR="00050675" w:rsidRPr="00285AB2">
        <w:rPr>
          <w:rFonts w:ascii="Arial" w:hAnsi="Arial" w:cs="Arial"/>
          <w:sz w:val="20"/>
          <w:szCs w:val="20"/>
        </w:rPr>
        <w:instrText xml:space="preserve"> HYPERLINK "https://www1.tce.pr.gov.br/multimidia/2021/8/pdf/00359562.pdf" </w:instrText>
      </w:r>
      <w:r w:rsidR="00050675" w:rsidRPr="00285AB2">
        <w:rPr>
          <w:rFonts w:ascii="Arial" w:hAnsi="Arial" w:cs="Arial"/>
          <w:sz w:val="20"/>
          <w:szCs w:val="20"/>
        </w:rPr>
        <w:fldChar w:fldCharType="separate"/>
      </w:r>
      <w:r w:rsidR="00050675" w:rsidRPr="00285AB2">
        <w:rPr>
          <w:rStyle w:val="Hyperlink"/>
          <w:rFonts w:ascii="Arial" w:hAnsi="Arial" w:cs="Arial"/>
          <w:b/>
          <w:bCs/>
          <w:sz w:val="20"/>
          <w:szCs w:val="20"/>
        </w:rPr>
        <w:t>Diário Eletrônico do Tribunal de Contas do Estado do Paraná</w:t>
      </w:r>
      <w:r w:rsidR="00050675" w:rsidRPr="00285AB2">
        <w:rPr>
          <w:rStyle w:val="Hyperlink"/>
          <w:rFonts w:ascii="Arial" w:hAnsi="Arial" w:cs="Arial"/>
          <w:sz w:val="20"/>
          <w:szCs w:val="20"/>
        </w:rPr>
        <w:t>, Curitiba, PR, n. 2610, 25 ago. 2021, p. 50</w:t>
      </w:r>
      <w:r w:rsidR="00050675" w:rsidRPr="00285AB2">
        <w:rPr>
          <w:rStyle w:val="Hyperlink"/>
          <w:rFonts w:ascii="Arial" w:hAnsi="Arial" w:cs="Arial"/>
          <w:sz w:val="20"/>
          <w:szCs w:val="20"/>
        </w:rPr>
        <w:fldChar w:fldCharType="end"/>
      </w:r>
      <w:r w:rsidR="00050675" w:rsidRPr="00285AB2">
        <w:rPr>
          <w:rFonts w:ascii="Arial" w:hAnsi="Arial" w:cs="Arial"/>
          <w:sz w:val="20"/>
          <w:szCs w:val="20"/>
        </w:rPr>
        <w:t>.</w:t>
      </w:r>
    </w:p>
    <w:p w14:paraId="39967CC8" w14:textId="754EEA50" w:rsidR="00050675" w:rsidRPr="00285AB2" w:rsidRDefault="00050675" w:rsidP="008F49FD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285AB2">
        <w:rPr>
          <w:rStyle w:val="Forte"/>
          <w:rFonts w:ascii="Arial" w:hAnsi="Arial" w:cs="Arial"/>
          <w:sz w:val="20"/>
          <w:szCs w:val="20"/>
        </w:rPr>
        <w:t>Altera:</w:t>
      </w:r>
      <w:r w:rsidRPr="00285AB2">
        <w:rPr>
          <w:rStyle w:val="Forte"/>
          <w:rFonts w:ascii="Arial" w:hAnsi="Arial" w:cs="Arial"/>
          <w:sz w:val="20"/>
          <w:szCs w:val="20"/>
        </w:rPr>
        <w:t xml:space="preserve"> </w:t>
      </w:r>
      <w:hyperlink r:id="rId1" w:history="1">
        <w:r w:rsidR="00285AB2" w:rsidRPr="00285AB2">
          <w:rPr>
            <w:rStyle w:val="Hyperlink"/>
            <w:rFonts w:ascii="Arial" w:hAnsi="Arial" w:cs="Arial"/>
            <w:sz w:val="20"/>
            <w:szCs w:val="20"/>
          </w:rPr>
          <w:t>Instrução de Serviço n. 86, de 16 de outubro de 2014</w:t>
        </w:r>
      </w:hyperlink>
      <w:r w:rsidR="00285AB2" w:rsidRPr="00285AB2">
        <w:rPr>
          <w:rFonts w:ascii="Arial" w:hAnsi="Arial" w:cs="Arial"/>
          <w:color w:val="0000FF"/>
          <w:sz w:val="20"/>
          <w:szCs w:val="20"/>
        </w:rPr>
        <w:t>.</w:t>
      </w:r>
    </w:p>
    <w:p w14:paraId="43ED466C" w14:textId="3E620E3F" w:rsidR="00586630" w:rsidRDefault="00586630" w:rsidP="008F49F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2E78" w14:textId="77777777" w:rsidR="00B84784" w:rsidRPr="0088504E" w:rsidRDefault="00D10AFE" w:rsidP="00B84784">
    <w:pPr>
      <w:keepLines/>
      <w:spacing w:before="360" w:after="120"/>
      <w:jc w:val="center"/>
      <w:rPr>
        <w:rFonts w:ascii="Arial" w:hAnsi="Arial" w:cs="Arial"/>
        <w:sz w:val="28"/>
        <w:szCs w:val="28"/>
      </w:rPr>
    </w:pPr>
    <w:r>
      <w:rPr>
        <w:noProof/>
      </w:rPr>
      <w:pict w14:anchorId="28E2C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brasao_pr_pequeno" style="position:absolute;left:0;text-align:left;margin-left:.75pt;margin-top:-.55pt;width:44.05pt;height:51.6pt;z-index:1;visibility:visible">
          <v:imagedata r:id="rId1" o:title="brasao_pr_pequeno"/>
        </v:shape>
      </w:pict>
    </w:r>
    <w:r w:rsidR="00B84784" w:rsidRPr="0088504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1DCC"/>
    <w:multiLevelType w:val="hybridMultilevel"/>
    <w:tmpl w:val="83724298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20F"/>
    <w:rsid w:val="00050675"/>
    <w:rsid w:val="00091E4E"/>
    <w:rsid w:val="001907D7"/>
    <w:rsid w:val="00270169"/>
    <w:rsid w:val="00285AB2"/>
    <w:rsid w:val="00492825"/>
    <w:rsid w:val="00586630"/>
    <w:rsid w:val="0075420F"/>
    <w:rsid w:val="007F7AA9"/>
    <w:rsid w:val="008B09F8"/>
    <w:rsid w:val="008F49FD"/>
    <w:rsid w:val="009E3BD0"/>
    <w:rsid w:val="00A32B9F"/>
    <w:rsid w:val="00B84784"/>
    <w:rsid w:val="00D10AFE"/>
    <w:rsid w:val="00D93D4C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05F0A4"/>
  <w15:chartTrackingRefBased/>
  <w15:docId w15:val="{41C71549-4DF8-4094-9B13-08F3EEDB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5420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75420F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75420F"/>
  </w:style>
  <w:style w:type="paragraph" w:customStyle="1" w:styleId="ArtigosOrdinais">
    <w:name w:val="ArtigosOrdinais"/>
    <w:basedOn w:val="Normal"/>
    <w:rsid w:val="0075420F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42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420F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586630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586630"/>
    <w:rPr>
      <w:lang w:eastAsia="en-US"/>
    </w:rPr>
  </w:style>
  <w:style w:type="character" w:styleId="Refdenotaderodap">
    <w:name w:val="footnote reference"/>
    <w:uiPriority w:val="99"/>
    <w:semiHidden/>
    <w:unhideWhenUsed/>
    <w:rsid w:val="00586630"/>
    <w:rPr>
      <w:vertAlign w:val="superscript"/>
    </w:rPr>
  </w:style>
  <w:style w:type="paragraph" w:styleId="Recuodecorpodetexto3">
    <w:name w:val="Body Text Indent 3"/>
    <w:basedOn w:val="Normal"/>
    <w:link w:val="Recuodecorpodetexto3Char"/>
    <w:rsid w:val="008F49F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8F49FD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unhideWhenUsed/>
    <w:rsid w:val="008F49FD"/>
    <w:rPr>
      <w:color w:val="0000FF"/>
      <w:u w:val="single"/>
    </w:rPr>
  </w:style>
  <w:style w:type="paragraph" w:styleId="NormalWeb">
    <w:name w:val="Normal (Web)"/>
    <w:basedOn w:val="Normal"/>
    <w:uiPriority w:val="99"/>
    <w:rsid w:val="008F4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F4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conteudo/instrucao-de-servico-n-86-de-16-de-outubro-de-2014/26269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nº 145/21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nº 145/21</dc:title>
  <dc:subject/>
  <dc:creator>Pedro Paulo Bueno dos Santos</dc:creator>
  <cp:keywords/>
  <dc:description/>
  <cp:lastModifiedBy>Yarusya Fonseca</cp:lastModifiedBy>
  <cp:revision>8</cp:revision>
  <dcterms:created xsi:type="dcterms:W3CDTF">2021-09-29T14:35:00Z</dcterms:created>
  <dcterms:modified xsi:type="dcterms:W3CDTF">2021-09-29T15:13:00Z</dcterms:modified>
</cp:coreProperties>
</file>