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A2" w:rsidRPr="00B559AB" w:rsidRDefault="00AC2DA2" w:rsidP="00B559AB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B559AB">
        <w:rPr>
          <w:rFonts w:ascii="Arial" w:hAnsi="Arial" w:cs="Arial"/>
          <w:b/>
          <w:sz w:val="28"/>
          <w:szCs w:val="28"/>
        </w:rPr>
        <w:t xml:space="preserve">INSTRUÇÃO DE SERVIÇO Nº </w:t>
      </w:r>
      <w:r w:rsidR="006751CA" w:rsidRPr="000E224B">
        <w:rPr>
          <w:rFonts w:ascii="Arial" w:hAnsi="Arial" w:cs="Arial"/>
          <w:b/>
          <w:sz w:val="28"/>
          <w:szCs w:val="28"/>
        </w:rPr>
        <w:t>97</w:t>
      </w:r>
      <w:r w:rsidRPr="00B559AB">
        <w:rPr>
          <w:rFonts w:ascii="Arial" w:hAnsi="Arial" w:cs="Arial"/>
          <w:b/>
          <w:sz w:val="28"/>
          <w:szCs w:val="28"/>
        </w:rPr>
        <w:t>/2015</w:t>
      </w:r>
      <w:r w:rsidR="00061623" w:rsidRPr="00061623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AC2DA2" w:rsidRPr="00AC2DA2" w:rsidRDefault="009E33E9" w:rsidP="009E33E9">
      <w:pPr>
        <w:autoSpaceDE w:val="0"/>
        <w:autoSpaceDN w:val="0"/>
        <w:adjustRightInd w:val="0"/>
        <w:spacing w:before="360" w:after="360"/>
        <w:ind w:left="4820"/>
        <w:jc w:val="both"/>
        <w:rPr>
          <w:rFonts w:cs="Arial"/>
          <w:i/>
          <w:iCs/>
          <w:szCs w:val="24"/>
        </w:rPr>
      </w:pPr>
      <w:r w:rsidRPr="009E33E9">
        <w:rPr>
          <w:rFonts w:cs="Arial"/>
          <w:i/>
          <w:iCs/>
          <w:szCs w:val="24"/>
        </w:rPr>
        <w:t>Dispõe sobre a delegação de competência para elaboração e assinatura de</w:t>
      </w:r>
      <w:r>
        <w:rPr>
          <w:rFonts w:cs="Arial"/>
          <w:i/>
          <w:iCs/>
          <w:szCs w:val="24"/>
        </w:rPr>
        <w:t xml:space="preserve"> </w:t>
      </w:r>
      <w:r w:rsidRPr="009E33E9">
        <w:rPr>
          <w:rFonts w:cs="Arial"/>
          <w:i/>
          <w:iCs/>
          <w:szCs w:val="24"/>
        </w:rPr>
        <w:t>despachos de mero expediente de que trata o art. 32, § 1º, do Regimento Interno</w:t>
      </w:r>
      <w:r>
        <w:rPr>
          <w:rFonts w:cs="Arial"/>
          <w:i/>
          <w:iCs/>
          <w:szCs w:val="24"/>
        </w:rPr>
        <w:t xml:space="preserve"> </w:t>
      </w:r>
      <w:r w:rsidRPr="009E33E9">
        <w:rPr>
          <w:rFonts w:cs="Arial"/>
          <w:i/>
          <w:iCs/>
          <w:szCs w:val="24"/>
        </w:rPr>
        <w:t>deste Tribunal, concernente à designação para substituição do Conselheiro Fabio de</w:t>
      </w:r>
      <w:r>
        <w:rPr>
          <w:rFonts w:cs="Arial"/>
          <w:i/>
          <w:iCs/>
          <w:szCs w:val="24"/>
        </w:rPr>
        <w:t xml:space="preserve"> </w:t>
      </w:r>
      <w:r w:rsidRPr="009E33E9">
        <w:rPr>
          <w:rFonts w:cs="Arial"/>
          <w:i/>
          <w:iCs/>
          <w:szCs w:val="24"/>
        </w:rPr>
        <w:t>Souza Camargo pela Portaria n.º 282/15 da Presidência, em face do que prevê o</w:t>
      </w:r>
      <w:r>
        <w:rPr>
          <w:rFonts w:cs="Arial"/>
          <w:i/>
          <w:iCs/>
          <w:szCs w:val="24"/>
        </w:rPr>
        <w:t xml:space="preserve"> </w:t>
      </w:r>
      <w:r w:rsidRPr="009E33E9">
        <w:rPr>
          <w:rFonts w:cs="Arial"/>
          <w:i/>
          <w:iCs/>
          <w:szCs w:val="24"/>
        </w:rPr>
        <w:t>artigo 53-A do Regimento Interno.</w:t>
      </w:r>
    </w:p>
    <w:p w:rsidR="0067496E" w:rsidRDefault="0067496E" w:rsidP="009E33E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</w:p>
    <w:p w:rsidR="00AC2DA2" w:rsidRPr="00AC2DA2" w:rsidRDefault="009E33E9" w:rsidP="009E33E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O</w:t>
      </w:r>
      <w:r w:rsidRPr="009E33E9">
        <w:rPr>
          <w:rFonts w:cs="Arial"/>
          <w:color w:val="000000"/>
          <w:szCs w:val="24"/>
        </w:rPr>
        <w:t xml:space="preserve"> AUDITOR </w:t>
      </w:r>
      <w:r w:rsidRPr="009E33E9">
        <w:rPr>
          <w:rFonts w:cs="Arial"/>
          <w:b/>
          <w:bCs/>
          <w:color w:val="000000"/>
          <w:szCs w:val="24"/>
        </w:rPr>
        <w:t>THIAGO BARBOSA CORDEIRO</w:t>
      </w:r>
      <w:r w:rsidRPr="009E33E9">
        <w:rPr>
          <w:rFonts w:cs="Arial"/>
          <w:color w:val="000000"/>
          <w:szCs w:val="24"/>
        </w:rPr>
        <w:t>, no uso das atribuições que lhe</w:t>
      </w:r>
      <w:r>
        <w:rPr>
          <w:rFonts w:cs="Arial"/>
          <w:color w:val="000000"/>
          <w:szCs w:val="24"/>
        </w:rPr>
        <w:t xml:space="preserve"> </w:t>
      </w:r>
      <w:r w:rsidRPr="009E33E9">
        <w:rPr>
          <w:rFonts w:cs="Arial"/>
          <w:color w:val="000000"/>
          <w:szCs w:val="24"/>
        </w:rPr>
        <w:t>são conferidas pelo artigo 32, § 1º, e pelo artigo 197 do Regimento Interno, em razão</w:t>
      </w:r>
      <w:r>
        <w:rPr>
          <w:rFonts w:cs="Arial"/>
          <w:color w:val="000000"/>
          <w:szCs w:val="24"/>
        </w:rPr>
        <w:t xml:space="preserve"> </w:t>
      </w:r>
      <w:r w:rsidR="00256054">
        <w:rPr>
          <w:rFonts w:cs="Arial"/>
          <w:color w:val="000000"/>
          <w:szCs w:val="24"/>
        </w:rPr>
        <w:t>da Portaria n</w:t>
      </w:r>
      <w:r w:rsidRPr="009E33E9">
        <w:rPr>
          <w:rFonts w:cs="Arial"/>
          <w:color w:val="000000"/>
          <w:szCs w:val="24"/>
        </w:rPr>
        <w:t>° 282/15, publicada no Diário Eletrônico desta Corte em 23/02/2015,</w:t>
      </w:r>
      <w:r>
        <w:rPr>
          <w:rFonts w:cs="Arial"/>
          <w:color w:val="000000"/>
          <w:szCs w:val="24"/>
        </w:rPr>
        <w:t xml:space="preserve"> </w:t>
      </w:r>
      <w:r w:rsidRPr="009E33E9">
        <w:rPr>
          <w:rFonts w:cs="Arial"/>
          <w:color w:val="000000"/>
          <w:szCs w:val="24"/>
        </w:rPr>
        <w:t xml:space="preserve">pela qual o Presidente deste Tribunal de Contas, Conselheiro Ivan </w:t>
      </w:r>
      <w:proofErr w:type="spellStart"/>
      <w:r w:rsidRPr="009E33E9">
        <w:rPr>
          <w:rFonts w:cs="Arial"/>
          <w:color w:val="000000"/>
          <w:szCs w:val="24"/>
        </w:rPr>
        <w:t>Lelis</w:t>
      </w:r>
      <w:proofErr w:type="spellEnd"/>
      <w:r w:rsidRPr="009E33E9">
        <w:rPr>
          <w:rFonts w:cs="Arial"/>
          <w:color w:val="000000"/>
          <w:szCs w:val="24"/>
        </w:rPr>
        <w:t xml:space="preserve"> Bonilha, o</w:t>
      </w:r>
      <w:r>
        <w:rPr>
          <w:rFonts w:cs="Arial"/>
          <w:color w:val="000000"/>
          <w:szCs w:val="24"/>
        </w:rPr>
        <w:t xml:space="preserve"> </w:t>
      </w:r>
      <w:r w:rsidRPr="009E33E9">
        <w:rPr>
          <w:rFonts w:cs="Arial"/>
          <w:color w:val="000000"/>
          <w:szCs w:val="24"/>
        </w:rPr>
        <w:t>designou para substituir o Conselheiro Fabio de Souza Camargo durante o seu</w:t>
      </w:r>
      <w:r>
        <w:rPr>
          <w:rFonts w:cs="Arial"/>
          <w:color w:val="000000"/>
          <w:szCs w:val="24"/>
        </w:rPr>
        <w:t xml:space="preserve"> </w:t>
      </w:r>
      <w:r w:rsidRPr="009E33E9">
        <w:rPr>
          <w:rFonts w:cs="Arial"/>
          <w:color w:val="000000"/>
          <w:szCs w:val="24"/>
        </w:rPr>
        <w:t>impedimento, a partir da mencionada data,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b/>
          <w:color w:val="000000"/>
          <w:szCs w:val="24"/>
        </w:rPr>
      </w:pPr>
      <w:r w:rsidRPr="00AC2DA2">
        <w:rPr>
          <w:rFonts w:cs="Arial"/>
          <w:b/>
          <w:color w:val="000000"/>
          <w:szCs w:val="24"/>
        </w:rPr>
        <w:t>RESOLVE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</w:p>
    <w:p w:rsidR="00C504F9" w:rsidRPr="00C504F9" w:rsidRDefault="00AC2DA2" w:rsidP="00C504F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b/>
          <w:color w:val="000000"/>
          <w:szCs w:val="24"/>
        </w:rPr>
        <w:t>Art. 1º</w:t>
      </w:r>
      <w:r w:rsidRPr="00AC2DA2">
        <w:rPr>
          <w:rFonts w:cs="Arial"/>
          <w:color w:val="000000"/>
          <w:szCs w:val="24"/>
        </w:rPr>
        <w:t xml:space="preserve"> </w:t>
      </w:r>
      <w:r w:rsidR="00C504F9" w:rsidRPr="00C504F9">
        <w:rPr>
          <w:rFonts w:cs="Arial"/>
          <w:color w:val="000000"/>
          <w:szCs w:val="24"/>
        </w:rPr>
        <w:t>Ficam delegados ao servidor LÚCIO FLÁVIO LUTTEMBARCK</w:t>
      </w:r>
      <w:r w:rsidR="00C504F9">
        <w:rPr>
          <w:rFonts w:cs="Arial"/>
          <w:color w:val="000000"/>
          <w:szCs w:val="24"/>
        </w:rPr>
        <w:t xml:space="preserve"> </w:t>
      </w:r>
      <w:r w:rsidR="00C504F9" w:rsidRPr="00C504F9">
        <w:rPr>
          <w:rFonts w:cs="Arial"/>
          <w:color w:val="000000"/>
          <w:szCs w:val="24"/>
        </w:rPr>
        <w:t>BATALHA, Analista de Controle Externo – Assessor Técnico de Conselheiro,</w:t>
      </w:r>
      <w:r w:rsidR="00C504F9">
        <w:rPr>
          <w:rFonts w:cs="Arial"/>
          <w:color w:val="000000"/>
          <w:szCs w:val="24"/>
        </w:rPr>
        <w:t xml:space="preserve"> </w:t>
      </w:r>
      <w:r w:rsidR="00256054">
        <w:rPr>
          <w:rFonts w:cs="Arial"/>
          <w:color w:val="000000"/>
          <w:szCs w:val="24"/>
        </w:rPr>
        <w:t>matrícula n</w:t>
      </w:r>
      <w:r w:rsidR="00C504F9" w:rsidRPr="00C504F9">
        <w:rPr>
          <w:rFonts w:cs="Arial"/>
          <w:color w:val="000000"/>
          <w:szCs w:val="24"/>
        </w:rPr>
        <w:t>° 51</w:t>
      </w:r>
      <w:r w:rsidR="00256054">
        <w:rPr>
          <w:rFonts w:cs="Arial"/>
          <w:color w:val="000000"/>
          <w:szCs w:val="24"/>
        </w:rPr>
        <w:t>.</w:t>
      </w:r>
      <w:r w:rsidR="00C504F9" w:rsidRPr="00C504F9">
        <w:rPr>
          <w:rFonts w:cs="Arial"/>
          <w:color w:val="000000"/>
          <w:szCs w:val="24"/>
        </w:rPr>
        <w:t>325</w:t>
      </w:r>
      <w:r w:rsidR="00256054">
        <w:rPr>
          <w:rFonts w:cs="Arial"/>
          <w:color w:val="000000"/>
          <w:szCs w:val="24"/>
        </w:rPr>
        <w:t>-</w:t>
      </w:r>
      <w:r w:rsidR="00C504F9" w:rsidRPr="00C504F9">
        <w:rPr>
          <w:rFonts w:cs="Arial"/>
          <w:color w:val="000000"/>
          <w:szCs w:val="24"/>
        </w:rPr>
        <w:t>3, lotado no Gabinete do Conselheiro Fabio de Souza Camargo,</w:t>
      </w:r>
      <w:r w:rsidR="00C504F9">
        <w:rPr>
          <w:rFonts w:cs="Arial"/>
          <w:color w:val="000000"/>
          <w:szCs w:val="24"/>
        </w:rPr>
        <w:t xml:space="preserve"> </w:t>
      </w:r>
      <w:r w:rsidR="00C504F9" w:rsidRPr="00C504F9">
        <w:rPr>
          <w:rFonts w:cs="Arial"/>
          <w:color w:val="000000"/>
          <w:szCs w:val="24"/>
        </w:rPr>
        <w:t>os despachos de mero expediente em processos que estejam sob a relatoria do</w:t>
      </w:r>
      <w:r w:rsidR="00C504F9">
        <w:rPr>
          <w:rFonts w:cs="Arial"/>
          <w:color w:val="000000"/>
          <w:szCs w:val="24"/>
        </w:rPr>
        <w:t xml:space="preserve"> </w:t>
      </w:r>
      <w:r w:rsidR="00C504F9" w:rsidRPr="00C504F9">
        <w:rPr>
          <w:rFonts w:cs="Arial"/>
          <w:color w:val="000000"/>
          <w:szCs w:val="24"/>
        </w:rPr>
        <w:t>referido Conselheiro, nas seguintes hipóteses:</w:t>
      </w:r>
    </w:p>
    <w:p w:rsidR="00C504F9" w:rsidRPr="00C504F9" w:rsidRDefault="00C504F9" w:rsidP="00C504F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C504F9">
        <w:rPr>
          <w:rFonts w:cs="Arial"/>
          <w:color w:val="000000"/>
          <w:szCs w:val="24"/>
        </w:rPr>
        <w:t>I ─ autorização e determinação de citações e intimações, nas modalidades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previstas no Capítulo XIV do Regimento Interno deste Tribunal, compreendendo as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medidas complementares necessárias para tanto, salientando-se que os ofícios e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editais dirigidos aos chefes de Poder Estadual, Secretários de Estado e Procurador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Geral de Justiça deverão ser assinados pelo relator, conforme previsto no § 2º do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artigo 32 do referido normativo;</w:t>
      </w:r>
    </w:p>
    <w:p w:rsidR="00C504F9" w:rsidRPr="00C504F9" w:rsidRDefault="00C504F9" w:rsidP="00C504F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C504F9">
        <w:rPr>
          <w:rFonts w:cs="Arial"/>
          <w:color w:val="000000"/>
          <w:szCs w:val="24"/>
        </w:rPr>
        <w:t>II ─ autorização e determinação de diligências internas e externas, com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exceção da determinação de baixa de responsabilidade e de emissão de certidão de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quitação de débito, previstas no art. 514 do Regimento Interno;</w:t>
      </w:r>
    </w:p>
    <w:p w:rsidR="00C504F9" w:rsidRPr="00C504F9" w:rsidRDefault="00C504F9" w:rsidP="00C504F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C504F9">
        <w:rPr>
          <w:rFonts w:cs="Arial"/>
          <w:color w:val="000000"/>
          <w:szCs w:val="24"/>
        </w:rPr>
        <w:lastRenderedPageBreak/>
        <w:t>III ─ encaminhamento de processos para a manifestação do Ministério Público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de Contas prevista no</w:t>
      </w:r>
      <w:r>
        <w:rPr>
          <w:rFonts w:cs="Arial"/>
          <w:color w:val="000000"/>
          <w:szCs w:val="24"/>
        </w:rPr>
        <w:t xml:space="preserve"> art. 149 da Lei Complementar n</w:t>
      </w:r>
      <w:r w:rsidRPr="00C504F9">
        <w:rPr>
          <w:rFonts w:cs="Arial"/>
          <w:color w:val="000000"/>
          <w:szCs w:val="24"/>
        </w:rPr>
        <w:t>° 113/2005;</w:t>
      </w:r>
    </w:p>
    <w:p w:rsidR="00C504F9" w:rsidRPr="00C504F9" w:rsidRDefault="00C504F9" w:rsidP="00C504F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C504F9">
        <w:rPr>
          <w:rFonts w:cs="Arial"/>
          <w:color w:val="000000"/>
          <w:szCs w:val="24"/>
        </w:rPr>
        <w:t>IV ─ autorização e determinação de providências atinentes à correção da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autuação de processos, quanto à correção de nomes de partes, interessados e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procuradores, e à inclusão e exclusão de nomes de procuradores, com exceção da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inclusão de partes e interessados, tendo em vista o que dispõe o art. 347, § 5º do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Regimento Interno;</w:t>
      </w:r>
    </w:p>
    <w:p w:rsidR="00AC2DA2" w:rsidRDefault="00C504F9" w:rsidP="00C504F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C504F9">
        <w:rPr>
          <w:rFonts w:cs="Arial"/>
          <w:color w:val="000000"/>
          <w:szCs w:val="24"/>
        </w:rPr>
        <w:t>V ─ deferimento de requerimentos de prorrogação de prazo para exercício do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contraditório e da ampla defesa e para cumprimento de diligências, nos termos do</w:t>
      </w:r>
      <w:r>
        <w:rPr>
          <w:rFonts w:cs="Arial"/>
          <w:color w:val="000000"/>
          <w:szCs w:val="24"/>
        </w:rPr>
        <w:t xml:space="preserve"> </w:t>
      </w:r>
      <w:r w:rsidRPr="00C504F9">
        <w:rPr>
          <w:rFonts w:cs="Arial"/>
          <w:color w:val="000000"/>
          <w:szCs w:val="24"/>
        </w:rPr>
        <w:t>que prevê o parágrafo único do artigo 389 do Regimento Interno;</w:t>
      </w:r>
    </w:p>
    <w:p w:rsidR="00C504F9" w:rsidRPr="00C504F9" w:rsidRDefault="00C504F9" w:rsidP="00C504F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C504F9">
        <w:rPr>
          <w:rFonts w:cs="Arial"/>
          <w:color w:val="000000"/>
          <w:szCs w:val="24"/>
        </w:rPr>
        <w:t>VI ─ conhecimento de alegações de defesa, documentos e justificativas;</w:t>
      </w:r>
    </w:p>
    <w:p w:rsidR="00C504F9" w:rsidRPr="00AC2DA2" w:rsidRDefault="00C504F9" w:rsidP="00C504F9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C504F9">
        <w:rPr>
          <w:rFonts w:cs="Arial"/>
          <w:color w:val="000000"/>
          <w:szCs w:val="24"/>
        </w:rPr>
        <w:t>VII ─ deferimento de pedidos de vistas e de cópias, nos termos regimentais.</w:t>
      </w:r>
    </w:p>
    <w:p w:rsidR="00AC2DA2" w:rsidRPr="00AC2DA2" w:rsidRDefault="00AC2DA2" w:rsidP="00AC2DA2">
      <w:pPr>
        <w:autoSpaceDE w:val="0"/>
        <w:autoSpaceDN w:val="0"/>
        <w:adjustRightInd w:val="0"/>
        <w:spacing w:before="120"/>
        <w:ind w:firstLine="1134"/>
        <w:jc w:val="both"/>
        <w:rPr>
          <w:rFonts w:cs="Arial"/>
          <w:color w:val="000000"/>
          <w:szCs w:val="24"/>
        </w:rPr>
      </w:pPr>
      <w:r w:rsidRPr="00AC2DA2">
        <w:rPr>
          <w:rFonts w:cs="Arial"/>
          <w:b/>
          <w:color w:val="000000"/>
          <w:szCs w:val="24"/>
        </w:rPr>
        <w:t>Art. 2º</w:t>
      </w:r>
      <w:r w:rsidRPr="00AC2DA2">
        <w:rPr>
          <w:rFonts w:cs="Arial"/>
          <w:color w:val="000000"/>
          <w:szCs w:val="24"/>
        </w:rPr>
        <w:t xml:space="preserve"> Esta Instrução de Serviço entra em vigor na data de sua publicação.</w:t>
      </w:r>
    </w:p>
    <w:p w:rsidR="00AC2DA2" w:rsidRPr="00AC2DA2" w:rsidRDefault="00AC2DA2" w:rsidP="00477A03">
      <w:pPr>
        <w:spacing w:before="360" w:after="120"/>
        <w:ind w:left="425" w:firstLine="709"/>
        <w:rPr>
          <w:rFonts w:cs="Arial"/>
          <w:szCs w:val="24"/>
        </w:rPr>
      </w:pPr>
      <w:r w:rsidRPr="00AC2DA2">
        <w:rPr>
          <w:rFonts w:cs="Arial"/>
          <w:szCs w:val="24"/>
        </w:rPr>
        <w:t>Curitiba,</w:t>
      </w:r>
      <w:r>
        <w:rPr>
          <w:rFonts w:cs="Arial"/>
          <w:szCs w:val="24"/>
        </w:rPr>
        <w:t xml:space="preserve"> </w:t>
      </w:r>
      <w:r w:rsidR="00626AE0">
        <w:rPr>
          <w:rFonts w:cs="Arial"/>
          <w:szCs w:val="24"/>
        </w:rPr>
        <w:t>17</w:t>
      </w:r>
      <w:r>
        <w:rPr>
          <w:rFonts w:cs="Arial"/>
          <w:szCs w:val="24"/>
        </w:rPr>
        <w:t xml:space="preserve"> de </w:t>
      </w:r>
      <w:r w:rsidR="00C504F9">
        <w:rPr>
          <w:rFonts w:cs="Arial"/>
          <w:szCs w:val="24"/>
        </w:rPr>
        <w:t>março</w:t>
      </w:r>
      <w:r>
        <w:rPr>
          <w:rFonts w:cs="Arial"/>
          <w:szCs w:val="24"/>
        </w:rPr>
        <w:t xml:space="preserve"> de 2015</w:t>
      </w:r>
      <w:r w:rsidRPr="00AC2DA2">
        <w:rPr>
          <w:rFonts w:cs="Arial"/>
          <w:szCs w:val="24"/>
        </w:rPr>
        <w:t>.</w:t>
      </w:r>
    </w:p>
    <w:p w:rsidR="00AC2DA2" w:rsidRPr="00AC2DA2" w:rsidRDefault="00C504F9" w:rsidP="00477A03">
      <w:pPr>
        <w:spacing w:before="360"/>
        <w:ind w:left="425" w:firstLine="709"/>
        <w:rPr>
          <w:rFonts w:cs="Arial"/>
          <w:b/>
          <w:noProof/>
          <w:szCs w:val="24"/>
        </w:rPr>
      </w:pPr>
      <w:r>
        <w:rPr>
          <w:rFonts w:cs="Arial"/>
          <w:b/>
          <w:noProof/>
          <w:szCs w:val="24"/>
        </w:rPr>
        <w:t>THIAGO BARBOSA CORDEIRO</w:t>
      </w:r>
    </w:p>
    <w:p w:rsidR="00AC2DA2" w:rsidRPr="00AC2DA2" w:rsidRDefault="00C504F9" w:rsidP="00477A03">
      <w:pPr>
        <w:spacing w:before="120"/>
        <w:ind w:left="425" w:firstLine="709"/>
        <w:rPr>
          <w:rFonts w:cs="Arial"/>
          <w:szCs w:val="24"/>
        </w:rPr>
      </w:pPr>
      <w:r>
        <w:rPr>
          <w:rFonts w:cs="Arial"/>
          <w:noProof/>
          <w:szCs w:val="24"/>
        </w:rPr>
        <w:t>Auditor</w:t>
      </w:r>
    </w:p>
    <w:sectPr w:rsidR="00AC2DA2" w:rsidRPr="00AC2DA2" w:rsidSect="003F6CC1">
      <w:headerReference w:type="default" r:id="rId7"/>
      <w:footerReference w:type="even" r:id="rId8"/>
      <w:pgSz w:w="11907" w:h="16840" w:code="9"/>
      <w:pgMar w:top="1985" w:right="851" w:bottom="851" w:left="1701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3AE" w:rsidRDefault="00F123AE"/>
  </w:endnote>
  <w:endnote w:type="continuationSeparator" w:id="0">
    <w:p w:rsidR="00F123AE" w:rsidRDefault="00F1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77" w:rsidRDefault="00785A77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A77" w:rsidRDefault="00785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3AE" w:rsidRDefault="00F123AE">
      <w:r>
        <w:separator/>
      </w:r>
    </w:p>
  </w:footnote>
  <w:footnote w:type="continuationSeparator" w:id="0">
    <w:p w:rsidR="00F123AE" w:rsidRDefault="00F123AE">
      <w:r>
        <w:continuationSeparator/>
      </w:r>
    </w:p>
  </w:footnote>
  <w:footnote w:id="1">
    <w:p w:rsidR="00061623" w:rsidRPr="00903F9E" w:rsidRDefault="00061623" w:rsidP="00061623">
      <w:pPr>
        <w:pStyle w:val="Textodenotaderodap"/>
        <w:rPr>
          <w:rFonts w:cs="Arial"/>
        </w:rPr>
      </w:pPr>
      <w:r w:rsidRPr="00061623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Pr="00903F9E">
        <w:rPr>
          <w:rFonts w:cs="Arial"/>
          <w:b/>
        </w:rPr>
        <w:t>Nota da Biblioteca:</w:t>
      </w:r>
    </w:p>
    <w:p w:rsidR="00061623" w:rsidRPr="00903F9E" w:rsidRDefault="00061623" w:rsidP="00061623">
      <w:pPr>
        <w:pStyle w:val="Textodenotaderodap"/>
        <w:ind w:left="142" w:hanging="142"/>
        <w:rPr>
          <w:rFonts w:cs="Arial"/>
        </w:rPr>
      </w:pPr>
      <w:r w:rsidRPr="00903F9E">
        <w:rPr>
          <w:rFonts w:cs="Arial"/>
        </w:rPr>
        <w:t xml:space="preserve">  Este texto não substitui o publicado no periódico: </w:t>
      </w:r>
      <w:hyperlink r:id="rId1" w:history="1">
        <w:r>
          <w:rPr>
            <w:rStyle w:val="Hyperlink"/>
          </w:rPr>
          <w:t>Diário Eletrônico do Tribunal de Contas do Estado do Paraná, Curitiba, PR, n. 1083, 19 mar. 2015, p. 26</w:t>
        </w:r>
      </w:hyperlink>
      <w:r>
        <w:t>.</w:t>
      </w:r>
      <w:bookmarkStart w:id="1" w:name="_GoBack"/>
      <w:bookmarkEnd w:id="1"/>
    </w:p>
    <w:bookmarkEnd w:id="0"/>
    <w:p w:rsidR="00061623" w:rsidRDefault="0006162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4802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204"/>
      <w:gridCol w:w="7988"/>
    </w:tblGrid>
    <w:tr w:rsidR="00785A77" w:rsidTr="0015640A">
      <w:tc>
        <w:tcPr>
          <w:tcW w:w="655" w:type="pct"/>
        </w:tcPr>
        <w:p w:rsidR="00785A77" w:rsidRDefault="003F5A3C">
          <w:pPr>
            <w:pStyle w:val="Cabealho"/>
          </w:pPr>
          <w:r>
            <w:rPr>
              <w:noProof/>
            </w:rPr>
            <w:drawing>
              <wp:inline distT="0" distB="0" distL="0" distR="0" wp14:anchorId="33FB8647" wp14:editId="535B1886">
                <wp:extent cx="581025" cy="733425"/>
                <wp:effectExtent l="0" t="0" r="9525" b="9525"/>
                <wp:docPr id="1" name="Imagem 1" descr="brasao_pr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pr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pct"/>
        </w:tcPr>
        <w:p w:rsidR="00785A77" w:rsidRPr="003F6CC1" w:rsidRDefault="003F6CC1" w:rsidP="002A4835">
          <w:pPr>
            <w:pStyle w:val="Cabealho"/>
            <w:spacing w:before="240" w:after="120"/>
            <w:jc w:val="center"/>
            <w:rPr>
              <w:rFonts w:cs="Arial"/>
              <w:b/>
              <w:bCs/>
              <w:color w:val="999999"/>
              <w:sz w:val="28"/>
              <w:szCs w:val="28"/>
            </w:rPr>
          </w:pPr>
          <w:r w:rsidRPr="003F6CC1">
            <w:rPr>
              <w:rFonts w:cs="Arial"/>
              <w:b/>
              <w:bCs/>
              <w:color w:val="999999"/>
              <w:sz w:val="28"/>
              <w:szCs w:val="28"/>
            </w:rPr>
            <w:t>TRIBUNAL DE CONTAS DO ESTADO DO PARANÁ</w:t>
          </w:r>
        </w:p>
        <w:p w:rsidR="00785A77" w:rsidRPr="003F6CC1" w:rsidRDefault="00785A77" w:rsidP="006751CA">
          <w:pPr>
            <w:pStyle w:val="Cabealho"/>
            <w:spacing w:before="120" w:after="240"/>
            <w:jc w:val="center"/>
            <w:rPr>
              <w:rFonts w:cs="Arial"/>
              <w:sz w:val="28"/>
              <w:szCs w:val="28"/>
            </w:rPr>
          </w:pPr>
        </w:p>
      </w:tc>
    </w:tr>
  </w:tbl>
  <w:p w:rsidR="00785A77" w:rsidRDefault="00785A77" w:rsidP="003F6C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2DB5"/>
    <w:multiLevelType w:val="hybridMultilevel"/>
    <w:tmpl w:val="605AC3C0"/>
    <w:lvl w:ilvl="0" w:tplc="D590751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2FFB"/>
    <w:multiLevelType w:val="hybridMultilevel"/>
    <w:tmpl w:val="CC26474A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A3C"/>
    <w:rsid w:val="00006D07"/>
    <w:rsid w:val="00007314"/>
    <w:rsid w:val="00021360"/>
    <w:rsid w:val="0002198F"/>
    <w:rsid w:val="00027397"/>
    <w:rsid w:val="00044F75"/>
    <w:rsid w:val="00061623"/>
    <w:rsid w:val="00063A1F"/>
    <w:rsid w:val="00072290"/>
    <w:rsid w:val="00075D41"/>
    <w:rsid w:val="000810A8"/>
    <w:rsid w:val="000865D5"/>
    <w:rsid w:val="000A1720"/>
    <w:rsid w:val="000A3637"/>
    <w:rsid w:val="000B6035"/>
    <w:rsid w:val="000C2174"/>
    <w:rsid w:val="000D1BDF"/>
    <w:rsid w:val="000D6615"/>
    <w:rsid w:val="000E224B"/>
    <w:rsid w:val="000E7402"/>
    <w:rsid w:val="000F3D74"/>
    <w:rsid w:val="001012A2"/>
    <w:rsid w:val="00113606"/>
    <w:rsid w:val="001163B2"/>
    <w:rsid w:val="00127F8E"/>
    <w:rsid w:val="00144815"/>
    <w:rsid w:val="0015640A"/>
    <w:rsid w:val="001764AD"/>
    <w:rsid w:val="00186410"/>
    <w:rsid w:val="001936F4"/>
    <w:rsid w:val="001C5B05"/>
    <w:rsid w:val="001D78AA"/>
    <w:rsid w:val="00215D25"/>
    <w:rsid w:val="0021734A"/>
    <w:rsid w:val="002242FA"/>
    <w:rsid w:val="00226151"/>
    <w:rsid w:val="00240041"/>
    <w:rsid w:val="00243CDF"/>
    <w:rsid w:val="002441C6"/>
    <w:rsid w:val="00256054"/>
    <w:rsid w:val="00265D8C"/>
    <w:rsid w:val="00272838"/>
    <w:rsid w:val="00283B7E"/>
    <w:rsid w:val="00284052"/>
    <w:rsid w:val="00292046"/>
    <w:rsid w:val="00295A93"/>
    <w:rsid w:val="002A0FB5"/>
    <w:rsid w:val="002A4835"/>
    <w:rsid w:val="002A6C44"/>
    <w:rsid w:val="002B24C4"/>
    <w:rsid w:val="002C075D"/>
    <w:rsid w:val="002C7CCC"/>
    <w:rsid w:val="002D4168"/>
    <w:rsid w:val="002D4224"/>
    <w:rsid w:val="002D53E9"/>
    <w:rsid w:val="002E535A"/>
    <w:rsid w:val="002E62A5"/>
    <w:rsid w:val="002F5675"/>
    <w:rsid w:val="00307928"/>
    <w:rsid w:val="003118D1"/>
    <w:rsid w:val="00312F01"/>
    <w:rsid w:val="00315071"/>
    <w:rsid w:val="0031528F"/>
    <w:rsid w:val="003376B5"/>
    <w:rsid w:val="003431EB"/>
    <w:rsid w:val="00355DFB"/>
    <w:rsid w:val="00374591"/>
    <w:rsid w:val="00380D54"/>
    <w:rsid w:val="003824E1"/>
    <w:rsid w:val="00396215"/>
    <w:rsid w:val="00396815"/>
    <w:rsid w:val="0039689F"/>
    <w:rsid w:val="00396AAB"/>
    <w:rsid w:val="003A1FFD"/>
    <w:rsid w:val="003A2022"/>
    <w:rsid w:val="003A7552"/>
    <w:rsid w:val="003B298B"/>
    <w:rsid w:val="003C69C0"/>
    <w:rsid w:val="003D23CD"/>
    <w:rsid w:val="003F5A3C"/>
    <w:rsid w:val="003F6CC1"/>
    <w:rsid w:val="0040074D"/>
    <w:rsid w:val="00420228"/>
    <w:rsid w:val="00423CA7"/>
    <w:rsid w:val="0042475D"/>
    <w:rsid w:val="00444457"/>
    <w:rsid w:val="004563FF"/>
    <w:rsid w:val="004662B7"/>
    <w:rsid w:val="00477A03"/>
    <w:rsid w:val="004865E9"/>
    <w:rsid w:val="004978DB"/>
    <w:rsid w:val="004C0AC5"/>
    <w:rsid w:val="004C2CEB"/>
    <w:rsid w:val="004D35D4"/>
    <w:rsid w:val="004D6F1B"/>
    <w:rsid w:val="004E12B2"/>
    <w:rsid w:val="004E4B7F"/>
    <w:rsid w:val="004F4F3C"/>
    <w:rsid w:val="004F4F99"/>
    <w:rsid w:val="005233B1"/>
    <w:rsid w:val="00524BAE"/>
    <w:rsid w:val="00530453"/>
    <w:rsid w:val="00533FD7"/>
    <w:rsid w:val="0057739E"/>
    <w:rsid w:val="00577C32"/>
    <w:rsid w:val="00577E3A"/>
    <w:rsid w:val="0059772D"/>
    <w:rsid w:val="005A512F"/>
    <w:rsid w:val="005D035A"/>
    <w:rsid w:val="005D21F0"/>
    <w:rsid w:val="005D37DF"/>
    <w:rsid w:val="005D4C30"/>
    <w:rsid w:val="005D5FB8"/>
    <w:rsid w:val="005D67E3"/>
    <w:rsid w:val="005F114F"/>
    <w:rsid w:val="00610CEF"/>
    <w:rsid w:val="00626AE0"/>
    <w:rsid w:val="00635B3E"/>
    <w:rsid w:val="0064468D"/>
    <w:rsid w:val="006467AA"/>
    <w:rsid w:val="00651748"/>
    <w:rsid w:val="00656235"/>
    <w:rsid w:val="0066649E"/>
    <w:rsid w:val="0067496E"/>
    <w:rsid w:val="006751CA"/>
    <w:rsid w:val="00676B8D"/>
    <w:rsid w:val="00682974"/>
    <w:rsid w:val="006909ED"/>
    <w:rsid w:val="006A3E04"/>
    <w:rsid w:val="006B5F63"/>
    <w:rsid w:val="006C0505"/>
    <w:rsid w:val="006C0FC2"/>
    <w:rsid w:val="006C5B7A"/>
    <w:rsid w:val="006D0BFA"/>
    <w:rsid w:val="006D5F70"/>
    <w:rsid w:val="006E0C61"/>
    <w:rsid w:val="006F43FB"/>
    <w:rsid w:val="00712D3E"/>
    <w:rsid w:val="00713937"/>
    <w:rsid w:val="00713C48"/>
    <w:rsid w:val="007257EB"/>
    <w:rsid w:val="00736801"/>
    <w:rsid w:val="00753422"/>
    <w:rsid w:val="007606D4"/>
    <w:rsid w:val="00761E9D"/>
    <w:rsid w:val="00765541"/>
    <w:rsid w:val="00774625"/>
    <w:rsid w:val="00774C7D"/>
    <w:rsid w:val="00785A77"/>
    <w:rsid w:val="007900D3"/>
    <w:rsid w:val="0079299E"/>
    <w:rsid w:val="00793E55"/>
    <w:rsid w:val="0079469F"/>
    <w:rsid w:val="00795212"/>
    <w:rsid w:val="007F18AD"/>
    <w:rsid w:val="00800656"/>
    <w:rsid w:val="00806EDE"/>
    <w:rsid w:val="00844F7C"/>
    <w:rsid w:val="00850B3B"/>
    <w:rsid w:val="008541AC"/>
    <w:rsid w:val="008833DA"/>
    <w:rsid w:val="00883908"/>
    <w:rsid w:val="00884C64"/>
    <w:rsid w:val="00885C62"/>
    <w:rsid w:val="008A457C"/>
    <w:rsid w:val="008A70D4"/>
    <w:rsid w:val="008B087C"/>
    <w:rsid w:val="008B318E"/>
    <w:rsid w:val="008B6D7F"/>
    <w:rsid w:val="008C0992"/>
    <w:rsid w:val="008C7661"/>
    <w:rsid w:val="008E7F3A"/>
    <w:rsid w:val="008F157E"/>
    <w:rsid w:val="00906B57"/>
    <w:rsid w:val="009161B4"/>
    <w:rsid w:val="00934D13"/>
    <w:rsid w:val="0093701C"/>
    <w:rsid w:val="009501D5"/>
    <w:rsid w:val="009520FA"/>
    <w:rsid w:val="0097149C"/>
    <w:rsid w:val="00973065"/>
    <w:rsid w:val="00983623"/>
    <w:rsid w:val="00990187"/>
    <w:rsid w:val="009919D0"/>
    <w:rsid w:val="00992A2B"/>
    <w:rsid w:val="009B4A84"/>
    <w:rsid w:val="009E33E9"/>
    <w:rsid w:val="009E5BB8"/>
    <w:rsid w:val="009E7717"/>
    <w:rsid w:val="009F141E"/>
    <w:rsid w:val="009F32F2"/>
    <w:rsid w:val="009F4D5C"/>
    <w:rsid w:val="00A14933"/>
    <w:rsid w:val="00A16A76"/>
    <w:rsid w:val="00A20971"/>
    <w:rsid w:val="00A21C71"/>
    <w:rsid w:val="00A231A5"/>
    <w:rsid w:val="00A239E7"/>
    <w:rsid w:val="00A25981"/>
    <w:rsid w:val="00A3095D"/>
    <w:rsid w:val="00A326C4"/>
    <w:rsid w:val="00A379B5"/>
    <w:rsid w:val="00A40FDB"/>
    <w:rsid w:val="00A50ADC"/>
    <w:rsid w:val="00A50D08"/>
    <w:rsid w:val="00A94C98"/>
    <w:rsid w:val="00A97A7B"/>
    <w:rsid w:val="00AB1DB1"/>
    <w:rsid w:val="00AB58FC"/>
    <w:rsid w:val="00AB7505"/>
    <w:rsid w:val="00AC2DA2"/>
    <w:rsid w:val="00AD359B"/>
    <w:rsid w:val="00AD4BF9"/>
    <w:rsid w:val="00B106FE"/>
    <w:rsid w:val="00B1319D"/>
    <w:rsid w:val="00B24482"/>
    <w:rsid w:val="00B4615D"/>
    <w:rsid w:val="00B559AB"/>
    <w:rsid w:val="00B6762D"/>
    <w:rsid w:val="00B70295"/>
    <w:rsid w:val="00B748E1"/>
    <w:rsid w:val="00B8374A"/>
    <w:rsid w:val="00B83D16"/>
    <w:rsid w:val="00BB2817"/>
    <w:rsid w:val="00BB763C"/>
    <w:rsid w:val="00BC26E4"/>
    <w:rsid w:val="00BC6471"/>
    <w:rsid w:val="00BD36F1"/>
    <w:rsid w:val="00BF420D"/>
    <w:rsid w:val="00BF77B8"/>
    <w:rsid w:val="00C1715B"/>
    <w:rsid w:val="00C26795"/>
    <w:rsid w:val="00C27B13"/>
    <w:rsid w:val="00C30CA6"/>
    <w:rsid w:val="00C35700"/>
    <w:rsid w:val="00C464E0"/>
    <w:rsid w:val="00C504F9"/>
    <w:rsid w:val="00C51744"/>
    <w:rsid w:val="00C605DE"/>
    <w:rsid w:val="00C75A75"/>
    <w:rsid w:val="00C83674"/>
    <w:rsid w:val="00C920A7"/>
    <w:rsid w:val="00CB145C"/>
    <w:rsid w:val="00CB34A3"/>
    <w:rsid w:val="00CB4C1A"/>
    <w:rsid w:val="00CB6459"/>
    <w:rsid w:val="00CC5E15"/>
    <w:rsid w:val="00CC7771"/>
    <w:rsid w:val="00CD2CEE"/>
    <w:rsid w:val="00CD7241"/>
    <w:rsid w:val="00CE278A"/>
    <w:rsid w:val="00CF4E26"/>
    <w:rsid w:val="00CF55EF"/>
    <w:rsid w:val="00CF5FF5"/>
    <w:rsid w:val="00D166CF"/>
    <w:rsid w:val="00D27799"/>
    <w:rsid w:val="00D30D37"/>
    <w:rsid w:val="00D4665D"/>
    <w:rsid w:val="00D52E0E"/>
    <w:rsid w:val="00D556A4"/>
    <w:rsid w:val="00D906D2"/>
    <w:rsid w:val="00D965B5"/>
    <w:rsid w:val="00D9729C"/>
    <w:rsid w:val="00DA2863"/>
    <w:rsid w:val="00DA7BA3"/>
    <w:rsid w:val="00DC6BBA"/>
    <w:rsid w:val="00DC714F"/>
    <w:rsid w:val="00DD3BE1"/>
    <w:rsid w:val="00DE48AF"/>
    <w:rsid w:val="00E16A3A"/>
    <w:rsid w:val="00E31BDC"/>
    <w:rsid w:val="00E34A0C"/>
    <w:rsid w:val="00E40181"/>
    <w:rsid w:val="00E50003"/>
    <w:rsid w:val="00E65639"/>
    <w:rsid w:val="00E77A83"/>
    <w:rsid w:val="00E87E84"/>
    <w:rsid w:val="00EA5CFB"/>
    <w:rsid w:val="00EA5E47"/>
    <w:rsid w:val="00EA60BB"/>
    <w:rsid w:val="00EB6EF9"/>
    <w:rsid w:val="00EC1C57"/>
    <w:rsid w:val="00EC7DEF"/>
    <w:rsid w:val="00ED3043"/>
    <w:rsid w:val="00ED68E8"/>
    <w:rsid w:val="00F044D4"/>
    <w:rsid w:val="00F123AE"/>
    <w:rsid w:val="00F13020"/>
    <w:rsid w:val="00F15881"/>
    <w:rsid w:val="00F51324"/>
    <w:rsid w:val="00F76671"/>
    <w:rsid w:val="00F83DCD"/>
    <w:rsid w:val="00F958EC"/>
    <w:rsid w:val="00FA655B"/>
    <w:rsid w:val="00FC2505"/>
    <w:rsid w:val="00FD09FD"/>
    <w:rsid w:val="00FD1DC6"/>
    <w:rsid w:val="00FD5546"/>
    <w:rsid w:val="00FE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0FDEFE5"/>
  <w15:docId w15:val="{B71DBB35-CE2A-4F20-97F2-B9D8A4CD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ind w:firstLine="708"/>
      <w:jc w:val="center"/>
      <w:outlineLvl w:val="0"/>
    </w:pPr>
    <w:rPr>
      <w:b/>
      <w:spacing w:val="10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b/>
      <w:spacing w:val="10"/>
    </w:rPr>
  </w:style>
  <w:style w:type="paragraph" w:styleId="Ttulo4">
    <w:name w:val="heading 4"/>
    <w:basedOn w:val="Normal"/>
    <w:next w:val="Normal"/>
    <w:qFormat/>
    <w:pPr>
      <w:keepNext/>
      <w:ind w:firstLine="709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ind w:firstLine="1985"/>
      <w:jc w:val="both"/>
    </w:pPr>
    <w:rPr>
      <w:spacing w:val="10"/>
    </w:rPr>
  </w:style>
  <w:style w:type="paragraph" w:styleId="Recuodecorpodetexto">
    <w:name w:val="Body Text Indent"/>
    <w:basedOn w:val="Normal"/>
    <w:pPr>
      <w:ind w:firstLine="709"/>
      <w:jc w:val="both"/>
    </w:pPr>
    <w:rPr>
      <w:spacing w:val="1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Book Antiqua" w:hAnsi="Book Antiqua"/>
      <w:spacing w:val="10"/>
      <w:sz w:val="28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1418"/>
      <w:jc w:val="both"/>
    </w:pPr>
  </w:style>
  <w:style w:type="paragraph" w:styleId="Textodenotaderodap">
    <w:name w:val="footnote text"/>
    <w:basedOn w:val="Normal"/>
    <w:link w:val="TextodenotaderodapChar"/>
    <w:rPr>
      <w:sz w:val="20"/>
    </w:rPr>
  </w:style>
  <w:style w:type="character" w:styleId="Refdenotaderodap">
    <w:name w:val="footnote reference"/>
    <w:basedOn w:val="Fontepargpadro"/>
    <w:uiPriority w:val="99"/>
    <w:rPr>
      <w:vertAlign w:val="superscript"/>
    </w:rPr>
  </w:style>
  <w:style w:type="paragraph" w:styleId="Textodenotadefim">
    <w:name w:val="endnote text"/>
    <w:basedOn w:val="Normal"/>
    <w:semiHidden/>
    <w:rPr>
      <w:sz w:val="20"/>
    </w:rPr>
  </w:style>
  <w:style w:type="character" w:styleId="Refdenotadefim">
    <w:name w:val="endnote reference"/>
    <w:basedOn w:val="Fontepargpadro"/>
    <w:semiHidden/>
    <w:rPr>
      <w:vertAlign w:val="superscript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1564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AC2D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DA2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rsid w:val="00AC2DA2"/>
    <w:rPr>
      <w:rFonts w:ascii="Arial" w:hAnsi="Arial"/>
    </w:rPr>
  </w:style>
  <w:style w:type="paragraph" w:styleId="Corpodetexto">
    <w:name w:val="Body Text"/>
    <w:basedOn w:val="Normal"/>
    <w:link w:val="CorpodetextoChar"/>
    <w:unhideWhenUsed/>
    <w:rsid w:val="00AC2DA2"/>
    <w:pPr>
      <w:spacing w:after="120"/>
    </w:pPr>
    <w:rPr>
      <w:rFonts w:ascii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AC2DA2"/>
    <w:rPr>
      <w:sz w:val="24"/>
      <w:szCs w:val="24"/>
    </w:rPr>
  </w:style>
  <w:style w:type="character" w:styleId="Hyperlink">
    <w:name w:val="Hyperlink"/>
    <w:unhideWhenUsed/>
    <w:rsid w:val="000616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5/3/pdf/0027506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Nº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Nº</dc:title>
  <dc:creator>Luciano Crotti</dc:creator>
  <cp:lastModifiedBy>Yarusya Fonseca</cp:lastModifiedBy>
  <cp:revision>3</cp:revision>
  <cp:lastPrinted>2015-01-26T13:23:00Z</cp:lastPrinted>
  <dcterms:created xsi:type="dcterms:W3CDTF">2019-05-21T13:24:00Z</dcterms:created>
  <dcterms:modified xsi:type="dcterms:W3CDTF">2019-05-21T13:25:00Z</dcterms:modified>
</cp:coreProperties>
</file>